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jc w:val="center"/>
        <w:rPr>
          <w:rFonts w:hint="eastAsia"/>
          <w:b/>
          <w:bCs w:val="0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" w:eastAsia="zh-CN" w:bidi="ar"/>
        </w:rPr>
        <w:t>彭阳县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" w:eastAsia="zh-CN" w:bidi="ar"/>
        </w:rPr>
        <w:t>交岔大坪村部至阳山湾公路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建设项目投资概算表</w:t>
      </w:r>
    </w:p>
    <w:bookmarkEnd w:id="0"/>
    <w:tbl>
      <w:tblPr>
        <w:tblStyle w:val="5"/>
        <w:tblW w:w="8945" w:type="dxa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944"/>
        <w:gridCol w:w="1209"/>
        <w:gridCol w:w="1164"/>
        <w:gridCol w:w="1663"/>
        <w:gridCol w:w="1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    （万元）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143.37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m/道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 / 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土地征用及拆迁补偿费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5.2447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拆迁设施费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Noto Sans Tamil UI">
    <w:altName w:val="Segoe Print"/>
    <w:panose1 w:val="020B05060308040202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54F99"/>
    <w:rsid w:val="74A5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2022-02-15T06:58:00Z</dcterms:created>
  <dc:creator>Administrator</dc:creator>
  <cp:lastModifiedBy>Administrator</cp:lastModifiedBy>
  <dcterms:modified xsi:type="dcterms:W3CDTF">2022-02-15T06:58:41Z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