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jc w:val="center"/>
        <w:rPr>
          <w:rFonts w:hint="eastAsia"/>
          <w:b/>
          <w:bCs w:val="0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" w:eastAsia="zh-CN" w:bidi="ar"/>
        </w:rPr>
        <w:t>彭阳县王洼陡沟至石头沟公路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建设项目投资概算表</w:t>
      </w:r>
    </w:p>
    <w:bookmarkEnd w:id="0"/>
    <w:tbl>
      <w:tblPr>
        <w:tblStyle w:val="5"/>
        <w:tblW w:w="8945" w:type="dxa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944"/>
        <w:gridCol w:w="1209"/>
        <w:gridCol w:w="1164"/>
        <w:gridCol w:w="1663"/>
        <w:gridCol w:w="1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    （万元）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282.3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55.48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155.06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m/道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63/8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18.25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13.07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15.92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土地征用及拆迁补偿费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23.0582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20.07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拆迁设施费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20.38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352.04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Noto Sans Tamil UI">
    <w:altName w:val="Segoe Print"/>
    <w:panose1 w:val="020B05060308040202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1646F"/>
    <w:rsid w:val="7DE1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2022-02-15T06:29:00Z</dcterms:created>
  <dc:creator>Administrator</dc:creator>
  <cp:lastModifiedBy>Administrator</cp:lastModifiedBy>
  <dcterms:modified xsi:type="dcterms:W3CDTF">2022-02-15T06:30:06Z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