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小标宋简体" w:cs="Times New Roman"/>
          <w:color w:val="000000"/>
          <w:kern w:val="0"/>
          <w:sz w:val="44"/>
          <w:szCs w:val="44"/>
          <w:lang w:val="en-US" w:eastAsia="zh-CN" w:bidi="ar-SA"/>
        </w:rPr>
      </w:pPr>
      <w:r>
        <w:rPr>
          <w:rFonts w:hint="default" w:ascii="Times New Roman" w:hAnsi="Times New Roman" w:eastAsia="黑体" w:cs="Times New Roman"/>
          <w:kern w:val="2"/>
          <w:sz w:val="32"/>
          <w:szCs w:val="32"/>
          <w:lang w:val="en-US" w:eastAsia="zh-CN" w:bidi="ar-SA"/>
        </w:rPr>
        <w:t>附件</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lang w:val="en-US" w:eastAsia="zh-CN"/>
        </w:rPr>
      </w:pPr>
      <w:bookmarkStart w:id="0" w:name="_GoBack"/>
      <w:r>
        <w:rPr>
          <w:rFonts w:hint="eastAsia" w:ascii="Times New Roman" w:hAnsi="Times New Roman" w:eastAsia="方正小标宋简体" w:cs="Times New Roman"/>
          <w:sz w:val="44"/>
          <w:szCs w:val="44"/>
          <w:lang w:val="en-US" w:eastAsia="zh-CN"/>
        </w:rPr>
        <w:t>彭阳县疾病预防控制中心业务综合楼及医疗物资储备库建设项目投资概算</w:t>
      </w:r>
      <w:r>
        <w:rPr>
          <w:rFonts w:hint="default" w:ascii="Times New Roman" w:hAnsi="Times New Roman" w:eastAsia="方正小标宋简体" w:cs="Times New Roman"/>
          <w:sz w:val="44"/>
          <w:szCs w:val="44"/>
          <w:lang w:val="en-US" w:eastAsia="zh-CN"/>
        </w:rPr>
        <w:t>表</w:t>
      </w:r>
    </w:p>
    <w:bookmarkEnd w:id="0"/>
    <w:tbl>
      <w:tblPr>
        <w:tblStyle w:val="6"/>
        <w:tblW w:w="10690" w:type="dxa"/>
        <w:tblInd w:w="-913" w:type="dxa"/>
        <w:tblLayout w:type="fixed"/>
        <w:tblCellMar>
          <w:top w:w="0" w:type="dxa"/>
          <w:left w:w="108" w:type="dxa"/>
          <w:bottom w:w="0" w:type="dxa"/>
          <w:right w:w="108" w:type="dxa"/>
        </w:tblCellMar>
      </w:tblPr>
      <w:tblGrid>
        <w:gridCol w:w="816"/>
        <w:gridCol w:w="1944"/>
        <w:gridCol w:w="1392"/>
        <w:gridCol w:w="1500"/>
        <w:gridCol w:w="1584"/>
        <w:gridCol w:w="1488"/>
        <w:gridCol w:w="1068"/>
        <w:gridCol w:w="898"/>
      </w:tblGrid>
      <w:tr>
        <w:tblPrEx>
          <w:tblCellMar>
            <w:top w:w="0" w:type="dxa"/>
            <w:left w:w="108" w:type="dxa"/>
            <w:bottom w:w="0" w:type="dxa"/>
            <w:right w:w="108" w:type="dxa"/>
          </w:tblCellMar>
        </w:tblPrEx>
        <w:trPr>
          <w:trHeight w:val="600" w:hRule="atLeast"/>
        </w:trPr>
        <w:tc>
          <w:tcPr>
            <w:tcW w:w="81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4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工程或费用名称</w:t>
            </w:r>
          </w:p>
        </w:tc>
        <w:tc>
          <w:tcPr>
            <w:tcW w:w="703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概  算  金  额（万元）</w:t>
            </w:r>
          </w:p>
        </w:tc>
        <w:tc>
          <w:tcPr>
            <w:tcW w:w="898" w:type="dxa"/>
            <w:vMerge w:val="restart"/>
            <w:tcBorders>
              <w:top w:val="single" w:color="000000" w:sz="4" w:space="0"/>
              <w:left w:val="single" w:color="000000" w:sz="4" w:space="0"/>
              <w:right w:val="single" w:color="000000" w:sz="4" w:space="0"/>
            </w:tcBorders>
            <w:noWrap/>
            <w:vAlign w:val="center"/>
          </w:tcPr>
          <w:p>
            <w:pPr>
              <w:jc w:val="center"/>
              <w:rPr>
                <w:rFonts w:hint="default" w:ascii="Times New Roman" w:hAnsi="Times New Roman" w:eastAsia="宋体" w:cs="Times New Roman"/>
                <w:b w:val="0"/>
                <w:bCs w:val="0"/>
                <w:sz w:val="24"/>
                <w:szCs w:val="28"/>
                <w:vertAlign w:val="baseline"/>
                <w:lang w:val="en-US" w:eastAsia="zh-CN"/>
              </w:rPr>
            </w:pPr>
            <w:r>
              <w:rPr>
                <w:rFonts w:hint="default" w:ascii="Times New Roman" w:hAnsi="Times New Roman" w:eastAsia="宋体" w:cs="Times New Roman"/>
                <w:b w:val="0"/>
                <w:bCs w:val="0"/>
                <w:sz w:val="24"/>
                <w:szCs w:val="28"/>
                <w:vertAlign w:val="baseline"/>
                <w:lang w:val="en-US" w:eastAsia="zh-CN"/>
              </w:rPr>
              <w:t>占投</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b w:val="0"/>
                <w:bCs w:val="0"/>
                <w:sz w:val="24"/>
                <w:szCs w:val="28"/>
                <w:vertAlign w:val="baseline"/>
                <w:lang w:val="en-US" w:eastAsia="zh-CN"/>
              </w:rPr>
              <w:t>资额</w:t>
            </w:r>
            <w:r>
              <w:rPr>
                <w:rFonts w:hint="eastAsia" w:ascii="Times New Roman" w:hAnsi="Times New Roman" w:eastAsia="宋体" w:cs="Times New Roman"/>
                <w:b w:val="0"/>
                <w:bCs w:val="0"/>
                <w:sz w:val="24"/>
                <w:szCs w:val="28"/>
                <w:vertAlign w:val="baseline"/>
                <w:lang w:val="en-US" w:eastAsia="zh-CN"/>
              </w:rPr>
              <w:t>%</w:t>
            </w:r>
          </w:p>
        </w:tc>
      </w:tr>
      <w:tr>
        <w:tblPrEx>
          <w:tblCellMar>
            <w:top w:w="0" w:type="dxa"/>
            <w:left w:w="108" w:type="dxa"/>
            <w:bottom w:w="0" w:type="dxa"/>
            <w:right w:w="108" w:type="dxa"/>
          </w:tblCellMar>
        </w:tblPrEx>
        <w:trPr>
          <w:trHeight w:val="600" w:hRule="atLeast"/>
        </w:trPr>
        <w:tc>
          <w:tcPr>
            <w:tcW w:w="8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土建工程费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设备购置费</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安装工程费</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其它费用</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98"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工程费用</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1593.27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260.69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570.32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2424.29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90.3</w:t>
            </w:r>
          </w:p>
        </w:tc>
      </w:tr>
      <w:tr>
        <w:tblPrEx>
          <w:tblCellMar>
            <w:top w:w="0" w:type="dxa"/>
            <w:left w:w="108" w:type="dxa"/>
            <w:bottom w:w="0" w:type="dxa"/>
            <w:right w:w="108" w:type="dxa"/>
          </w:tblCellMar>
        </w:tblPrEx>
        <w:trPr>
          <w:trHeight w:val="642"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业务综合楼及医疗物资储备库</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1423.34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231.25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331.50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1986.09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6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1.1</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土建及装修工程（含桩基处理）</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1073.34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1073.34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6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实验室特殊装修</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350.00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350.00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给排水及消防工程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10.36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51.71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62.06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采暖及通风空调工程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58.99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137.01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196.00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强弱电工程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94.70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97.08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191.78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抗震支架</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28.90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28.90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电梯</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67.20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16.80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84.00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室外工程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169.94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29.45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238.82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438.21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混凝土道路工程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83.55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83.55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围墙</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36.00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36.00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绿化工程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13.50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13.50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污水处理池</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19.03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40.00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59.03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水外线工程（含化粪池）</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13.85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21.53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35.39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暖外线工程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4.01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10.34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14.35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电外线工程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3.45 </w:t>
            </w: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128.04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131.49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10KV高压线工程</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3.91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3.91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9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500KVA箱变</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35.00 </w:t>
            </w:r>
          </w:p>
        </w:tc>
        <w:tc>
          <w:tcPr>
            <w:tcW w:w="14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35.00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256KVA柴油发电机</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26.00 </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26.00 </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工程建设其它费用</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183.56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183.56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6.8</w:t>
            </w: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工程监理费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29.09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29.09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编制清单及招标控制价</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13.09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13.09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造价过程跟踪审计</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11.64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11.64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编制竣工结算费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8.73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8.73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招标服务费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8.49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8.49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地质勘查费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2.72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2.72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77.58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77.58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施工图审查费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0.97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0.97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环境影响评价费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9.00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9.00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人防易地建设费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5.10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5.10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可研编制费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7.76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7.76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材料检验试验费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3.40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3.40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 </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水土保持费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6.00 </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 xml:space="preserve">6.00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预备费</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78.24</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78.24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2.9</w:t>
            </w:r>
          </w:p>
        </w:tc>
      </w:tr>
      <w:tr>
        <w:tblPrEx>
          <w:tblCellMar>
            <w:top w:w="0" w:type="dxa"/>
            <w:left w:w="108" w:type="dxa"/>
            <w:bottom w:w="0" w:type="dxa"/>
            <w:right w:w="108" w:type="dxa"/>
          </w:tblCellMar>
        </w:tblPrEx>
        <w:trPr>
          <w:trHeight w:val="600" w:hRule="atLeast"/>
        </w:trPr>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合计</w:t>
            </w:r>
          </w:p>
        </w:tc>
        <w:tc>
          <w:tcPr>
            <w:tcW w:w="13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 xml:space="preserve">2686.09 </w:t>
            </w:r>
          </w:p>
        </w:tc>
        <w:tc>
          <w:tcPr>
            <w:tcW w:w="8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51F5F"/>
    <w:rsid w:val="2A751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left="200" w:leftChars="200" w:firstLine="420"/>
    </w:pPr>
  </w:style>
  <w:style w:type="paragraph" w:styleId="3">
    <w:name w:val="Body Text Indent"/>
    <w:basedOn w:val="1"/>
    <w:qFormat/>
    <w:uiPriority w:val="0"/>
    <w:pPr>
      <w:spacing w:after="120"/>
      <w:ind w:left="420" w:leftChars="200"/>
    </w:p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2021-11-24T03:34:00Z</dcterms:created>
  <dc:creator>lenovo</dc:creator>
  <cp:lastModifiedBy>lenovo</cp:lastModifiedBy>
  <dcterms:modified xsi:type="dcterms:W3CDTF">2021-11-24T03:34:54Z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1FE97A409B444CFAA9F6EFCAED5A58C2</vt:lpwstr>
  </property>
</Properties>
</file>