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360"/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outlineLvl w:val="9"/>
        <w:rPr>
          <w:rFonts w:hint="default" w:ascii="Times New Roman" w:hAnsi="Times New Roman" w:eastAsia="仿宋_GB2312" w:cs="Times New Roman"/>
          <w:color w:val="FFFFFF"/>
          <w:sz w:val="32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tabs>
          <w:tab w:val="left" w:pos="360"/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outlineLvl w:val="9"/>
        <w:rPr>
          <w:rFonts w:hint="default" w:ascii="Times New Roman" w:hAnsi="Times New Roman" w:eastAsia="仿宋_GB2312" w:cs="Times New Roman"/>
          <w:color w:val="FFFFFF"/>
          <w:sz w:val="32"/>
        </w:rPr>
      </w:pPr>
    </w:p>
    <w:p>
      <w:pPr>
        <w:keepNext w:val="0"/>
        <w:keepLines w:val="0"/>
        <w:pageBreakBefore w:val="0"/>
        <w:tabs>
          <w:tab w:val="left" w:pos="360"/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outlineLvl w:val="9"/>
        <w:rPr>
          <w:rFonts w:hint="default" w:ascii="Times New Roman" w:hAnsi="Times New Roman" w:eastAsia="仿宋_GB2312" w:cs="Times New Roman"/>
          <w:color w:val="FFFFFF"/>
          <w:sz w:val="32"/>
        </w:rPr>
      </w:pPr>
    </w:p>
    <w:p>
      <w:pPr>
        <w:keepNext w:val="0"/>
        <w:keepLines w:val="0"/>
        <w:pageBreakBefore w:val="0"/>
        <w:tabs>
          <w:tab w:val="left" w:pos="360"/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outlineLvl w:val="9"/>
        <w:rPr>
          <w:rFonts w:hint="default" w:ascii="Times New Roman" w:hAnsi="Times New Roman" w:eastAsia="仿宋_GB2312" w:cs="Times New Roman"/>
          <w:color w:val="FFFFFF"/>
          <w:sz w:val="32"/>
        </w:rPr>
      </w:pPr>
    </w:p>
    <w:p>
      <w:pPr>
        <w:keepNext w:val="0"/>
        <w:keepLines w:val="0"/>
        <w:pageBreakBefore w:val="0"/>
        <w:tabs>
          <w:tab w:val="left" w:pos="360"/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outlineLvl w:val="9"/>
        <w:rPr>
          <w:rFonts w:hint="default" w:ascii="Times New Roman" w:hAnsi="Times New Roman" w:eastAsia="仿宋_GB2312" w:cs="Times New Roman"/>
          <w:color w:val="FFFFFF"/>
          <w:sz w:val="32"/>
        </w:rPr>
      </w:pPr>
    </w:p>
    <w:p>
      <w:pPr>
        <w:keepNext w:val="0"/>
        <w:keepLines w:val="0"/>
        <w:pageBreakBefore w:val="0"/>
        <w:tabs>
          <w:tab w:val="left" w:pos="360"/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outlineLvl w:val="9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彭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审批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发〔20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lang w:val="en"/>
        </w:rPr>
        <w:t>378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147320</wp:posOffset>
                </wp:positionV>
                <wp:extent cx="58191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9140" cy="0"/>
                        </a:xfrm>
                        <a:prstGeom prst="line">
                          <a:avLst/>
                        </a:prstGeom>
                        <a:ln w="222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pt;margin-top:11.6pt;height:0pt;width:458.2pt;z-index:251660288;mso-width-relative:page;mso-height-relative:page;" filled="f" stroked="f" coordsize="21600,21600" o:gfxdata="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I4DtZrXAAAACQEAAA8AAAAAAAAAAQAgAAAAIgAAAGRycy9k&#10;b3ducmV2LnhtbFBLAQIUABQAAAAIAIdO4kDHITBdkQEAAPUCAAAOAAAAAAAAAAEAIAAAACYBAABk&#10;cnMvZTJvRG9jLnhtbFBLBQYAAAAABgAGAFkBAAApBQAAAAA=&#10;">
                <v:fill on="f" focussize="0,0"/>
                <v:stroke on="f" weight="1.75pt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eastAsia" w:ascii="方正小标宋简体" w:hAnsi="方正小标宋简体" w:eastAsia="方正小标宋简体"/>
          <w:color w:val="auto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关于</w:t>
      </w:r>
      <w:r>
        <w:rPr>
          <w:rFonts w:hint="eastAsia" w:ascii="方正小标宋简体" w:hAnsi="方正小标宋简体" w:eastAsia="方正小标宋简体"/>
          <w:color w:val="auto"/>
          <w:sz w:val="44"/>
          <w:lang w:eastAsia="zh-CN"/>
        </w:rPr>
        <w:t>彭阳县</w:t>
      </w:r>
      <w:r>
        <w:rPr>
          <w:rFonts w:hint="eastAsia" w:ascii="方正小标宋简体" w:hAnsi="方正小标宋简体" w:eastAsia="方正小标宋简体"/>
          <w:color w:val="auto"/>
          <w:sz w:val="44"/>
          <w:lang w:val="en-US" w:eastAsia="zh-CN"/>
        </w:rPr>
        <w:t>失能特困人员照护服务中心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auto"/>
          <w:sz w:val="44"/>
          <w:lang w:val="en-US" w:eastAsia="zh-CN"/>
        </w:rPr>
        <w:t>建设</w:t>
      </w:r>
      <w:r>
        <w:rPr>
          <w:rFonts w:hint="eastAsia" w:ascii="方正小标宋简体" w:hAnsi="方正小标宋简体" w:eastAsia="方正小标宋简体"/>
          <w:color w:val="auto"/>
          <w:sz w:val="44"/>
          <w:lang w:eastAsia="zh-CN"/>
        </w:rPr>
        <w:t>项目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可行性研究报告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的批复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left="0" w:leftChars="0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民政局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：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你单位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《关于申请批复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彭阳县失能特困人员照护服务中心建设项目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可行性研究报告的报告》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发〔202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）及附件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收悉（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代码：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020-640425-82-01-012987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，根据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/>
        </w:rPr>
        <w:t>彭阳县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2021年建设项目责任清单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、可研审查意见及修改文本，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原则同意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彭阳县失能特困人员照护服务中心建设项目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可行性研究报告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批复如下：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项目建设的必要性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为加快推进我县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失能特困人员照护服务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体系建设，不断完善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失能特困人员照护服务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设施，提高集中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照护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能力和服务质量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实施彭阳县失能特困人员照护服务中心建设项目是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十分必要的。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建设地址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5"/>
        <w:jc w:val="both"/>
        <w:textAlignment w:val="bottom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该项目建设地点位于彭阳县杏林路北侧老年养护院内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三、建设规模及内容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17"/>
        <w:jc w:val="left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新建一幢四层框架结构的康复护理楼3935.41m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vertAlign w:val="superscript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，内设106张床位，建设功能包括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照料室、活动室、医务室、康复训练室、药品储藏室、洗衣房、功能评定室、档案室、公共就餐室等；配套建设水暖、电气、消防等附属工程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四、建设期限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至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2022年10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五、招标方式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项目建设单位要严格执行国家和自治区有关招投标法律法规，具体招标方式见附件。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投资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估</w:t>
      </w:r>
      <w:r>
        <w:rPr>
          <w:rFonts w:hint="default" w:ascii="Times New Roman" w:hAnsi="Times New Roman" w:eastAsia="黑体" w:cs="Times New Roman"/>
          <w:sz w:val="32"/>
          <w:szCs w:val="32"/>
        </w:rPr>
        <w:t>算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及资金来源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投资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1702.93</w:t>
      </w:r>
      <w:r>
        <w:rPr>
          <w:rFonts w:hint="default" w:ascii="Times New Roman" w:hAnsi="Times New Roman" w:eastAsia="仿宋_GB2312" w:cs="Times New Roman"/>
          <w:sz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资金来源：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除中央预算内投资、自治区预算内统筹投资及自治区福彩公益金外，其余县财政配套</w:t>
      </w:r>
      <w:r>
        <w:rPr>
          <w:rFonts w:hint="eastAsia" w:eastAsia="仿宋_GB2312" w:cs="Times New Roman"/>
          <w:sz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依据宁发改投资〔2019〕817号文件精神：“项目资金未全部落实的不得开工建设，资金到位后方可开工建设”。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contextualSpacing/>
        <w:jc w:val="both"/>
        <w:textAlignment w:val="bottom"/>
        <w:outlineLvl w:val="9"/>
        <w:rPr>
          <w:rFonts w:hint="default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你单位接此批复后，抓紧开展初步设计等编制工作，要严格执行环境保护、安全生产等相关规定，落实生态红线要求，在初步设计阶段按照项目规划条件进一步落实相关审批程序。同时做好自治区政务服务网投资项目在线审批平台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和宁夏工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程建设项目审批管理系统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网上申报工作。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因项目建设内容和投资规模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发生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变化，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为确保项目能落地实施，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对原彭审批发〔2020〕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535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号文件予以终止。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此复。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附件：招标事项核准意见表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彭阳县审批服务管理局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160" w:firstLineChars="13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rPr>
          <w:rFonts w:hint="default" w:ascii="Times New Roman" w:hAnsi="Times New Roman" w:cs="Times New Roman"/>
          <w:szCs w:val="32"/>
          <w:lang w:eastAsia="zh-CN"/>
        </w:rPr>
      </w:pPr>
      <w:r>
        <w:rPr>
          <w:rFonts w:hint="default" w:ascii="Times New Roman" w:hAnsi="Times New Roman" w:cs="Times New Roman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Cs w:val="32"/>
        </w:rPr>
        <w:t>此件公开发布</w:t>
      </w:r>
      <w:r>
        <w:rPr>
          <w:rFonts w:hint="default" w:ascii="Times New Roman" w:hAnsi="Times New Roman" w:cs="Times New Roman"/>
          <w:szCs w:val="32"/>
          <w:lang w:eastAsia="zh-CN"/>
        </w:rPr>
        <w:t>）</w:t>
      </w:r>
    </w:p>
    <w:p>
      <w:pPr>
        <w:rPr>
          <w:rFonts w:hint="default" w:ascii="Times New Roman" w:hAnsi="Times New Roman" w:cs="Times New Roman"/>
          <w:szCs w:val="32"/>
          <w:lang w:eastAsia="zh-CN"/>
        </w:rPr>
      </w:pPr>
    </w:p>
    <w:p>
      <w:pPr>
        <w:pStyle w:val="18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18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18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18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18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18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18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18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18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19" w:leftChars="133" w:hanging="840" w:hangingChars="3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29845</wp:posOffset>
                </wp:positionV>
                <wp:extent cx="5667375" cy="0"/>
                <wp:effectExtent l="0" t="7620" r="9525" b="1143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2.35pt;height:0pt;width:446.25pt;z-index:251663360;mso-width-relative:page;mso-height-relative:page;" filled="f" stroked="t" coordsize="21600,21600" o:gfxdata="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3xJ4w9UAAAAGAQAADwAA&#10;AAAAAAABACAAAAAiAAAAZHJzL2Rvd25yZXYueG1sUEsBAhQAFAAAAAgAh07iQDHszKbgAQAApQMA&#10;AA4AAAAAAAAAAQAgAAAAJAEAAGRycy9lMm9Eb2MueG1sUEsFBgAAAAAGAAYAWQEAAHY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抄送：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县委办、人大办、政府办、政协办，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县纪委监委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发改局、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财政局、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自然资源局、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住房和城乡建设局、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审计局、统计局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、固原生态环境局彭阳分局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，本局各局长。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385445</wp:posOffset>
                </wp:positionV>
                <wp:extent cx="5667375" cy="0"/>
                <wp:effectExtent l="0" t="7620" r="9525" b="114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35pt;height:0pt;width:446.25pt;z-index:251662336;mso-width-relative:page;mso-height-relative:page;" filled="f" stroked="t" coordsize="21600,21600" o:gfxdata="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iPTrXVAAAABgEAAA8AAAAAAAAA&#10;AQAgAAAAIgAAAGRycy9kb3ducmV2LnhtbFBLAQIUABQAAAAIAIdO4kCqCZPN2wEAAJcDAAAOAAAA&#10;AAAAAAEAIAAAACQBAABkcnMvZTJvRG9jLnhtbFBLBQYAAAAABgAGAFkBAABx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66737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6pt;height:0pt;width:446.25pt;z-index:251661312;mso-width-relative:page;mso-height-relative:page;" filled="f" stroked="t" coordsize="21600,21600" o:gfxdata="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tbpudIAAAAEAQAADwAAAAAAAAABACAA&#10;AAAiAAAAZHJzL2Rvd25yZXYueG1sUEsBAhQAFAAAAAgAh07iQH2NGFfaAQAAlgMAAA4AAAAAAAAA&#10;AQAgAAAAI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彭阳县审批服务管理局　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p>
      <w:pPr>
        <w:pStyle w:val="18"/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2098" w:right="1474" w:bottom="1984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招标事项核准意见表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项目单位：彭阳县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民政局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彭阳县失能特困人员照护服务中心建设项目</w:t>
      </w:r>
    </w:p>
    <w:tbl>
      <w:tblPr>
        <w:tblStyle w:val="17"/>
        <w:tblpPr w:leftFromText="180" w:rightFromText="180" w:vertAnchor="text" w:horzAnchor="page" w:tblpX="1513" w:tblpY="36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pStyle w:val="11"/>
        <w:ind w:left="0" w:leftChars="0" w:firstLine="0" w:firstLineChars="0"/>
        <w:rPr>
          <w:rFonts w:hint="default" w:ascii="Times New Roman" w:hAnsi="Times New Roman" w:cs="Times New Roman"/>
        </w:rPr>
      </w:pPr>
    </w:p>
    <w:sectPr>
      <w:footerReference r:id="rId4" w:type="default"/>
      <w:pgSz w:w="16838" w:h="11906" w:orient="landscape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65D61"/>
    <w:multiLevelType w:val="singleLevel"/>
    <w:tmpl w:val="51165D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C7457"/>
    <w:rsid w:val="01C862AE"/>
    <w:rsid w:val="02857AC1"/>
    <w:rsid w:val="036146A8"/>
    <w:rsid w:val="03660E3A"/>
    <w:rsid w:val="040F666B"/>
    <w:rsid w:val="04BB657C"/>
    <w:rsid w:val="04E86C18"/>
    <w:rsid w:val="052D56CD"/>
    <w:rsid w:val="05C862F3"/>
    <w:rsid w:val="06026A28"/>
    <w:rsid w:val="061354B8"/>
    <w:rsid w:val="06893B60"/>
    <w:rsid w:val="07AD0EE4"/>
    <w:rsid w:val="08151AF3"/>
    <w:rsid w:val="08A66188"/>
    <w:rsid w:val="098D5E06"/>
    <w:rsid w:val="098F7476"/>
    <w:rsid w:val="09C665C3"/>
    <w:rsid w:val="0A472C04"/>
    <w:rsid w:val="0A701AE8"/>
    <w:rsid w:val="0ACF3D2A"/>
    <w:rsid w:val="0C8F25C9"/>
    <w:rsid w:val="0CA811DA"/>
    <w:rsid w:val="0CE97551"/>
    <w:rsid w:val="0D99285A"/>
    <w:rsid w:val="0E1A07B7"/>
    <w:rsid w:val="0EF67460"/>
    <w:rsid w:val="0F3F2AA2"/>
    <w:rsid w:val="0F4E59EE"/>
    <w:rsid w:val="10EC5569"/>
    <w:rsid w:val="11C2678F"/>
    <w:rsid w:val="126D39E3"/>
    <w:rsid w:val="138462EB"/>
    <w:rsid w:val="147C1A8F"/>
    <w:rsid w:val="149D6D6B"/>
    <w:rsid w:val="158C634D"/>
    <w:rsid w:val="16594BD2"/>
    <w:rsid w:val="165E55D1"/>
    <w:rsid w:val="16DA7F98"/>
    <w:rsid w:val="16EB789C"/>
    <w:rsid w:val="17706A82"/>
    <w:rsid w:val="179C2CE7"/>
    <w:rsid w:val="18FC0FF2"/>
    <w:rsid w:val="190876C7"/>
    <w:rsid w:val="195D2DE6"/>
    <w:rsid w:val="196F2BF2"/>
    <w:rsid w:val="19D423CE"/>
    <w:rsid w:val="1A1A1EAC"/>
    <w:rsid w:val="1B5C7457"/>
    <w:rsid w:val="1B6B450B"/>
    <w:rsid w:val="1BD24AA2"/>
    <w:rsid w:val="1BEA081D"/>
    <w:rsid w:val="1C482194"/>
    <w:rsid w:val="1CA54E67"/>
    <w:rsid w:val="1EC92648"/>
    <w:rsid w:val="1F1F62EA"/>
    <w:rsid w:val="1F6E2D6C"/>
    <w:rsid w:val="1F78C8F3"/>
    <w:rsid w:val="1FA474DC"/>
    <w:rsid w:val="1FB1740D"/>
    <w:rsid w:val="1FE942CC"/>
    <w:rsid w:val="210335D0"/>
    <w:rsid w:val="22116986"/>
    <w:rsid w:val="249649EC"/>
    <w:rsid w:val="26451DA4"/>
    <w:rsid w:val="2673441E"/>
    <w:rsid w:val="270C7A1C"/>
    <w:rsid w:val="27A003A6"/>
    <w:rsid w:val="2894732B"/>
    <w:rsid w:val="289F7B78"/>
    <w:rsid w:val="28A30B40"/>
    <w:rsid w:val="2A5D0404"/>
    <w:rsid w:val="2A82772B"/>
    <w:rsid w:val="2ACA21C1"/>
    <w:rsid w:val="2ACF3DA6"/>
    <w:rsid w:val="2B066C15"/>
    <w:rsid w:val="2BE73D7B"/>
    <w:rsid w:val="2BF7204A"/>
    <w:rsid w:val="2C696EC9"/>
    <w:rsid w:val="2E2128E8"/>
    <w:rsid w:val="2E7E5EB3"/>
    <w:rsid w:val="2EE51D93"/>
    <w:rsid w:val="2F9C019F"/>
    <w:rsid w:val="2FE97032"/>
    <w:rsid w:val="2FF05971"/>
    <w:rsid w:val="301A275D"/>
    <w:rsid w:val="309A4EF6"/>
    <w:rsid w:val="317D55B3"/>
    <w:rsid w:val="31AF52EA"/>
    <w:rsid w:val="33820FE7"/>
    <w:rsid w:val="33BC40F2"/>
    <w:rsid w:val="34205AD2"/>
    <w:rsid w:val="34A63A88"/>
    <w:rsid w:val="35496903"/>
    <w:rsid w:val="35602229"/>
    <w:rsid w:val="35977783"/>
    <w:rsid w:val="35C46C80"/>
    <w:rsid w:val="36B129BA"/>
    <w:rsid w:val="375C500A"/>
    <w:rsid w:val="377205C8"/>
    <w:rsid w:val="37D950DD"/>
    <w:rsid w:val="381154E9"/>
    <w:rsid w:val="393520AF"/>
    <w:rsid w:val="395132AC"/>
    <w:rsid w:val="39561CCA"/>
    <w:rsid w:val="39566555"/>
    <w:rsid w:val="3B6D52CA"/>
    <w:rsid w:val="3C1459B1"/>
    <w:rsid w:val="3CA435A1"/>
    <w:rsid w:val="3D616354"/>
    <w:rsid w:val="3D642EAA"/>
    <w:rsid w:val="3D680D9D"/>
    <w:rsid w:val="3D6F0631"/>
    <w:rsid w:val="3DC57560"/>
    <w:rsid w:val="3EBB60E4"/>
    <w:rsid w:val="3F9235B6"/>
    <w:rsid w:val="3FC83023"/>
    <w:rsid w:val="400630CE"/>
    <w:rsid w:val="4120412B"/>
    <w:rsid w:val="41227C57"/>
    <w:rsid w:val="4182717A"/>
    <w:rsid w:val="41CA12A9"/>
    <w:rsid w:val="42073BA4"/>
    <w:rsid w:val="42A05AF4"/>
    <w:rsid w:val="43354042"/>
    <w:rsid w:val="43C77175"/>
    <w:rsid w:val="4464353D"/>
    <w:rsid w:val="44872BA4"/>
    <w:rsid w:val="450D5A46"/>
    <w:rsid w:val="45136CD0"/>
    <w:rsid w:val="476F1B2C"/>
    <w:rsid w:val="486E165E"/>
    <w:rsid w:val="487235A3"/>
    <w:rsid w:val="487A4420"/>
    <w:rsid w:val="48C768CB"/>
    <w:rsid w:val="490B585E"/>
    <w:rsid w:val="4A533738"/>
    <w:rsid w:val="4D18625C"/>
    <w:rsid w:val="4E5820DC"/>
    <w:rsid w:val="4E7D7A43"/>
    <w:rsid w:val="4EF9386A"/>
    <w:rsid w:val="4F722398"/>
    <w:rsid w:val="50B63B0A"/>
    <w:rsid w:val="50BD2744"/>
    <w:rsid w:val="51B82963"/>
    <w:rsid w:val="51E42551"/>
    <w:rsid w:val="527B7392"/>
    <w:rsid w:val="52CE3E61"/>
    <w:rsid w:val="52FD70BC"/>
    <w:rsid w:val="5314284A"/>
    <w:rsid w:val="534E74C6"/>
    <w:rsid w:val="543811C8"/>
    <w:rsid w:val="54555693"/>
    <w:rsid w:val="551D6F10"/>
    <w:rsid w:val="55441736"/>
    <w:rsid w:val="55B444AE"/>
    <w:rsid w:val="55E61066"/>
    <w:rsid w:val="56BE33FD"/>
    <w:rsid w:val="58B41612"/>
    <w:rsid w:val="595C750F"/>
    <w:rsid w:val="597A105A"/>
    <w:rsid w:val="5987382F"/>
    <w:rsid w:val="59E43468"/>
    <w:rsid w:val="5A5B0978"/>
    <w:rsid w:val="5A7D35F1"/>
    <w:rsid w:val="5B456E41"/>
    <w:rsid w:val="5C407B1B"/>
    <w:rsid w:val="5D757BD5"/>
    <w:rsid w:val="5DDF1211"/>
    <w:rsid w:val="5DEFF798"/>
    <w:rsid w:val="5E221AD5"/>
    <w:rsid w:val="5F203EB4"/>
    <w:rsid w:val="5FBB631F"/>
    <w:rsid w:val="60032D89"/>
    <w:rsid w:val="606561BC"/>
    <w:rsid w:val="60A84E44"/>
    <w:rsid w:val="61B13835"/>
    <w:rsid w:val="6215522D"/>
    <w:rsid w:val="628B5886"/>
    <w:rsid w:val="62BB3CD8"/>
    <w:rsid w:val="6326452C"/>
    <w:rsid w:val="64137289"/>
    <w:rsid w:val="65294FC1"/>
    <w:rsid w:val="655632EE"/>
    <w:rsid w:val="66286F3B"/>
    <w:rsid w:val="66560DB6"/>
    <w:rsid w:val="66B55620"/>
    <w:rsid w:val="66BD3A32"/>
    <w:rsid w:val="67F849CB"/>
    <w:rsid w:val="681F4ED5"/>
    <w:rsid w:val="68B1414F"/>
    <w:rsid w:val="699A7864"/>
    <w:rsid w:val="6C0F7C4F"/>
    <w:rsid w:val="6CE15830"/>
    <w:rsid w:val="6D5F1C6D"/>
    <w:rsid w:val="6D823B6C"/>
    <w:rsid w:val="6D98B1BE"/>
    <w:rsid w:val="6E705DC4"/>
    <w:rsid w:val="6F32432D"/>
    <w:rsid w:val="6F777C58"/>
    <w:rsid w:val="6F976EAE"/>
    <w:rsid w:val="71053A57"/>
    <w:rsid w:val="71B526A1"/>
    <w:rsid w:val="71B82923"/>
    <w:rsid w:val="71F322D0"/>
    <w:rsid w:val="71FD4515"/>
    <w:rsid w:val="7368416A"/>
    <w:rsid w:val="741107F1"/>
    <w:rsid w:val="74D472B5"/>
    <w:rsid w:val="75112F4B"/>
    <w:rsid w:val="755C7ED2"/>
    <w:rsid w:val="755E6B38"/>
    <w:rsid w:val="75D7032D"/>
    <w:rsid w:val="762C76DD"/>
    <w:rsid w:val="767E4913"/>
    <w:rsid w:val="7815173B"/>
    <w:rsid w:val="78DD059B"/>
    <w:rsid w:val="79854880"/>
    <w:rsid w:val="79A4142E"/>
    <w:rsid w:val="7A0F22E3"/>
    <w:rsid w:val="7AD6440F"/>
    <w:rsid w:val="7B5B12AE"/>
    <w:rsid w:val="7CAC7001"/>
    <w:rsid w:val="7D226D79"/>
    <w:rsid w:val="7D2B7472"/>
    <w:rsid w:val="7D431908"/>
    <w:rsid w:val="7D903A3D"/>
    <w:rsid w:val="7D9E7317"/>
    <w:rsid w:val="7DA16A53"/>
    <w:rsid w:val="7DAD01FA"/>
    <w:rsid w:val="7DDF6629"/>
    <w:rsid w:val="7E9C001E"/>
    <w:rsid w:val="7FA44460"/>
    <w:rsid w:val="EFFEFFF2"/>
    <w:rsid w:val="FAECA132"/>
    <w:rsid w:val="FFF38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link w:val="15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qFormat/>
    <w:uiPriority w:val="0"/>
    <w:pPr>
      <w:numPr>
        <w:ilvl w:val="0"/>
        <w:numId w:val="0"/>
      </w:numPr>
      <w:tabs>
        <w:tab w:val="left" w:pos="840"/>
      </w:tabs>
      <w:overflowPunct/>
      <w:autoSpaceDE/>
      <w:autoSpaceDN/>
      <w:adjustRightInd/>
      <w:snapToGrid/>
      <w:spacing w:before="0" w:beforeLines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index 5"/>
    <w:basedOn w:val="1"/>
    <w:next w:val="1"/>
    <w:unhideWhenUsed/>
    <w:qFormat/>
    <w:uiPriority w:val="0"/>
    <w:pPr>
      <w:ind w:left="1680"/>
    </w:pPr>
    <w:rPr>
      <w:rFonts w:hint="default"/>
      <w:sz w:val="21"/>
      <w:szCs w:val="24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next w:val="6"/>
    <w:qFormat/>
    <w:uiPriority w:val="99"/>
    <w:pPr>
      <w:ind w:firstLine="720" w:firstLineChars="225"/>
    </w:pPr>
    <w:rPr>
      <w:rFonts w:eastAsia="仿宋_GB2312"/>
      <w:sz w:val="32"/>
      <w:szCs w:val="20"/>
    </w:rPr>
  </w:style>
  <w:style w:type="paragraph" w:styleId="9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Body Text First Indent 2"/>
    <w:basedOn w:val="8"/>
    <w:next w:val="1"/>
    <w:qFormat/>
    <w:uiPriority w:val="99"/>
    <w:pPr>
      <w:ind w:left="200" w:leftChars="200" w:firstLine="420"/>
    </w:p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paragraph" w:customStyle="1" w:styleId="15">
    <w:name w:val=" Char"/>
    <w:basedOn w:val="1"/>
    <w:link w:val="14"/>
    <w:qFormat/>
    <w:uiPriority w:val="0"/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8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19">
    <w:name w:val="样式1"/>
    <w:basedOn w:val="4"/>
    <w:qFormat/>
    <w:uiPriority w:val="0"/>
    <w:pPr>
      <w:widowControl/>
      <w:spacing w:before="260" w:beforeLines="0" w:after="260" w:afterLines="0" w:line="413" w:lineRule="auto"/>
      <w:jc w:val="left"/>
    </w:pPr>
    <w:rPr>
      <w:rFonts w:ascii="宋体" w:hAnsi="宋体"/>
      <w:b w:val="0"/>
      <w:bCs w:val="0"/>
      <w:sz w:val="28"/>
      <w:szCs w:val="28"/>
    </w:rPr>
  </w:style>
  <w:style w:type="paragraph" w:customStyle="1" w:styleId="20">
    <w:name w:val="p0"/>
    <w:qFormat/>
    <w:uiPriority w:val="99"/>
    <w:pPr>
      <w:spacing w:line="365" w:lineRule="atLeast"/>
      <w:ind w:left="1"/>
      <w:jc w:val="both"/>
    </w:pPr>
    <w:rPr>
      <w:rFonts w:ascii="Times New Roman" w:hAnsi="Times New Roman" w:eastAsia="仿宋_GB2312" w:cs="Times New Roman"/>
      <w:kern w:val="0"/>
      <w:sz w:val="20"/>
      <w:szCs w:val="20"/>
      <w:lang w:val="en-US" w:eastAsia="zh-CN" w:bidi="ar-SA"/>
    </w:rPr>
  </w:style>
  <w:style w:type="character" w:customStyle="1" w:styleId="21">
    <w:name w:val="font01"/>
    <w:basedOn w:val="14"/>
    <w:qFormat/>
    <w:uiPriority w:val="99"/>
    <w:rPr>
      <w:rFonts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paragraph" w:customStyle="1" w:styleId="22">
    <w:name w:val="报告名称"/>
    <w:basedOn w:val="1"/>
    <w:qFormat/>
    <w:uiPriority w:val="0"/>
    <w:pPr>
      <w:spacing w:line="360" w:lineRule="auto"/>
      <w:jc w:val="center"/>
    </w:pPr>
    <w:rPr>
      <w:b/>
      <w:sz w:val="44"/>
      <w:szCs w:val="44"/>
    </w:rPr>
  </w:style>
  <w:style w:type="paragraph" w:styleId="2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font7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5">
    <w:name w:val="font3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91"/>
    <w:basedOn w:val="14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27">
    <w:name w:val="font51"/>
    <w:basedOn w:val="1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8">
    <w:name w:val="font21"/>
    <w:basedOn w:val="1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29">
    <w:name w:val="Table Paragraph"/>
    <w:basedOn w:val="1"/>
    <w:qFormat/>
    <w:uiPriority w:val="99"/>
  </w:style>
  <w:style w:type="character" w:customStyle="1" w:styleId="30">
    <w:name w:val="font11"/>
    <w:basedOn w:val="14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31">
    <w:name w:val="font41"/>
    <w:basedOn w:val="1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2019-11-14T02:44:00Z</dcterms:created>
  <dc:creator>Administrator</dc:creator>
  <cp:lastModifiedBy>Administrator</cp:lastModifiedBy>
  <cp:lastPrinted>2021-10-27T17:38:00Z</cp:lastPrinted>
  <dcterms:modified xsi:type="dcterms:W3CDTF">2021-11-23T02:26:40Z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62F30F291BCA480C91D74C21C15D1BA3</vt:lpwstr>
  </property>
</Properties>
</file>