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  <w:u w:val="none"/>
          <w:lang w:val="en-US" w:eastAsia="zh-CN"/>
        </w:rPr>
        <w:t>彭阳县20</w:t>
      </w:r>
      <w:r>
        <w:rPr>
          <w:rFonts w:hint="eastAsia" w:ascii="Times New Roman" w:hAnsi="Times New Roman" w:eastAsia="仿宋_GB2312" w:cs="Times New Roman"/>
          <w:b/>
          <w:bCs/>
          <w:spacing w:val="-4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  <w:u w:val="none"/>
          <w:lang w:val="en-US" w:eastAsia="zh-CN"/>
        </w:rPr>
        <w:t>年第</w:t>
      </w:r>
      <w:r>
        <w:rPr>
          <w:rFonts w:hint="eastAsia" w:ascii="Times New Roman" w:hAnsi="Times New Roman" w:eastAsia="仿宋_GB2312" w:cs="Times New Roman"/>
          <w:b/>
          <w:bCs/>
          <w:spacing w:val="-4"/>
          <w:sz w:val="32"/>
          <w:szCs w:val="32"/>
          <w:u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  <w:u w:val="none"/>
          <w:lang w:val="en-US" w:eastAsia="zh-CN"/>
        </w:rPr>
        <w:t>季度主要副食品</w:t>
      </w:r>
      <w:r>
        <w:rPr>
          <w:rFonts w:hint="eastAsia" w:ascii="Times New Roman" w:hAnsi="Times New Roman" w:eastAsia="仿宋_GB2312" w:cs="Times New Roman"/>
          <w:b/>
          <w:bCs/>
          <w:spacing w:val="-4"/>
          <w:sz w:val="32"/>
          <w:szCs w:val="32"/>
          <w:u w:val="none"/>
          <w:lang w:val="en-US" w:eastAsia="zh-CN"/>
        </w:rPr>
        <w:t>市场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32"/>
          <w:szCs w:val="32"/>
          <w:u w:val="none"/>
          <w:lang w:val="en-US" w:eastAsia="zh-CN"/>
        </w:rPr>
        <w:t>价格监测情况对比表</w:t>
      </w:r>
    </w:p>
    <w:bookmarkEnd w:id="0"/>
    <w:tbl>
      <w:tblPr>
        <w:tblStyle w:val="3"/>
        <w:tblpPr w:leftFromText="180" w:rightFromText="180" w:vertAnchor="text" w:horzAnchor="page" w:tblpX="1349" w:tblpY="466"/>
        <w:tblOverlap w:val="never"/>
        <w:tblW w:w="93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0"/>
        <w:gridCol w:w="885"/>
        <w:gridCol w:w="1300"/>
        <w:gridCol w:w="733"/>
        <w:gridCol w:w="817"/>
        <w:gridCol w:w="733"/>
        <w:gridCol w:w="767"/>
        <w:gridCol w:w="666"/>
        <w:gridCol w:w="784"/>
        <w:gridCol w:w="716"/>
        <w:gridCol w:w="750"/>
        <w:gridCol w:w="7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环比±%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同比±%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环比±%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同比±%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环比±%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FF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同比±%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肘子肉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26.50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10.42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120.83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29.90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12.83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149.17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25.95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-13.21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99.62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鲜猪肉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肋条肉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25.50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10.87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112.50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32.90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29.02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199.09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25.45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-22.64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新鲜去骨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2.78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23.33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  （山羊）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新鲜去骨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5.26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17.65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21.21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-5.00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11.76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  （绵羊）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新鲜去骨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34.50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3.50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18.97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1.45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20.69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鸡肉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开膛生等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31.82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70.59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3.45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-6.67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鲤鱼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 元/500克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-12.50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-12.50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14.29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鸡蛋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新鲜完整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4.49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4.79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3.99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-11.15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-7.33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3.86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-3.14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-10.23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（白皮）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6.46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13.98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61.38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6.86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6.27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71.50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6.46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-5.83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5.38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4.20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30.30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40.20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6.36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-9.27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1.53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8.25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36.27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-21.58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-18.25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1.05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64.53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74.58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58.47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176.67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-1.51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104.38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89.29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59.00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0.16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112.33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-38.46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3.44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58.78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14.50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-44.16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茭瓜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47.33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43.20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-19.41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15.40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-38.99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-12.00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3.58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15.61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19.33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3.41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-4.75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36.40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-35.19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青萝卜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-2.56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-5.00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59.21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-30.99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胡萝卜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1.58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-12.06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-36.80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79.43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41.75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-14.11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莲花菜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16.99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20.50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75.10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111.00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-33.18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洋葱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66.13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90.50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30.45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148.50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-39.24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大葱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2.58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42.28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29.00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2.79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7.95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178.50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2.49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-10.77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4.38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75.43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46.00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13.81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66.17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-27.58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5.49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81.02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82.83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4.16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-24.16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38.67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3.54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-15.02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土豆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13.79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21.00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23.50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3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青椒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3.36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60.25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-4.00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3.66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8.93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4.94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34.84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5.73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72.94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43.25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3.71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-35.25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-7.25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-24.26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-6.33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豆角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7.37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17.59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22.75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7.34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-0.41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46.70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6.11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-16.70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4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蒜苔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7.06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62.31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41.10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7.84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11.06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95.88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6.16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-21.38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新鲜一级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5.01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30.68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25.13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3.06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-38.86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-19.61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豆腐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无包装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2.39 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-4.54 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-4.60 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2.69 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12.79 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7.60 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2.46 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-8.55 </w:t>
            </w:r>
          </w:p>
        </w:tc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-1.60 </w:t>
            </w:r>
          </w:p>
        </w:tc>
      </w:tr>
    </w:tbl>
    <w:p>
      <w:r>
        <w:rPr>
          <w:rFonts w:hint="eastAsia" w:ascii="Times New Roman" w:hAnsi="Times New Roman" w:eastAsia="仿宋_GB2312" w:cs="Times New Roman"/>
          <w:b/>
          <w:bCs/>
          <w:spacing w:val="-4"/>
          <w:sz w:val="32"/>
          <w:szCs w:val="32"/>
          <w:u w:val="none"/>
          <w:lang w:val="en-US" w:eastAsia="zh-CN"/>
        </w:rPr>
        <w:t xml:space="preserve">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90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馨菲</cp:lastModifiedBy>
  <dcterms:modified xsi:type="dcterms:W3CDTF">2020-10-09T03:55:00Z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