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366" w:type="dxa"/>
        <w:tblInd w:w="0" w:type="dxa"/>
        <w:shd w:val="clear" w:color="auto" w:fill="FFFFFF"/>
        <w:tblLayout w:type="fixed"/>
        <w:tblCellMar>
          <w:top w:w="0" w:type="dxa"/>
          <w:left w:w="0" w:type="dxa"/>
          <w:bottom w:w="0" w:type="dxa"/>
          <w:right w:w="0" w:type="dxa"/>
        </w:tblCellMar>
      </w:tblPr>
      <w:tblGrid>
        <w:gridCol w:w="480"/>
        <w:gridCol w:w="740"/>
        <w:gridCol w:w="700"/>
        <w:gridCol w:w="2159"/>
        <w:gridCol w:w="3227"/>
        <w:gridCol w:w="1454"/>
        <w:gridCol w:w="760"/>
        <w:gridCol w:w="2892"/>
        <w:gridCol w:w="694"/>
        <w:gridCol w:w="1406"/>
        <w:gridCol w:w="374"/>
        <w:gridCol w:w="654"/>
        <w:gridCol w:w="1160"/>
        <w:gridCol w:w="1666"/>
      </w:tblGrid>
      <w:tr>
        <w:tblPrEx>
          <w:shd w:val="clear" w:color="auto" w:fill="FFFFFF"/>
          <w:tblLayout w:type="fixed"/>
          <w:tblCellMar>
            <w:top w:w="0" w:type="dxa"/>
            <w:left w:w="0" w:type="dxa"/>
            <w:bottom w:w="0" w:type="dxa"/>
            <w:right w:w="0" w:type="dxa"/>
          </w:tblCellMar>
        </w:tblPrEx>
        <w:trPr>
          <w:trHeight w:val="525" w:hRule="atLeast"/>
        </w:trPr>
        <w:tc>
          <w:tcPr>
            <w:tcW w:w="1220" w:type="dxa"/>
            <w:gridSpan w:val="2"/>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ascii="微软雅黑" w:hAnsi="微软雅黑" w:eastAsia="微软雅黑" w:cs="微软雅黑"/>
                <w:i w:val="0"/>
                <w:caps w:val="0"/>
                <w:color w:val="333333"/>
                <w:spacing w:val="0"/>
                <w:sz w:val="20"/>
                <w:szCs w:val="20"/>
              </w:rPr>
            </w:pPr>
            <w:r>
              <w:rPr>
                <w:rFonts w:ascii="黑体" w:hAnsi="宋体" w:eastAsia="黑体" w:cs="黑体"/>
                <w:i w:val="0"/>
                <w:caps w:val="0"/>
                <w:color w:val="333333"/>
                <w:spacing w:val="0"/>
                <w:kern w:val="0"/>
                <w:sz w:val="36"/>
                <w:szCs w:val="36"/>
                <w:bdr w:val="none" w:color="auto" w:sz="0" w:space="0"/>
                <w:lang w:val="en-US" w:eastAsia="zh-CN" w:bidi="ar"/>
              </w:rPr>
              <w:t>附件</w:t>
            </w:r>
          </w:p>
        </w:tc>
        <w:tc>
          <w:tcPr>
            <w:tcW w:w="70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2159"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227"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45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7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2892"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69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40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654"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666"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705" w:hRule="atLeast"/>
        </w:trPr>
        <w:tc>
          <w:tcPr>
            <w:tcW w:w="18366" w:type="dxa"/>
            <w:gridSpan w:val="14"/>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36"/>
                <w:szCs w:val="36"/>
                <w:bdr w:val="none" w:color="auto" w:sz="0" w:space="0"/>
                <w:lang w:val="en-US" w:eastAsia="zh-CN" w:bidi="ar"/>
              </w:rPr>
              <w:t xml:space="preserve">                                </w:t>
            </w:r>
            <w:bookmarkStart w:id="0" w:name="_GoBack"/>
            <w:r>
              <w:rPr>
                <w:rFonts w:hint="eastAsia" w:ascii="黑体" w:hAnsi="宋体" w:eastAsia="黑体" w:cs="黑体"/>
                <w:i w:val="0"/>
                <w:caps w:val="0"/>
                <w:color w:val="333333"/>
                <w:spacing w:val="0"/>
                <w:kern w:val="0"/>
                <w:sz w:val="36"/>
                <w:szCs w:val="36"/>
                <w:bdr w:val="none" w:color="auto" w:sz="0" w:space="0"/>
                <w:lang w:val="en-US" w:eastAsia="zh-CN" w:bidi="ar"/>
              </w:rPr>
              <w:t>涉农补贴领域基层政务公开标准目录</w:t>
            </w:r>
            <w:bookmarkEnd w:id="0"/>
          </w:p>
        </w:tc>
      </w:tr>
      <w:tr>
        <w:tblPrEx>
          <w:tblLayout w:type="fixed"/>
          <w:tblCellMar>
            <w:top w:w="0" w:type="dxa"/>
            <w:left w:w="0" w:type="dxa"/>
            <w:bottom w:w="0" w:type="dxa"/>
            <w:right w:w="0" w:type="dxa"/>
          </w:tblCellMar>
        </w:tblPrEx>
        <w:trPr>
          <w:trHeight w:val="540" w:hRule="atLeast"/>
        </w:trPr>
        <w:tc>
          <w:tcPr>
            <w:tcW w:w="480"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序号</w:t>
            </w:r>
          </w:p>
        </w:tc>
        <w:tc>
          <w:tcPr>
            <w:tcW w:w="1440"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公开事项</w:t>
            </w:r>
          </w:p>
        </w:tc>
        <w:tc>
          <w:tcPr>
            <w:tcW w:w="2159"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公开内容</w:t>
            </w:r>
            <w:r>
              <w:rPr>
                <w:rFonts w:hint="eastAsia" w:ascii="黑体" w:hAnsi="宋体" w:eastAsia="黑体" w:cs="黑体"/>
                <w:i w:val="0"/>
                <w:caps w:val="0"/>
                <w:color w:val="333333"/>
                <w:spacing w:val="0"/>
                <w:kern w:val="0"/>
                <w:sz w:val="20"/>
                <w:szCs w:val="20"/>
                <w:bdr w:val="none" w:color="auto" w:sz="0" w:space="0"/>
                <w:lang w:val="en-US" w:eastAsia="zh-CN" w:bidi="ar"/>
              </w:rPr>
              <w:br w:type="textWrapping"/>
            </w:r>
            <w:r>
              <w:rPr>
                <w:rFonts w:hint="eastAsia" w:ascii="黑体" w:hAnsi="宋体" w:eastAsia="黑体" w:cs="黑体"/>
                <w:i w:val="0"/>
                <w:caps w:val="0"/>
                <w:color w:val="333333"/>
                <w:spacing w:val="0"/>
                <w:kern w:val="0"/>
                <w:sz w:val="20"/>
                <w:szCs w:val="20"/>
                <w:bdr w:val="none" w:color="auto" w:sz="0" w:space="0"/>
                <w:lang w:val="en-US" w:eastAsia="zh-CN" w:bidi="ar"/>
              </w:rPr>
              <w:t>(要素)</w:t>
            </w:r>
          </w:p>
        </w:tc>
        <w:tc>
          <w:tcPr>
            <w:tcW w:w="3227"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公开依据</w:t>
            </w:r>
          </w:p>
        </w:tc>
        <w:tc>
          <w:tcPr>
            <w:tcW w:w="14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公开时限</w:t>
            </w:r>
          </w:p>
        </w:tc>
        <w:tc>
          <w:tcPr>
            <w:tcW w:w="76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公开主体</w:t>
            </w:r>
          </w:p>
        </w:tc>
        <w:tc>
          <w:tcPr>
            <w:tcW w:w="289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公开渠道和载体</w:t>
            </w:r>
          </w:p>
        </w:tc>
        <w:tc>
          <w:tcPr>
            <w:tcW w:w="2100"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公开对象</w:t>
            </w:r>
          </w:p>
        </w:tc>
        <w:tc>
          <w:tcPr>
            <w:tcW w:w="1028"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公开方式</w:t>
            </w:r>
          </w:p>
        </w:tc>
        <w:tc>
          <w:tcPr>
            <w:tcW w:w="2826" w:type="dxa"/>
            <w:gridSpan w:val="2"/>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公开层级</w:t>
            </w:r>
          </w:p>
        </w:tc>
      </w:tr>
      <w:tr>
        <w:tblPrEx>
          <w:tblLayout w:type="fixed"/>
          <w:tblCellMar>
            <w:top w:w="0" w:type="dxa"/>
            <w:left w:w="0" w:type="dxa"/>
            <w:bottom w:w="0" w:type="dxa"/>
            <w:right w:w="0" w:type="dxa"/>
          </w:tblCellMar>
        </w:tblPrEx>
        <w:trPr>
          <w:trHeight w:val="660" w:hRule="atLeast"/>
        </w:trPr>
        <w:tc>
          <w:tcPr>
            <w:tcW w:w="480"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一级事项</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二级事项</w:t>
            </w:r>
          </w:p>
        </w:tc>
        <w:tc>
          <w:tcPr>
            <w:tcW w:w="2159"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3227"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14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76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289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ascii="微软雅黑" w:hAnsi="微软雅黑" w:eastAsia="微软雅黑" w:cs="微软雅黑"/>
                <w:i w:val="0"/>
                <w:caps w:val="0"/>
                <w:color w:val="333333"/>
                <w:spacing w:val="0"/>
                <w:sz w:val="20"/>
                <w:szCs w:val="20"/>
              </w:rPr>
            </w:pP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全社会</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特定群体</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主动</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依申请</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县级</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黑体" w:hAnsi="宋体" w:eastAsia="黑体" w:cs="黑体"/>
                <w:i w:val="0"/>
                <w:caps w:val="0"/>
                <w:color w:val="333333"/>
                <w:spacing w:val="0"/>
                <w:kern w:val="0"/>
                <w:sz w:val="20"/>
                <w:szCs w:val="20"/>
                <w:bdr w:val="none" w:color="auto" w:sz="0" w:space="0"/>
                <w:lang w:val="en-US" w:eastAsia="zh-CN" w:bidi="ar"/>
              </w:rPr>
              <w:t>乡级</w:t>
            </w:r>
          </w:p>
        </w:tc>
      </w:tr>
      <w:tr>
        <w:tblPrEx>
          <w:tblLayout w:type="fixed"/>
          <w:tblCellMar>
            <w:top w:w="0" w:type="dxa"/>
            <w:left w:w="0" w:type="dxa"/>
            <w:bottom w:w="0" w:type="dxa"/>
            <w:right w:w="0" w:type="dxa"/>
          </w:tblCellMar>
        </w:tblPrEx>
        <w:trPr>
          <w:trHeight w:val="5029"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1</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农机购置补贴</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申请指南：包括补贴对象、补贴范围、补贴标准、申请程序、申请材料、咨询电话、受理单位、办理时限、联系方式等；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《中华人民共和国农业机械化促进法》（中华人民共和国主席令 第十六号）、《农业生产发展资金管理办法》（财农〔2017〕41号）、《2018—2020年农机购置补贴实施指导意见》（农办财〔2018〕13号）、《XX省农机购置补贴实施方案》。</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5063"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2</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耕地地力保护</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《农业生产发展资金管理办法》（财农〔2017〕41号）、《财政部 农业部关于全面推开农业“三项补贴”改革工作的通知》（财农〔2016〕26号）、《XX省耕地地力保护实施方案》</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4920"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3</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新型职业农民培育</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申请指南：包括补贴对象、补贴范围、补贴标准、申请程序、申请材料、咨询电话、受理单位、办理时限、联系方式等；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中共中央办公厅、国务院办公厅关于引导农村土地经营权有序流转发展农业适度规模经营的意见》、《国务院办公厅关于支持返乡下乡人员创业创新促进农村一二三产业融合发展的意见》（国办发〔2016〕84号）、《农业生产发展资金管理办法》（财农〔2017〕41号）、《“十三五”全国新型职业农民培育发展规划》（农科教发〔2017〕2号）</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4883"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4</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支持新型农业经营主体</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申请指南：包括补贴对象、补贴范围、补贴标准、申请程序、申请材料、咨询电话、受理单位、办理时限、联系方式等；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《农业生产发展资金管理办法》（财农〔2017〕41号）、《XX省支持新型农业经营主体实施方案》</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w:t>
            </w:r>
            <w:r>
              <w:rPr>
                <w:rFonts w:hint="eastAsia" w:ascii="微软雅黑" w:hAnsi="微软雅黑" w:eastAsia="微软雅黑" w:cs="微软雅黑"/>
                <w:i w:val="0"/>
                <w:caps w:val="0"/>
                <w:color w:val="333333"/>
                <w:spacing w:val="0"/>
                <w:kern w:val="0"/>
                <w:sz w:val="20"/>
                <w:szCs w:val="20"/>
                <w:u w:val="single"/>
                <w:bdr w:val="none" w:color="auto" w:sz="0" w:space="0"/>
                <w:lang w:val="en-US" w:eastAsia="zh-CN" w:bidi="ar"/>
              </w:rPr>
              <w:t>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5078"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5</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农业资源及生态保护补助资金</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草原禁牧补助与草畜平衡奖励</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《新一轮草原生态保护补助奖励政策实施指导意见（2016-2020）》（农办财〔2016〕10号） 、《XX省农牧民补助奖励政策实施方案》</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4883" w:hRule="atLeast"/>
        </w:trPr>
        <w:tc>
          <w:tcPr>
            <w:tcW w:w="480" w:type="dxa"/>
            <w:tcBorders>
              <w:top w:val="nil"/>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6</w:t>
            </w:r>
          </w:p>
        </w:tc>
        <w:tc>
          <w:tcPr>
            <w:tcW w:w="74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动物防疫等补助经费</w:t>
            </w:r>
          </w:p>
        </w:tc>
        <w:tc>
          <w:tcPr>
            <w:tcW w:w="7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强制扑杀、强制免疫和养殖环节无害化处理补助</w:t>
            </w:r>
          </w:p>
        </w:tc>
        <w:tc>
          <w:tcPr>
            <w:tcW w:w="2159"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政策依据；</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申请指南：包括补贴对象、补贴范围、补贴标准、申请程序、申请材料、咨询电话、受理单位、办理时限、联系方式等；</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补贴结果；</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监督渠道：包括举报电话、地址等。</w:t>
            </w:r>
          </w:p>
        </w:tc>
        <w:tc>
          <w:tcPr>
            <w:tcW w:w="3227"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《中华人民共和国动物防疫法》、《动物防疫等补助经费管理办法》（财农〔2017〕43号）、《XX省动物防疫补助实施方案》</w:t>
            </w:r>
          </w:p>
        </w:tc>
        <w:tc>
          <w:tcPr>
            <w:tcW w:w="14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自政府信息形成或者变更之日起20个工作日内。法律、法规对政府信息公开的期限另有规定的，从其规定</w:t>
            </w:r>
          </w:p>
        </w:tc>
        <w:tc>
          <w:tcPr>
            <w:tcW w:w="7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县级农业农村部门</w:t>
            </w:r>
          </w:p>
        </w:tc>
        <w:tc>
          <w:tcPr>
            <w:tcW w:w="28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■政府网站    □政府公报</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□两微一端    □发布会/听证会</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□广播电视    □纸质媒体</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□公开查阅点  □政务服务中心</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□便民服务站  □入户/现场</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□社区/企事业单位/村公示栏（电子屏）</w:t>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br w:type="textWrapping"/>
            </w: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□精准推送    □其他      </w:t>
            </w:r>
          </w:p>
        </w:tc>
        <w:tc>
          <w:tcPr>
            <w:tcW w:w="69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40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37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65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c>
          <w:tcPr>
            <w:tcW w:w="116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w:t>
            </w:r>
          </w:p>
        </w:tc>
        <w:tc>
          <w:tcPr>
            <w:tcW w:w="166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　</w:t>
            </w:r>
          </w:p>
        </w:tc>
      </w:tr>
      <w:tr>
        <w:tblPrEx>
          <w:tblLayout w:type="fixed"/>
          <w:tblCellMar>
            <w:top w:w="0" w:type="dxa"/>
            <w:left w:w="0" w:type="dxa"/>
            <w:bottom w:w="0" w:type="dxa"/>
            <w:right w:w="0" w:type="dxa"/>
          </w:tblCellMar>
        </w:tblPrEx>
        <w:trPr>
          <w:trHeight w:val="612" w:hRule="atLeast"/>
        </w:trPr>
        <w:tc>
          <w:tcPr>
            <w:tcW w:w="18366" w:type="dxa"/>
            <w:gridSpan w:val="14"/>
            <w:tcBorders>
              <w:top w:val="single" w:color="auto"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20"/>
                <w:szCs w:val="20"/>
              </w:rPr>
            </w:pPr>
            <w:r>
              <w:rPr>
                <w:rFonts w:hint="eastAsia" w:ascii="微软雅黑" w:hAnsi="微软雅黑" w:eastAsia="微软雅黑" w:cs="微软雅黑"/>
                <w:i w:val="0"/>
                <w:caps w:val="0"/>
                <w:color w:val="333333"/>
                <w:spacing w:val="0"/>
                <w:kern w:val="0"/>
                <w:sz w:val="20"/>
                <w:szCs w:val="20"/>
                <w:bdr w:val="none" w:color="auto" w:sz="0" w:space="0"/>
                <w:lang w:val="en-US" w:eastAsia="zh-CN" w:bidi="ar"/>
              </w:rPr>
              <w:t>注：公开信息时应注意保护个人身份信息和隐私安全。</w:t>
            </w:r>
          </w:p>
        </w:tc>
      </w:tr>
    </w:tbl>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5F28AD"/>
    <w:rsid w:val="4B5F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2021-12-29T05:58:00Z</dcterms:created>
  <dc:creator>彭阳县农业农村局收文员</dc:creator>
  <cp:lastModifiedBy>彭阳县农业农村局收文员</cp:lastModifiedBy>
  <dcterms:modified xsi:type="dcterms:W3CDTF">2021-12-29T06:04:33Z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