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auto"/>
        </w:rPr>
        <w:t>彭阳县民政局重大行政决策事项目录</w:t>
      </w:r>
    </w:p>
    <w:bookmarkEnd w:id="0"/>
    <w:p/>
    <w:tbl>
      <w:tblPr>
        <w:tblStyle w:val="3"/>
        <w:tblW w:w="852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4060"/>
        <w:gridCol w:w="2320"/>
        <w:gridCol w:w="11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宋体" w:hAnsi="宋体" w:eastAsia="宋体" w:cs="宋体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111111"/>
                <w:kern w:val="0"/>
                <w:sz w:val="32"/>
                <w:szCs w:val="32"/>
              </w:rPr>
              <w:t>序号</w:t>
            </w:r>
          </w:p>
        </w:tc>
        <w:tc>
          <w:tcPr>
            <w:tcW w:w="4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宋体" w:hAnsi="宋体" w:eastAsia="宋体" w:cs="宋体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111111"/>
                <w:kern w:val="0"/>
                <w:sz w:val="32"/>
                <w:szCs w:val="32"/>
              </w:rPr>
              <w:t>事 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宋体" w:hAnsi="宋体" w:eastAsia="宋体" w:cs="宋体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111111"/>
                <w:kern w:val="0"/>
                <w:sz w:val="32"/>
                <w:szCs w:val="32"/>
              </w:rPr>
              <w:t>组织承办股室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宋体" w:hAnsi="宋体" w:eastAsia="宋体" w:cs="宋体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111111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全县民政事业中长期发展规划、年度工作计划、专项重点工作、目标管理责任制、年度工作总结和其他项规章制度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涉及全局性的重大事件处理、重要信访矛盾化解、突发性重大事故应急处置等事项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需向上级请示、报告的重要事项和局属股室向县</w:t>
            </w: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  <w:lang w:eastAsia="zh-CN"/>
              </w:rPr>
              <w:t>示</w:t>
            </w: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的重要事项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涉及全局性的民政工作决策和党内规范性文件的评估、制定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重大民政项目建设立项评估、建设、验收等事项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局系统内部机构设置、调整等事项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111111"/>
                <w:kern w:val="0"/>
                <w:sz w:val="32"/>
                <w:szCs w:val="32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其他较大影响的民政工作事项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11111"/>
                <w:kern w:val="0"/>
                <w:sz w:val="28"/>
                <w:szCs w:val="28"/>
              </w:rPr>
              <w:t>各相关股室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111111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0265"/>
    <w:rsid w:val="5FA20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2021-12-06T10:06:00Z</dcterms:created>
  <dc:creator>橙子雨</dc:creator>
  <cp:lastModifiedBy>橙子雨</cp:lastModifiedBy>
  <dcterms:modified xsi:type="dcterms:W3CDTF">2021-12-06T10:11:25Z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