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hd w:val="clear"/>
        <w:rPr>
          <w:rFonts w:hint="default" w:ascii="Times New Roman" w:hAnsi="Times New Roman" w:cs="Times New Roman"/>
          <w:color w:val="auto"/>
        </w:rPr>
      </w:pPr>
      <mc:AlternateContent>
        <mc:Choice Requires="wpsCustomData">
          <wpsCustomData:docfieldStart id="0" docfieldname="标题_1" hidden="false" print="true" readonly="false" index="1"/>
        </mc:Choice>
      </mc:AlternateContent>
      <w:r>
        <w:rPr>
          <w:rFonts w:hint="default" w:ascii="Times New Roman" w:hAnsi="Times New Roman" w:cs="Times New Roman"/>
          <w:color w:val="auto"/>
        </w:rPr>
        <w:t>彭阳县中小企业数字化转型工作</w:t>
      </w:r>
      <w:r>
        <w:rPr>
          <w:rFonts w:hint="default" w:ascii="Times New Roman" w:hAnsi="Times New Roman" w:cs="Times New Roman"/>
          <w:color w:val="auto"/>
          <w:lang w:eastAsia="zh-CN"/>
        </w:rPr>
        <w:t>实施</w:t>
      </w:r>
      <w:r>
        <w:rPr>
          <w:rFonts w:hint="default" w:ascii="Times New Roman" w:hAnsi="Times New Roman" w:cs="Times New Roman"/>
          <w:color w:val="auto"/>
        </w:rPr>
        <w:t>方案</w:t>
      </w:r>
    </w:p>
    <w:p>
      <w:pPr>
        <w:pStyle w:val="17"/>
        <w:widowControl/>
        <w:shd w:val="clear"/>
        <w:rPr>
          <w:rFonts w:hint="default" w:ascii="Times New Roman" w:hAnsi="Times New Roman" w:cs="Times New Roman"/>
          <w:color w:val="auto"/>
        </w:rPr>
      </w:pPr>
      <w:r>
        <w:rPr>
          <w:rFonts w:hint="default" w:ascii="Times New Roman" w:hAnsi="Times New Roman" w:cs="Times New Roman"/>
          <w:color w:val="auto"/>
        </w:rPr>
        <w:t>（征求意见稿）</w:t>
      </w:r>
      <mc:AlternateContent>
        <mc:Choice Requires="wpsCustomData">
          <wpsCustomData:docfieldEnd id="0"/>
        </mc:Choice>
      </mc:AlternateContent>
    </w:p>
    <w:p>
      <w:pPr>
        <w:pStyle w:val="11"/>
        <w:bidi w:val="0"/>
        <w:spacing w:beforeAutospacing="0" w:afterAutospacing="0" w:line="300" w:lineRule="exact"/>
        <w:rPr>
          <w:rFonts w:hint="default" w:ascii="Times New Roman" w:hAnsi="Times New Roman" w:cs="Times New Roman"/>
          <w:color w:val="auto"/>
        </w:rPr>
      </w:pP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为深入贯彻落实自治区党委</w:t>
      </w:r>
      <w:r>
        <w:rPr>
          <w:rFonts w:hint="default" w:ascii="Times New Roman" w:hAnsi="Times New Roman" w:cs="Times New Roman"/>
          <w:color w:val="auto"/>
          <w:sz w:val="32"/>
          <w:szCs w:val="32"/>
          <w:lang w:eastAsia="zh-CN"/>
        </w:rPr>
        <w:t>和</w:t>
      </w:r>
      <w:r>
        <w:rPr>
          <w:rFonts w:hint="default" w:ascii="Times New Roman" w:hAnsi="Times New Roman" w:eastAsia="仿宋_GB2312" w:cs="Times New Roman"/>
          <w:color w:val="auto"/>
          <w:sz w:val="32"/>
          <w:szCs w:val="32"/>
        </w:rPr>
        <w:t>政府“稳增长促发展攻坚年”行动决策部署，加大中小企业数字化转型支持力度，推进产业数字化转型，促进产业转型升级，依据自治区工业和信息化厅、财政厅《关于做好县（区）中小企业数字化转型工作的通知》（宁工信创融发〔2026〕21号，以下简称《通知》）相关工作要求，结合彭阳县轻工纺织、装备制造、农副产品加工、新型材料等主导产业发展实际，制定本方案。</w:t>
      </w:r>
    </w:p>
    <w:p>
      <w:pPr>
        <w:pStyle w:val="2"/>
        <w:widowControl/>
        <w:numPr>
          <w:ilvl w:val="0"/>
          <w:numId w:val="0"/>
        </w:numPr>
        <w:topLinePunct w:val="0"/>
        <w:ind w:left="0" w:leftChars="0" w:firstLine="640"/>
        <w:rPr>
          <w:rFonts w:hint="default" w:ascii="Times New Roman" w:hAnsi="Times New Roman" w:cs="Times New Roman"/>
          <w:b w:val="0"/>
          <w:color w:val="auto"/>
        </w:rPr>
      </w:pPr>
      <w:r>
        <w:rPr>
          <w:rFonts w:hint="default" w:ascii="Times New Roman" w:hAnsi="Times New Roman" w:cs="Times New Roman"/>
          <w:color w:val="auto"/>
          <w:lang w:eastAsia="zh-CN"/>
        </w:rPr>
        <w:t>一、</w:t>
      </w:r>
      <w:r>
        <w:rPr>
          <w:rFonts w:hint="default" w:ascii="Times New Roman" w:hAnsi="Times New Roman" w:cs="Times New Roman"/>
          <w:color w:val="auto"/>
        </w:rPr>
        <w:t>工作目标</w:t>
      </w:r>
    </w:p>
    <w:p>
      <w:pPr>
        <w:pStyle w:val="11"/>
        <w:widowControl/>
        <w:pBdr>
          <w:top w:val="none" w:color="auto" w:sz="0" w:space="0"/>
          <w:left w:val="none" w:color="auto" w:sz="0" w:space="0"/>
          <w:bottom w:val="none" w:color="auto" w:sz="0" w:space="0"/>
          <w:right w:val="none" w:color="auto" w:sz="0" w:space="0"/>
        </w:pBdr>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轻工纺织、装备制造、农副产品加工、新型材料等主导产业，全面推动中小企业实施数字化改造，通过优化中小企业数字化服务供给、增强中小企业自主创新能力、培育中小企业数字化转型标杆，提升产业高端化、智能化、绿色化发展水平。探索形成具有彭阳特色的数字化转型典型做法与实施模式，助推县域中小企业高质量发展。</w:t>
      </w:r>
    </w:p>
    <w:p>
      <w:pPr>
        <w:pStyle w:val="11"/>
        <w:widowControl/>
        <w:numPr>
          <w:ilvl w:val="0"/>
          <w:numId w:val="0"/>
        </w:numPr>
        <w:pBdr>
          <w:top w:val="none" w:color="auto" w:sz="0" w:space="0"/>
          <w:left w:val="none" w:color="auto" w:sz="0" w:space="0"/>
          <w:bottom w:val="none" w:color="auto" w:sz="0" w:space="0"/>
          <w:right w:val="none" w:color="auto" w:sz="0" w:space="0"/>
        </w:pBdr>
        <w:ind w:right="0" w:rightChars="0" w:firstLine="616" w:firstLineChars="200"/>
        <w:jc w:val="both"/>
        <w:rPr>
          <w:rFonts w:hint="default" w:ascii="Times New Roman" w:hAnsi="Times New Roman" w:eastAsia="仿宋_GB2312" w:cs="Times New Roman"/>
          <w:color w:val="auto"/>
          <w:sz w:val="32"/>
          <w:szCs w:val="32"/>
        </w:rPr>
      </w:pPr>
      <w:r>
        <w:rPr>
          <w:rStyle w:val="28"/>
          <w:rFonts w:hint="default" w:ascii="Times New Roman" w:hAnsi="Times New Roman" w:eastAsia="仿宋_GB2312" w:cs="Times New Roman"/>
          <w:b/>
          <w:bCs/>
          <w:color w:val="auto"/>
          <w:sz w:val="32"/>
          <w:szCs w:val="32"/>
        </w:rPr>
        <w:t>推动数字化改造提质</w:t>
      </w:r>
      <w:r>
        <w:rPr>
          <w:rStyle w:val="28"/>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推动10家中小企业完成数字化改造，其中改造后数字化水平达到二级8家、三级2家，所有企业数字化水平按自治区要求在原有基础上实现阶梯式提升；新增上云用云中小企业10家。培育打造县级中小企业数字化转型标杆企业2家，形成可复制、可推广的转型样板。</w:t>
      </w:r>
    </w:p>
    <w:p>
      <w:pPr>
        <w:pStyle w:val="2"/>
        <w:widowControl/>
        <w:numPr>
          <w:ilvl w:val="0"/>
          <w:numId w:val="0"/>
        </w:numPr>
        <w:topLinePunct w:val="0"/>
        <w:ind w:left="0" w:leftChars="0" w:firstLine="640"/>
        <w:rPr>
          <w:rFonts w:hint="default" w:ascii="Times New Roman" w:hAnsi="Times New Roman" w:cs="Times New Roman"/>
          <w:color w:val="auto"/>
          <w:lang w:eastAsia="zh-CN"/>
        </w:rPr>
      </w:pPr>
      <w:r>
        <w:rPr>
          <w:rFonts w:hint="default" w:ascii="Times New Roman" w:hAnsi="Times New Roman" w:cs="Times New Roman"/>
          <w:color w:val="auto"/>
          <w:lang w:eastAsia="zh-CN"/>
        </w:rPr>
        <w:t>二、重点任务</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（一）</w:t>
      </w:r>
      <w:r>
        <w:rPr>
          <w:rFonts w:hint="default" w:ascii="Times New Roman" w:hAnsi="Times New Roman" w:cs="Times New Roman"/>
          <w:color w:val="auto"/>
        </w:rPr>
        <w:t>强化顶层设计，做好前期筹备工作</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1、</w:t>
      </w:r>
      <w:r>
        <w:rPr>
          <w:rStyle w:val="27"/>
          <w:rFonts w:hint="default" w:ascii="Times New Roman" w:hAnsi="Times New Roman" w:eastAsia="仿宋_GB2312" w:cs="Times New Roman"/>
          <w:b/>
          <w:bCs/>
          <w:color w:val="auto"/>
          <w:sz w:val="32"/>
          <w:szCs w:val="32"/>
        </w:rPr>
        <w:t>开展常态化宣传培训</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面向全县中小企业经营管理者、相关部门工作人员开展数字化转型专题培训，提升转型意识与服务能力。组织召开全县中小企业数字化转型动员部署会，宣贯本方案及相关扶持政策；邀请行业专家、优秀服务商分享数字化转型典型案例和成功经验。定期深入企业开展政策宣讲，同步推进企业数字化水平初评工作，现场解答企业转型疑虑、解决实际困难。</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2、</w:t>
      </w:r>
      <w:r>
        <w:rPr>
          <w:rStyle w:val="27"/>
          <w:rFonts w:hint="default" w:ascii="Times New Roman" w:hAnsi="Times New Roman" w:eastAsia="仿宋_GB2312" w:cs="Times New Roman"/>
          <w:b/>
          <w:bCs/>
          <w:color w:val="auto"/>
          <w:sz w:val="32"/>
          <w:szCs w:val="32"/>
        </w:rPr>
        <w:t>细化工作推进举措</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严格按照《通知》要求，明确各阶段目标任务、责任主体和时间节点；绘制项目申报、过程服务、验收评价、资金拨付等全环节工作流程图，制定主导产业数字化转型分阶段推进计划。强化政策引导，动员中小企业积极参与数字化改造，推动规上工业中小企业“应改尽改”。</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（二）</w:t>
      </w:r>
      <w:r>
        <w:rPr>
          <w:rFonts w:hint="default" w:ascii="Times New Roman" w:hAnsi="Times New Roman" w:cs="Times New Roman"/>
          <w:color w:val="auto"/>
        </w:rPr>
        <w:t>精准推进实施，加快转型落地见效</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1、</w:t>
      </w:r>
      <w:r>
        <w:rPr>
          <w:rStyle w:val="27"/>
          <w:rFonts w:hint="default" w:ascii="Times New Roman" w:hAnsi="Times New Roman" w:eastAsia="仿宋_GB2312" w:cs="Times New Roman"/>
          <w:b/>
          <w:bCs/>
          <w:color w:val="auto"/>
          <w:sz w:val="32"/>
          <w:szCs w:val="32"/>
        </w:rPr>
        <w:t>开展数字化水平诊断定级</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严格按照最新版《中小企业数字化水平评测指标》，依托宁夏企业公共服务平台（168平台）服务商资源池，择优选用专业服务商，深入拟改造企业开展数字化水平定级诊断。围绕企业研发、生产、管理、销售等核心业务环节，全面梳理数字化转型痛点、难点和需求点，建立“一企一档”数字化转型档案，结合产业和企业实际制定“一企一策”个性化改造方案，确保改造方案贴合企业生产经营实际。</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2、</w:t>
      </w:r>
      <w:r>
        <w:rPr>
          <w:rStyle w:val="27"/>
          <w:rFonts w:hint="default" w:ascii="Times New Roman" w:hAnsi="Times New Roman" w:eastAsia="仿宋_GB2312" w:cs="Times New Roman"/>
          <w:b/>
          <w:bCs/>
          <w:color w:val="auto"/>
          <w:sz w:val="32"/>
          <w:szCs w:val="32"/>
        </w:rPr>
        <w:t>推动改造项目落地实施</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督促选定服务商按照 “一企一策” 改造方案，推进企业数字化改造项目落地，重点推动生产设备智能化升级、数据采集传输系统搭建、业务管理系统数字化改造、工业互联网平台对接等工作，聚焦生产制造核心场景实现数字化深度应用。建立常态化入企指导机制，跟踪项目推进进度，及时帮助企业解决设备升级、系统搭建、数据应用等环节的堵点难点问题。</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3、</w:t>
      </w:r>
      <w:r>
        <w:rPr>
          <w:rStyle w:val="27"/>
          <w:rFonts w:hint="default" w:ascii="Times New Roman" w:hAnsi="Times New Roman" w:eastAsia="仿宋_GB2312" w:cs="Times New Roman"/>
          <w:b/>
          <w:bCs/>
          <w:color w:val="auto"/>
          <w:sz w:val="32"/>
          <w:szCs w:val="32"/>
        </w:rPr>
        <w:t>强化政策资金保障管理</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严格落实自治区专项资金管理要求，统筹自治区奖补资金及县级配套资金，确保不低于90％的专项资金用于企业数字化改造，重点投向数字化软件、云服务、数据采集传输设备等相关支出。严格执行“县（区）初审、市级审核、分级负责”的资金拨付机制，规范资金申报、审核、拨付全流程管理，保障资金精准、公平、高效发放。</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4、</w:t>
      </w:r>
      <w:r>
        <w:rPr>
          <w:rStyle w:val="27"/>
          <w:rFonts w:hint="default" w:ascii="Times New Roman" w:hAnsi="Times New Roman" w:eastAsia="仿宋_GB2312" w:cs="Times New Roman"/>
          <w:b/>
          <w:bCs/>
          <w:color w:val="auto"/>
          <w:sz w:val="32"/>
          <w:szCs w:val="32"/>
        </w:rPr>
        <w:t>探索产业链协同转型路径</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支持轻工纺织、装备制造等细分行业龙头（链主）企业加快工业互联网平台建设，共享行业数字化解决方案和工具包。引导龙头企业发挥带动作用，通过技术赋能、供应链赋能、平台赋能和生态赋能等方式，带动上下游中小企业协同开展数字化转型，整体提升产业链、供应链韧性和安全水平，加速主导产业全链条数字化进程。</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（三）</w:t>
      </w:r>
      <w:r>
        <w:rPr>
          <w:rFonts w:hint="default" w:ascii="Times New Roman" w:hAnsi="Times New Roman" w:cs="Times New Roman"/>
          <w:color w:val="auto"/>
        </w:rPr>
        <w:t>突出示范引领，打造转型精品工程</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1、</w:t>
      </w:r>
      <w:r>
        <w:rPr>
          <w:rStyle w:val="27"/>
          <w:rFonts w:hint="default" w:ascii="Times New Roman" w:hAnsi="Times New Roman" w:eastAsia="仿宋_GB2312" w:cs="Times New Roman"/>
          <w:b/>
          <w:bCs/>
          <w:color w:val="auto"/>
          <w:sz w:val="32"/>
          <w:szCs w:val="32"/>
        </w:rPr>
        <w:t>征集推广典型转型案例</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常态化开展中小企业数字化转型典型案例征集工作，重点挖掘主导产业内企业转型实践经验，做到“试成一批、带动一片”发挥龙头企业“大手牵小手、先转带后转”的示范作用，引导更多县域中小企业主动开展数字化转型。总结推广我县中小企业数字化转型标准、解决方案和优质产品，强化主导产业</w:t>
      </w:r>
      <w:r>
        <w:rPr>
          <w:rFonts w:hint="default" w:ascii="Times New Roman" w:hAnsi="Times New Roman" w:eastAsia="仿宋_GB2312" w:cs="Times New Roman"/>
          <w:color w:val="auto"/>
          <w:spacing w:val="4"/>
          <w:sz w:val="32"/>
          <w:szCs w:val="32"/>
        </w:rPr>
        <w:t>企业产品市场竞争优势，提升县域“专精特新”中小企业培</w:t>
      </w:r>
      <w:r>
        <w:rPr>
          <w:rFonts w:hint="default" w:ascii="Times New Roman" w:hAnsi="Times New Roman" w:eastAsia="仿宋_GB2312" w:cs="Times New Roman"/>
          <w:color w:val="auto"/>
          <w:spacing w:val="-6"/>
          <w:sz w:val="32"/>
          <w:szCs w:val="32"/>
        </w:rPr>
        <w:t>育</w:t>
      </w:r>
      <w:r>
        <w:rPr>
          <w:rFonts w:hint="default" w:ascii="Times New Roman" w:hAnsi="Times New Roman" w:eastAsia="仿宋_GB2312" w:cs="Times New Roman"/>
          <w:color w:val="auto"/>
          <w:sz w:val="32"/>
          <w:szCs w:val="32"/>
        </w:rPr>
        <w:t>成效。</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2、</w:t>
      </w:r>
      <w:r>
        <w:rPr>
          <w:rStyle w:val="27"/>
          <w:rFonts w:hint="default" w:ascii="Times New Roman" w:hAnsi="Times New Roman" w:eastAsia="仿宋_GB2312" w:cs="Times New Roman"/>
          <w:b/>
          <w:bCs/>
          <w:color w:val="auto"/>
          <w:sz w:val="32"/>
          <w:szCs w:val="32"/>
        </w:rPr>
        <w:t>培育打造转型标杆企业</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组织开展县级中小企业数字化转型标杆企业评选工作，重点挖掘在数字化应用场景、转型成效、行业示范作用等方面表现突出的企业，通过专家组评审，遴选</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家基础条件好、转型效果显著、投入产出比高、可复制性强的企业作为数字化转型标杆企业，形成县域转型样板。</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（四）</w:t>
      </w:r>
      <w:r>
        <w:rPr>
          <w:rFonts w:hint="default" w:ascii="Times New Roman" w:hAnsi="Times New Roman" w:cs="Times New Roman"/>
          <w:color w:val="auto"/>
        </w:rPr>
        <w:t>坚持结果导向，严格项目验收监管</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1、</w:t>
      </w:r>
      <w:r>
        <w:rPr>
          <w:rStyle w:val="27"/>
          <w:rFonts w:hint="default" w:ascii="Times New Roman" w:hAnsi="Times New Roman" w:eastAsia="仿宋_GB2312" w:cs="Times New Roman"/>
          <w:b/>
          <w:bCs/>
          <w:color w:val="auto"/>
          <w:sz w:val="32"/>
          <w:szCs w:val="32"/>
        </w:rPr>
        <w:t>构建多方协同监管机制</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建立工信、财政等部门联动、服务商配合、第三方监督的多方协同监管机制，形成“申报－实施－验收－资金拨付”流程闭环，保障项目监管规范性与验收结果公正性，为试点项目高效推进提供专业支撑。</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2、</w:t>
      </w:r>
      <w:r>
        <w:rPr>
          <w:rStyle w:val="27"/>
          <w:rFonts w:hint="default" w:ascii="Times New Roman" w:hAnsi="Times New Roman" w:eastAsia="仿宋_GB2312" w:cs="Times New Roman"/>
          <w:b/>
          <w:bCs/>
          <w:color w:val="auto"/>
          <w:sz w:val="32"/>
          <w:szCs w:val="32"/>
        </w:rPr>
        <w:t>推行项目全生命周期管理</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建立试点项目定期调度机制，动态监控项目进度、资金使用规范度及服务商工作绩效等关键指标，实现从立项、实施到验收的全生命周期管理。建立健全项目随机抽查机制，对核查中发现弄虚作假、虚报投资、严重偏离任务目标的改造项目，一律取消试点资格和资金补贴申请权。</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3、</w:t>
      </w:r>
      <w:r>
        <w:rPr>
          <w:rStyle w:val="27"/>
          <w:rFonts w:hint="default" w:ascii="Times New Roman" w:hAnsi="Times New Roman" w:eastAsia="仿宋_GB2312" w:cs="Times New Roman"/>
          <w:b/>
          <w:bCs/>
          <w:color w:val="auto"/>
          <w:sz w:val="32"/>
          <w:szCs w:val="32"/>
        </w:rPr>
        <w:t>严格组织项目验收评价</w:t>
      </w:r>
      <w:r>
        <w:rPr>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严格依据自治区管理办法及最新版《中小企业数字化水平评测指标》，组织专家分批开展项目验收及绩效评价工作，严格落实转型提升要求</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原有数字化水平二级以下的企业，改造后需提升至二级及以上；原有数字化水平二级及以上的企业，改造后需提升至三级及以上。根据改造成效及数字化水平定级结果，形成试点企业数字化改造项目验收意见，验收结果作为企业资金兑付、数字化服务商绩效评价的重要依据。对验收未通过的企业，限期整改并组织复评，确保完成10家企业数字化改造目标，所有企业数字化水平达到自治区提升标准。</w:t>
      </w:r>
    </w:p>
    <w:p>
      <w:pPr>
        <w:pStyle w:val="11"/>
        <w:widowControl/>
        <w:numPr>
          <w:ilvl w:val="0"/>
          <w:numId w:val="0"/>
        </w:numPr>
        <w:pBdr>
          <w:top w:val="none" w:color="auto" w:sz="0" w:space="0"/>
          <w:left w:val="none" w:color="auto" w:sz="0" w:space="0"/>
          <w:bottom w:val="none" w:color="auto" w:sz="0" w:space="0"/>
          <w:right w:val="none" w:color="auto" w:sz="0" w:space="0"/>
        </w:pBdr>
        <w:ind w:left="0" w:leftChars="0" w:firstLine="616"/>
        <w:rPr>
          <w:rFonts w:hint="default" w:ascii="Times New Roman" w:hAnsi="Times New Roman" w:eastAsia="仿宋_GB2312" w:cs="Times New Roman"/>
          <w:b w:val="0"/>
          <w:color w:val="auto"/>
          <w:sz w:val="32"/>
          <w:szCs w:val="32"/>
        </w:rPr>
      </w:pPr>
      <w:r>
        <w:rPr>
          <w:rStyle w:val="27"/>
          <w:rFonts w:hint="default" w:ascii="Times New Roman" w:hAnsi="Times New Roman" w:cs="Times New Roman"/>
          <w:b/>
          <w:bCs/>
          <w:color w:val="auto"/>
          <w:sz w:val="32"/>
          <w:szCs w:val="32"/>
          <w:lang w:eastAsia="zh-CN"/>
        </w:rPr>
        <w:t>4、</w:t>
      </w:r>
      <w:r>
        <w:rPr>
          <w:rStyle w:val="27"/>
          <w:rFonts w:hint="default" w:ascii="Times New Roman" w:hAnsi="Times New Roman" w:eastAsia="仿宋_GB2312" w:cs="Times New Roman"/>
          <w:b/>
          <w:bCs/>
          <w:color w:val="auto"/>
          <w:sz w:val="32"/>
          <w:szCs w:val="32"/>
        </w:rPr>
        <w:t>规范奖补资金兑付使用</w:t>
      </w:r>
      <w:r>
        <w:rPr>
          <w:rStyle w:val="27"/>
          <w:rFonts w:hint="default" w:ascii="Times New Roman" w:hAnsi="Times New Roman" w:cs="Times New Roman"/>
          <w:b/>
          <w:bCs/>
          <w:color w:val="auto"/>
          <w:sz w:val="32"/>
          <w:szCs w:val="32"/>
          <w:lang w:eastAsia="zh-CN"/>
        </w:rPr>
        <w:t>。</w:t>
      </w:r>
      <w:r>
        <w:rPr>
          <w:rFonts w:hint="default" w:ascii="Times New Roman" w:hAnsi="Times New Roman" w:eastAsia="仿宋_GB2312" w:cs="Times New Roman"/>
          <w:color w:val="auto"/>
          <w:sz w:val="32"/>
          <w:szCs w:val="32"/>
        </w:rPr>
        <w:t>依据项目验收、审计结果，严格按照自治区补贴标准（不超过企业数字化改造软硬件实际投资额的50％，单家企业补贴金额最高不超过40万元），及时向改造达标企业兑现奖补资金。按照专项资金管理要求，对转型工作中表现突出的优秀应用场景、行业推进机构及综合型服务商，依规给予资金奖励。项目验收完成后，全面总结试点工作成效与不足，提炼可长期坚持的工作经验，持续推动县域中小企业数字化转型工作。</w:t>
      </w:r>
    </w:p>
    <w:p>
      <w:pPr>
        <w:pStyle w:val="2"/>
        <w:widowControl/>
        <w:numPr>
          <w:ilvl w:val="0"/>
          <w:numId w:val="0"/>
        </w:numPr>
        <w:topLinePunct w:val="0"/>
        <w:ind w:left="0" w:leftChars="0" w:firstLine="640"/>
        <w:rPr>
          <w:rFonts w:hint="default" w:ascii="Times New Roman" w:hAnsi="Times New Roman" w:cs="Times New Roman"/>
          <w:b w:val="0"/>
          <w:color w:val="auto"/>
        </w:rPr>
      </w:pPr>
      <w:r>
        <w:rPr>
          <w:rFonts w:hint="default" w:ascii="Times New Roman" w:hAnsi="Times New Roman" w:cs="Times New Roman"/>
          <w:color w:val="auto"/>
          <w:lang w:eastAsia="zh-CN"/>
        </w:rPr>
        <w:t>三、</w:t>
      </w:r>
      <w:r>
        <w:rPr>
          <w:rFonts w:hint="default" w:ascii="Times New Roman" w:hAnsi="Times New Roman" w:cs="Times New Roman"/>
          <w:color w:val="auto"/>
        </w:rPr>
        <w:t>实施进度计划</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cs="Times New Roman"/>
          <w:b w:val="0"/>
          <w:bCs/>
          <w:color w:val="auto"/>
          <w:sz w:val="32"/>
          <w:szCs w:val="32"/>
          <w:lang w:eastAsia="zh-CN"/>
        </w:rPr>
      </w:pPr>
      <w:r>
        <w:rPr>
          <w:rFonts w:hint="default" w:ascii="Times New Roman" w:hAnsi="Times New Roman" w:eastAsia="仿宋_GB2312" w:cs="Times New Roman"/>
          <w:color w:val="auto"/>
          <w:sz w:val="32"/>
          <w:szCs w:val="32"/>
        </w:rPr>
        <w:t>按照自治区要求，本次中小企业数字化转型项目实施周期为</w:t>
      </w:r>
      <w:r>
        <w:rPr>
          <w:rStyle w:val="22"/>
          <w:rFonts w:hint="default" w:ascii="Times New Roman" w:hAnsi="Times New Roman" w:eastAsia="仿宋_GB2312" w:cs="Times New Roman"/>
          <w:b w:val="0"/>
          <w:bCs/>
          <w:color w:val="auto"/>
          <w:sz w:val="32"/>
          <w:szCs w:val="32"/>
        </w:rPr>
        <w:t>1 年</w:t>
      </w:r>
      <w:r>
        <w:rPr>
          <w:rFonts w:hint="default" w:ascii="Times New Roman" w:hAnsi="Times New Roman" w:eastAsia="仿宋_GB2312" w:cs="Times New Roman"/>
          <w:b w:val="0"/>
          <w:bCs/>
          <w:color w:val="auto"/>
          <w:sz w:val="32"/>
          <w:szCs w:val="32"/>
        </w:rPr>
        <w:t>，结合彭阳县拟改造企业数量，分四阶段推进试点工作</w:t>
      </w:r>
      <w:r>
        <w:rPr>
          <w:rFonts w:hint="default" w:ascii="Times New Roman" w:hAnsi="Times New Roman" w:cs="Times New Roman"/>
          <w:b w:val="0"/>
          <w:bCs/>
          <w:color w:val="auto"/>
          <w:sz w:val="32"/>
          <w:szCs w:val="32"/>
          <w:lang w:eastAsia="zh-CN"/>
        </w:rPr>
        <w:t>。</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lang w:eastAsia="zh-CN"/>
        </w:rPr>
        <w:t>（一）</w:t>
      </w:r>
      <w:r>
        <w:rPr>
          <w:rFonts w:hint="default" w:ascii="Times New Roman" w:hAnsi="Times New Roman" w:eastAsia="楷体" w:cs="Times New Roman"/>
          <w:color w:val="auto"/>
        </w:rPr>
        <w:t>谋划准备阶段</w:t>
      </w:r>
      <w:r>
        <w:rPr>
          <w:rFonts w:hint="default" w:ascii="Times New Roman" w:hAnsi="Times New Roman" w:eastAsia="楷体" w:cs="Times New Roman"/>
          <w:color w:val="auto"/>
          <w:lang w:eastAsia="zh-CN"/>
        </w:rPr>
        <w:t>。</w:t>
      </w:r>
      <w:r>
        <w:rPr>
          <w:rFonts w:hint="default" w:ascii="Times New Roman" w:hAnsi="Times New Roman" w:eastAsia="仿宋_GB2312" w:cs="Times New Roman"/>
          <w:color w:val="auto"/>
          <w:sz w:val="32"/>
          <w:szCs w:val="32"/>
        </w:rPr>
        <w:t>完成本方案编制印发，配套出台资金管理及服务保障措施，规范资金使用和服务行为。面向全县规上工业中小企业举办数字化转型专题培训会，深入解读自治区及县级相关政策</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组织服务商开展入企定级诊断，完成10家拟改造企业筛选，制定“一企一策”</w:t>
      </w:r>
      <w:r>
        <w:rPr>
          <w:rFonts w:hint="default" w:ascii="Times New Roman" w:hAnsi="Times New Roman" w:cs="Times New Roman"/>
          <w:color w:val="auto"/>
          <w:sz w:val="32"/>
          <w:szCs w:val="32"/>
          <w:lang w:eastAsia="zh-CN"/>
        </w:rPr>
        <w:t>数字化转型</w:t>
      </w:r>
      <w:r>
        <w:rPr>
          <w:rFonts w:hint="default" w:ascii="Times New Roman" w:hAnsi="Times New Roman" w:eastAsia="仿宋_GB2312" w:cs="Times New Roman"/>
          <w:color w:val="auto"/>
          <w:sz w:val="32"/>
          <w:szCs w:val="32"/>
        </w:rPr>
        <w:t>方案。</w:t>
      </w:r>
    </w:p>
    <w:p>
      <w:pPr>
        <w:pStyle w:val="3"/>
        <w:widowControl/>
        <w:numPr>
          <w:ilvl w:val="0"/>
          <w:numId w:val="0"/>
        </w:numPr>
        <w:topLinePunct w:val="0"/>
        <w:ind w:left="0" w:leftChars="0" w:firstLine="640"/>
        <w:rPr>
          <w:rFonts w:hint="default" w:ascii="Times New Roman" w:hAnsi="Times New Roman" w:eastAsia="仿宋_GB2312" w:cs="Times New Roman"/>
          <w:color w:val="auto"/>
          <w:sz w:val="32"/>
          <w:szCs w:val="32"/>
        </w:rPr>
      </w:pPr>
      <w:r>
        <w:rPr>
          <w:rFonts w:hint="default" w:ascii="Times New Roman" w:hAnsi="Times New Roman" w:cs="Times New Roman"/>
          <w:color w:val="auto"/>
          <w:lang w:eastAsia="zh-CN"/>
        </w:rPr>
        <w:t>（二）</w:t>
      </w:r>
      <w:r>
        <w:rPr>
          <w:rFonts w:hint="default" w:ascii="Times New Roman" w:hAnsi="Times New Roman" w:cs="Times New Roman"/>
          <w:color w:val="auto"/>
        </w:rPr>
        <w:t>实施推广阶段</w:t>
      </w:r>
      <w:r>
        <w:rPr>
          <w:rFonts w:hint="default" w:ascii="Times New Roman" w:hAnsi="Times New Roman" w:cs="Times New Roman"/>
          <w:color w:val="auto"/>
          <w:lang w:eastAsia="zh-CN"/>
        </w:rPr>
        <w:t>。</w:t>
      </w:r>
      <w:r>
        <w:rPr>
          <w:rFonts w:hint="default" w:ascii="Times New Roman" w:hAnsi="Times New Roman" w:eastAsia="仿宋_GB2312" w:cs="Times New Roman"/>
          <w:color w:val="auto"/>
          <w:sz w:val="32"/>
          <w:szCs w:val="32"/>
        </w:rPr>
        <w:t>全面推动10家拟改造企业数字化转型项目落地实施，建立项目全周期跟踪服务机制，每月调度项目进度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同步开展试点企业转型成效阶段性评估，实时收集企业反馈意见，动态优化改造方案和推进策略。梳理总结企业改造中的优秀经验做法，形成可</w:t>
      </w:r>
      <w:r>
        <w:rPr>
          <w:rFonts w:hint="default" w:ascii="Times New Roman" w:hAnsi="Times New Roman" w:eastAsia="仿宋_GB2312" w:cs="Times New Roman"/>
          <w:color w:val="auto"/>
          <w:spacing w:val="-3"/>
          <w:sz w:val="32"/>
          <w:szCs w:val="32"/>
        </w:rPr>
        <w:t>复</w:t>
      </w:r>
      <w:r>
        <w:rPr>
          <w:rFonts w:hint="default" w:ascii="Times New Roman" w:hAnsi="Times New Roman" w:eastAsia="仿宋_GB2312" w:cs="Times New Roman"/>
          <w:color w:val="auto"/>
          <w:spacing w:val="-2"/>
          <w:sz w:val="32"/>
          <w:szCs w:val="32"/>
        </w:rPr>
        <w:t>制</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2"/>
          <w:sz w:val="32"/>
          <w:szCs w:val="32"/>
        </w:rPr>
        <w:t>可推广的转型实践范式</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2"/>
          <w:sz w:val="32"/>
          <w:szCs w:val="32"/>
        </w:rPr>
        <w:t>在县域同行业中小企业中推</w:t>
      </w:r>
      <w:r>
        <w:rPr>
          <w:rFonts w:hint="default" w:ascii="Times New Roman" w:hAnsi="Times New Roman" w:eastAsia="仿宋_GB2312" w:cs="Times New Roman"/>
          <w:color w:val="auto"/>
          <w:spacing w:val="-6"/>
          <w:sz w:val="32"/>
          <w:szCs w:val="32"/>
        </w:rPr>
        <w:t>广</w:t>
      </w:r>
      <w:r>
        <w:rPr>
          <w:rFonts w:hint="default" w:ascii="Times New Roman" w:hAnsi="Times New Roman" w:eastAsia="仿宋_GB2312" w:cs="Times New Roman"/>
          <w:color w:val="auto"/>
          <w:sz w:val="32"/>
          <w:szCs w:val="32"/>
        </w:rPr>
        <w:t>借鉴。</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（三）</w:t>
      </w:r>
      <w:r>
        <w:rPr>
          <w:rFonts w:hint="default" w:ascii="Times New Roman" w:hAnsi="Times New Roman" w:cs="Times New Roman"/>
          <w:color w:val="auto"/>
        </w:rPr>
        <w:t>集中攻坚阶段</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转型进度滞后、成效不佳的试点企业，组建专项攻坚小组，深入剖析问题根源，结合企业行业特点制定个性化帮扶方案，精准破解转型堵点难点。启动试点工作“回头看”，对照既定工作目标，全面梳理各项指标完成情况，逐项核查工作短板，制定整改措施并限期落实，确保所有工作环节符合自治区验收标准。</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（四）</w:t>
      </w:r>
      <w:r>
        <w:rPr>
          <w:rFonts w:hint="default" w:ascii="Times New Roman" w:hAnsi="Times New Roman" w:cs="Times New Roman"/>
          <w:color w:val="auto"/>
        </w:rPr>
        <w:t>验收评价阶段（3个月）</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第三方验收机构完成10家试点企业改造项目验收，出具验收报告，完成企业数字化水平等级评定，形成“服务－验收－审计－定级”闭环管理。对验收中发现的问题，第一时间下发整改通知，指导企业限期完成整改；按要求向固原市工信局和自治区工业和信息化融合促进中心提交中期评价和终期绩效评价申请，配合完成自治区层面的绩效评价工作。全面总结试点工作成效，提炼可复制的成功经验和典型案例，通过多渠道推广分享，为县域中小企业数字化转型提供参考路径。</w:t>
      </w:r>
    </w:p>
    <w:p>
      <w:pPr>
        <w:pStyle w:val="2"/>
        <w:widowControl/>
        <w:numPr>
          <w:ilvl w:val="0"/>
          <w:numId w:val="0"/>
        </w:numPr>
        <w:topLinePunct w:val="0"/>
        <w:ind w:left="0" w:leftChars="0" w:firstLine="640"/>
        <w:rPr>
          <w:rFonts w:hint="default" w:ascii="Times New Roman" w:hAnsi="Times New Roman" w:cs="Times New Roman"/>
          <w:b w:val="0"/>
          <w:color w:val="auto"/>
        </w:rPr>
      </w:pPr>
      <w:r>
        <w:rPr>
          <w:rFonts w:hint="default" w:ascii="Times New Roman" w:hAnsi="Times New Roman" w:cs="Times New Roman"/>
          <w:color w:val="auto"/>
          <w:lang w:eastAsia="zh-CN"/>
        </w:rPr>
        <w:t>四、</w:t>
      </w:r>
      <w:r>
        <w:rPr>
          <w:rFonts w:hint="default" w:ascii="Times New Roman" w:hAnsi="Times New Roman" w:cs="Times New Roman"/>
          <w:color w:val="auto"/>
        </w:rPr>
        <w:t>保障措施</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lang w:eastAsia="zh-CN"/>
        </w:rPr>
      </w:pPr>
      <w:r>
        <w:rPr>
          <w:rFonts w:hint="default" w:ascii="Times New Roman" w:hAnsi="Times New Roman" w:cs="Times New Roman"/>
          <w:color w:val="auto"/>
          <w:lang w:eastAsia="zh-CN"/>
        </w:rPr>
        <w:t>（一）</w:t>
      </w:r>
      <w:r>
        <w:rPr>
          <w:rFonts w:hint="default" w:ascii="Times New Roman" w:hAnsi="Times New Roman" w:cs="Times New Roman"/>
          <w:color w:val="auto"/>
        </w:rPr>
        <w:t>强化组织领导，凝聚工作合力</w:t>
      </w:r>
      <w:r>
        <w:rPr>
          <w:rFonts w:hint="default" w:ascii="Times New Roman" w:hAnsi="Times New Roman" w:cs="Times New Roman"/>
          <w:color w:val="auto"/>
          <w:lang w:eastAsia="zh-CN"/>
        </w:rPr>
        <w:t>。</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成立由县政府</w:t>
      </w:r>
      <w:r>
        <w:rPr>
          <w:rFonts w:hint="default" w:ascii="Times New Roman" w:hAnsi="Times New Roman" w:cs="Times New Roman"/>
          <w:color w:val="auto"/>
          <w:sz w:val="32"/>
          <w:szCs w:val="32"/>
          <w:lang w:eastAsia="zh-CN"/>
        </w:rPr>
        <w:t>分管领导</w:t>
      </w:r>
      <w:r>
        <w:rPr>
          <w:rFonts w:hint="default" w:ascii="Times New Roman" w:hAnsi="Times New Roman" w:eastAsia="仿宋_GB2312" w:cs="Times New Roman"/>
          <w:color w:val="auto"/>
          <w:sz w:val="32"/>
          <w:szCs w:val="32"/>
        </w:rPr>
        <w:t>牵头的彭阳县中小企业数字化转型工作专班，整合工信、财政、</w:t>
      </w:r>
      <w:r>
        <w:rPr>
          <w:rFonts w:hint="default" w:ascii="Times New Roman" w:hAnsi="Times New Roman" w:cs="Times New Roman"/>
          <w:color w:val="auto"/>
          <w:sz w:val="32"/>
          <w:szCs w:val="32"/>
          <w:lang w:eastAsia="zh-CN"/>
        </w:rPr>
        <w:t>园区管委会、</w:t>
      </w:r>
      <w:r>
        <w:rPr>
          <w:rFonts w:hint="default" w:ascii="Times New Roman" w:hAnsi="Times New Roman" w:eastAsia="仿宋_GB2312" w:cs="Times New Roman"/>
          <w:color w:val="auto"/>
          <w:sz w:val="32"/>
          <w:szCs w:val="32"/>
        </w:rPr>
        <w:t>科技、审计等部门力量，形成</w:t>
      </w:r>
      <w:r>
        <w:rPr>
          <w:rFonts w:hint="default" w:ascii="Times New Roman" w:hAnsi="Times New Roman" w:cs="Times New Roman"/>
          <w:color w:val="auto"/>
          <w:sz w:val="32"/>
          <w:szCs w:val="32"/>
          <w:lang w:eastAsia="zh-CN"/>
        </w:rPr>
        <w:t>县级领导</w:t>
      </w:r>
      <w:r>
        <w:rPr>
          <w:rFonts w:hint="default" w:ascii="Times New Roman" w:hAnsi="Times New Roman" w:eastAsia="仿宋_GB2312" w:cs="Times New Roman"/>
          <w:color w:val="auto"/>
          <w:sz w:val="32"/>
          <w:szCs w:val="32"/>
        </w:rPr>
        <w:t>抓总、</w:t>
      </w:r>
      <w:r>
        <w:rPr>
          <w:rFonts w:hint="default" w:ascii="Times New Roman" w:hAnsi="Times New Roman" w:cs="Times New Roman"/>
          <w:color w:val="auto"/>
          <w:sz w:val="32"/>
          <w:szCs w:val="32"/>
          <w:lang w:eastAsia="zh-CN"/>
        </w:rPr>
        <w:t>工信部门</w:t>
      </w:r>
      <w:r>
        <w:rPr>
          <w:rFonts w:hint="default" w:ascii="Times New Roman" w:hAnsi="Times New Roman" w:eastAsia="仿宋_GB2312" w:cs="Times New Roman"/>
          <w:color w:val="auto"/>
          <w:sz w:val="32"/>
          <w:szCs w:val="32"/>
        </w:rPr>
        <w:t>具体负责、多部门协同联动的工作格局。建立专班联席会议制度，定期召开会议研究解决转型工作中的重大问题、协调堵点难点，打破部门壁垒，推动资源要素高效整合，重点保障主导产业数字化转型工作推进，确保各项任务一体部署、同步落实，为工作开展提供坚实组织支撑。</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rPr>
      </w:pPr>
      <w:r>
        <w:rPr>
          <w:rFonts w:hint="default" w:ascii="Times New Roman" w:hAnsi="Times New Roman" w:cs="Times New Roman"/>
          <w:color w:val="auto"/>
          <w:lang w:eastAsia="zh-CN"/>
        </w:rPr>
        <w:t>（二）</w:t>
      </w:r>
      <w:r>
        <w:rPr>
          <w:rFonts w:hint="default" w:ascii="Times New Roman" w:hAnsi="Times New Roman" w:cs="Times New Roman"/>
          <w:color w:val="auto"/>
        </w:rPr>
        <w:t>深化宣传引导，营造良好氛围</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依托彭阳县工信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官方公众号、中小企业公共服务平台等载体，定期发布数字化转型政策解读、典型案例、实操指南等内容，用通俗易懂的语言帮助企业理解政策红利。适时组织开展数字化转型专题培训、现场观摩会和工作推进会，强化企业经营管理者转型意识，激发企业主动转型内生动力，营造“主动转型、乐于转型、善于转型”的良好县域发展氛围。</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lang w:eastAsia="zh-CN"/>
        </w:rPr>
      </w:pPr>
      <w:r>
        <w:rPr>
          <w:rFonts w:hint="default" w:ascii="Times New Roman" w:hAnsi="Times New Roman" w:cs="Times New Roman"/>
          <w:color w:val="auto"/>
          <w:lang w:eastAsia="zh-CN"/>
        </w:rPr>
        <w:t>（三）</w:t>
      </w:r>
      <w:r>
        <w:rPr>
          <w:rFonts w:hint="default" w:ascii="Times New Roman" w:hAnsi="Times New Roman" w:cs="Times New Roman"/>
          <w:color w:val="auto"/>
        </w:rPr>
        <w:t>优化政策供给，精准赋能转型</w:t>
      </w:r>
      <w:r>
        <w:rPr>
          <w:rFonts w:hint="default" w:ascii="Times New Roman" w:hAnsi="Times New Roman" w:cs="Times New Roman"/>
          <w:color w:val="auto"/>
          <w:lang w:eastAsia="zh-CN"/>
        </w:rPr>
        <w:t>。</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按照自治区专项资金管理要求，出台县级中小企业数字化转型资金扶持措施，深度对接区市各类支持政策，集约配置资金、资源，重点投向企业数字化改造、工业互联网平台搭建、智能场景应用等核心领域，向四大主导产业转型项目倾斜，提升政策精准度和扶持实效。常态化开展政银企对接活动，鼓励本地金融机构开发数字化转型专项信贷产品、优化信贷服务，切实满足企业转型资金需求。同时，依托宁夏企业公共服务平台（168平台），为企业精准匹配优质数字化转型服务商，保障转型服务质量。</w:t>
      </w:r>
    </w:p>
    <w:p>
      <w:pPr>
        <w:pStyle w:val="3"/>
        <w:widowControl/>
        <w:numPr>
          <w:ilvl w:val="0"/>
          <w:numId w:val="0"/>
        </w:numPr>
        <w:topLinePunct w:val="0"/>
        <w:ind w:left="0" w:leftChars="0" w:firstLine="640"/>
        <w:rPr>
          <w:rFonts w:hint="default" w:ascii="Times New Roman" w:hAnsi="Times New Roman" w:eastAsia="楷体_GB2312" w:cs="Times New Roman"/>
          <w:b w:val="0"/>
          <w:color w:val="auto"/>
          <w:lang w:eastAsia="zh-CN"/>
        </w:rPr>
      </w:pPr>
      <w:r>
        <w:rPr>
          <w:rFonts w:hint="default" w:ascii="Times New Roman" w:hAnsi="Times New Roman" w:cs="Times New Roman"/>
          <w:color w:val="auto"/>
          <w:lang w:eastAsia="zh-CN"/>
        </w:rPr>
        <w:t>（四）</w:t>
      </w:r>
      <w:r>
        <w:rPr>
          <w:rFonts w:hint="default" w:ascii="Times New Roman" w:hAnsi="Times New Roman" w:cs="Times New Roman"/>
          <w:color w:val="auto"/>
        </w:rPr>
        <w:t>压实工作责任，强化监督考核</w:t>
      </w:r>
      <w:r>
        <w:rPr>
          <w:rFonts w:hint="default" w:ascii="Times New Roman" w:hAnsi="Times New Roman" w:cs="Times New Roman"/>
          <w:color w:val="auto"/>
          <w:lang w:eastAsia="zh-CN"/>
        </w:rPr>
        <w:t>。</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确各部门、各环节工作责任，将中小企业数字化转型工作纳入相关部门年度工作考核内容。工作专班牵头做好日常督查调度，定期通报工作进展情况，对工作推进有力、成效显著的单位和个人予以通报表扬；对工作落实不力、推诿扯皮、未按时完成目标任务的，依规依纪严肃追责问责。严格执行专项资金全程监管制度，建立资金使用台账，详细记录企业投资、补贴金额、资金流向等信息，主动接受社会监督，确保专项资金专款专用，坚决杜绝截留、挤占、挪用等行为。</w:t>
      </w: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cs="Times New Roman"/>
          <w:color w:val="auto"/>
          <w:lang w:eastAsia="zh-CN"/>
        </w:rPr>
      </w:pPr>
    </w:p>
    <w:p>
      <w:pPr>
        <w:pStyle w:val="11"/>
        <w:widowControl/>
        <w:pBdr>
          <w:top w:val="none" w:color="auto" w:sz="0" w:space="0"/>
          <w:left w:val="none" w:color="auto" w:sz="0" w:space="0"/>
          <w:bottom w:val="none" w:color="auto" w:sz="0" w:space="0"/>
          <w:right w:val="none" w:color="auto" w:sz="0" w:space="0"/>
        </w:pBdr>
        <w:rPr>
          <w:rFonts w:hint="default" w:ascii="Times New Roman" w:hAnsi="Times New Roman" w:eastAsia="仿宋_GB2312" w:cs="Times New Roman"/>
          <w:color w:val="auto"/>
          <w:sz w:val="32"/>
          <w:szCs w:val="32"/>
          <w:lang w:val="en"/>
        </w:rPr>
      </w:pPr>
      <w:r>
        <w:rPr>
          <w:rFonts w:hint="default" w:ascii="Times New Roman" w:hAnsi="Times New Roman" w:cs="Times New Roman"/>
          <w:color w:val="auto"/>
          <w:lang w:eastAsia="zh-CN"/>
        </w:rPr>
        <w:t>附件：</w:t>
      </w:r>
      <w:r>
        <w:rPr>
          <w:rFonts w:hint="default" w:ascii="Times New Roman" w:hAnsi="Times New Roman" w:cs="Times New Roman"/>
          <w:color w:val="auto"/>
          <w:lang w:val="en-US" w:eastAsia="zh-CN"/>
        </w:rPr>
        <w:t>1</w:t>
      </w:r>
      <w:r>
        <w:rPr>
          <w:rFonts w:hint="default" w:ascii="Times New Roman" w:hAnsi="Times New Roman" w:cs="Times New Roman"/>
          <w:color w:val="auto"/>
          <w:lang w:val="en" w:eastAsia="zh-CN"/>
        </w:rPr>
        <w:t>.</w:t>
      </w:r>
      <w:r>
        <w:rPr>
          <w:rFonts w:hint="default" w:ascii="Times New Roman" w:hAnsi="Times New Roman" w:eastAsia="仿宋_GB2312" w:cs="Times New Roman"/>
          <w:color w:val="auto"/>
          <w:sz w:val="32"/>
          <w:szCs w:val="32"/>
        </w:rPr>
        <w:t>彭阳县中小企业数字化转型工作专班</w:t>
      </w:r>
      <w:r>
        <w:rPr>
          <w:rFonts w:hint="default" w:ascii="Times New Roman" w:hAnsi="Times New Roman" w:cs="Times New Roman"/>
          <w:color w:val="auto"/>
          <w:sz w:val="32"/>
          <w:szCs w:val="32"/>
          <w:lang w:val="en"/>
        </w:rPr>
        <w:t>;</w:t>
      </w:r>
    </w:p>
    <w:p>
      <w:pPr>
        <w:pStyle w:val="11"/>
        <w:bidi w:val="0"/>
        <w:ind w:left="0" w:leftChars="0" w:firstLine="1540" w:firstLineChars="500"/>
        <w:rPr>
          <w:rFonts w:hint="default" w:ascii="Times New Roman" w:hAnsi="Times New Roman" w:cs="Times New Roman"/>
          <w:color w:val="auto"/>
          <w:sz w:val="32"/>
          <w:szCs w:val="32"/>
          <w:lang w:val="en" w:eastAsia="zh-CN"/>
        </w:rPr>
      </w:pP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lang w:val="en" w:eastAsia="zh-CN"/>
        </w:rPr>
        <w:t>.</w:t>
      </w:r>
      <w:r>
        <w:rPr>
          <w:rFonts w:hint="default" w:ascii="Times New Roman" w:hAnsi="Times New Roman" w:cs="Times New Roman"/>
          <w:color w:val="auto"/>
          <w:sz w:val="32"/>
          <w:szCs w:val="32"/>
          <w:lang w:val="en-US" w:eastAsia="zh-CN"/>
        </w:rPr>
        <w:t>彭阳县中小企业数字化转型专项资金管理办法。</w:t>
      </w:r>
    </w:p>
    <w:p>
      <w:pPr>
        <w:pStyle w:val="11"/>
        <w:bidi w:val="0"/>
        <w:ind w:left="0" w:leftChars="0" w:firstLine="924" w:firstLineChars="300"/>
        <w:rPr>
          <w:rFonts w:hint="default" w:ascii="Times New Roman" w:hAnsi="Times New Roman" w:eastAsia="仿宋_GB2312" w:cs="Times New Roman"/>
          <w:color w:val="auto"/>
          <w:sz w:val="32"/>
          <w:szCs w:val="32"/>
          <w:lang w:val="en-US" w:eastAsia="zh-CN"/>
        </w:rPr>
      </w:pPr>
    </w:p>
    <w:p>
      <w:pPr>
        <w:pStyle w:val="16"/>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3"/>
        <w:rPr>
          <w:rFonts w:hint="default" w:ascii="Times New Roman" w:hAnsi="Times New Roman" w:cs="Times New Roman"/>
          <w:color w:val="auto"/>
          <w:lang w:val="en-US" w:eastAsia="zh-CN"/>
        </w:rPr>
      </w:pPr>
    </w:p>
    <w:p>
      <w:pPr>
        <w:pStyle w:val="23"/>
        <w:rPr>
          <w:rFonts w:hint="default" w:ascii="Times New Roman" w:hAnsi="Times New Roman" w:cs="Times New Roman"/>
          <w:color w:val="auto"/>
          <w:lang w:val="en-US" w:eastAsia="zh-CN"/>
        </w:rPr>
      </w:pPr>
    </w:p>
    <w:p>
      <w:pPr>
        <w:pStyle w:val="23"/>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lang w:val="en-US" w:eastAsia="zh-CN"/>
        </w:rPr>
      </w:pPr>
    </w:p>
    <w:p>
      <w:pPr>
        <w:pStyle w:val="23"/>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2"/>
          <w:szCs w:val="32"/>
          <w:lang w:val="en-US" w:eastAsia="zh-CN"/>
        </w:rPr>
        <w:t>附件1：</w:t>
      </w:r>
    </w:p>
    <w:p>
      <w:pPr>
        <w:pStyle w:val="11"/>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p>
    <w:p>
      <w:pPr>
        <w:pStyle w:val="11"/>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彭阳县中小企业数字化转型工作专班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为加快推进中小企业数字化转型工作，成立彭阳县中小企业数字化转型工作专班如下：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组  长：</w:t>
      </w:r>
      <w:r>
        <w:rPr>
          <w:rFonts w:hint="default" w:ascii="Times New Roman" w:hAnsi="Times New Roman" w:eastAsia="仿宋_GB2312" w:cs="Times New Roman"/>
          <w:color w:val="auto"/>
          <w:sz w:val="32"/>
          <w:szCs w:val="32"/>
          <w:lang w:val="en-US" w:eastAsia="zh-CN"/>
        </w:rPr>
        <w:t>田  野  政府副县长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副组长</w:t>
      </w:r>
      <w:r>
        <w:rPr>
          <w:rFonts w:hint="default" w:ascii="Times New Roman" w:hAnsi="Times New Roman" w:eastAsia="仿宋_GB2312" w:cs="Times New Roman"/>
          <w:color w:val="auto"/>
          <w:sz w:val="32"/>
          <w:szCs w:val="32"/>
          <w:lang w:val="en-US" w:eastAsia="zh-CN"/>
        </w:rPr>
        <w:t>：祁  玉</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工信商务局局长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成员单位：</w:t>
      </w:r>
      <w:r>
        <w:rPr>
          <w:rFonts w:hint="default" w:ascii="Times New Roman" w:hAnsi="Times New Roman" w:eastAsia="仿宋_GB2312" w:cs="Times New Roman"/>
          <w:color w:val="auto"/>
          <w:sz w:val="32"/>
          <w:szCs w:val="32"/>
          <w:lang w:val="en-US" w:eastAsia="zh-CN"/>
        </w:rPr>
        <w:t>工信商务局、财政局、发改局、园区管委会、科技局、审计局。</w:t>
      </w:r>
    </w:p>
    <w:p>
      <w:pPr>
        <w:pStyle w:val="3"/>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工作职责：</w:t>
      </w:r>
      <w:r>
        <w:rPr>
          <w:rFonts w:hint="default" w:ascii="Times New Roman" w:hAnsi="Times New Roman" w:eastAsia="仿宋_GB2312" w:cs="Times New Roman"/>
          <w:color w:val="auto"/>
          <w:sz w:val="32"/>
          <w:szCs w:val="32"/>
          <w:lang w:val="en-US" w:eastAsia="zh-CN"/>
        </w:rPr>
        <w:t>负责全县中小企业数字化转型全面工作，包括落实区市相关会议及文件精神，</w:t>
      </w:r>
      <w:r>
        <w:rPr>
          <w:rFonts w:hint="default" w:ascii="Times New Roman" w:hAnsi="Times New Roman" w:eastAsia="仿宋_GB2312" w:cs="Times New Roman"/>
          <w:color w:val="auto"/>
          <w:sz w:val="32"/>
          <w:szCs w:val="32"/>
        </w:rPr>
        <w:t>适时组织开展数字化转型专题培训、现场观摩会和工作推进会，全面推动10家拟改造企业数字化转型项目落地实施，建立项目全周期跟踪服务机制，每月调度项目进度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同步开展试点企业转型成效阶段性评估，实时收集企业反馈意见，梳理总结企业改造中的优秀经验做法，形成可</w:t>
      </w:r>
      <w:r>
        <w:rPr>
          <w:rFonts w:hint="default" w:ascii="Times New Roman" w:hAnsi="Times New Roman" w:eastAsia="仿宋_GB2312" w:cs="Times New Roman"/>
          <w:color w:val="auto"/>
          <w:spacing w:val="-3"/>
          <w:sz w:val="32"/>
          <w:szCs w:val="32"/>
        </w:rPr>
        <w:t>复</w:t>
      </w:r>
      <w:r>
        <w:rPr>
          <w:rFonts w:hint="default" w:ascii="Times New Roman" w:hAnsi="Times New Roman" w:eastAsia="仿宋_GB2312" w:cs="Times New Roman"/>
          <w:color w:val="auto"/>
          <w:spacing w:val="-2"/>
          <w:sz w:val="32"/>
          <w:szCs w:val="32"/>
        </w:rPr>
        <w:t>制</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2"/>
          <w:sz w:val="32"/>
          <w:szCs w:val="32"/>
        </w:rPr>
        <w:t>可推广的转型实践范式</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2"/>
          <w:sz w:val="32"/>
          <w:szCs w:val="32"/>
        </w:rPr>
        <w:t>在县域同行业中小企业中推</w:t>
      </w:r>
      <w:r>
        <w:rPr>
          <w:rFonts w:hint="default" w:ascii="Times New Roman" w:hAnsi="Times New Roman" w:eastAsia="仿宋_GB2312" w:cs="Times New Roman"/>
          <w:color w:val="auto"/>
          <w:spacing w:val="-6"/>
          <w:sz w:val="32"/>
          <w:szCs w:val="32"/>
        </w:rPr>
        <w:t>广</w:t>
      </w:r>
      <w:r>
        <w:rPr>
          <w:rFonts w:hint="default" w:ascii="Times New Roman" w:hAnsi="Times New Roman" w:eastAsia="仿宋_GB2312" w:cs="Times New Roman"/>
          <w:color w:val="auto"/>
          <w:sz w:val="32"/>
          <w:szCs w:val="32"/>
        </w:rPr>
        <w:t>借鉴。定期召开会议研究解决转型工作中的重大问题、协调堵点难点，打破部门壁垒，推动资源要素高效整合，重点保障主导产业数字化转型工作推进，确保各项任务一体部署、同步落实，为工作开展提供坚实组织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p>
    <w:p>
      <w:pPr>
        <w:pStyle w:val="23"/>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lang w:val="en-US" w:eastAsia="zh-CN"/>
        </w:rPr>
      </w:pPr>
    </w:p>
    <w:p>
      <w:pPr>
        <w:pStyle w:val="23"/>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pStyle w:val="2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p>
    <w:p>
      <w:pPr>
        <w:pStyle w:val="2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彭阳县中小企业数字化转型专项资金管理办法</w:t>
      </w:r>
    </w:p>
    <w:p>
      <w:pPr>
        <w:pStyle w:val="2"/>
        <w:numPr>
          <w:ilvl w:val="0"/>
          <w:numId w:val="0"/>
        </w:numPr>
        <w:ind w:left="0" w:leftChars="0" w:firstLine="640"/>
        <w:rPr>
          <w:rFonts w:hint="default" w:ascii="Times New Roman" w:hAnsi="Times New Roman" w:cs="Times New Roman"/>
          <w:color w:val="auto"/>
          <w:lang w:eastAsia="zh-CN"/>
        </w:rPr>
      </w:pP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第一条 </w:t>
      </w:r>
      <w:r>
        <w:rPr>
          <w:rFonts w:hint="default" w:ascii="Times New Roman" w:hAnsi="Times New Roman" w:cs="Times New Roman"/>
          <w:color w:val="auto"/>
        </w:rPr>
        <w:t>制定依据</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规范中小企业数字化转型专项资金管理，提高资金使用效益，加快推进本县中小企业数字化转型工作，依据自治区工业和信息化厅、财政厅《关于做好县（区）中小企业数字化转型工作的通知》（宁工信创融发〔2026〕21号）、《彭阳县中小企业数字化转型工作方案》及《中小企业发展专项资金管理办法》（财建〔2021〕148号）等政策规定，结合本县实际，制定本办法。</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第二条 </w:t>
      </w:r>
      <w:r>
        <w:rPr>
          <w:rFonts w:hint="default" w:ascii="Times New Roman" w:hAnsi="Times New Roman" w:cs="Times New Roman"/>
          <w:color w:val="auto"/>
        </w:rPr>
        <w:t>资金定义</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本办法所称彭阳县中小企业数字化转型专项资金（以下简称 “专项资金”），是指由自治区下达的中小企业数字化转型试点奖补资金，专项用于支持本县中小企业数字化转型工作的财政资金，实行专款专用管理。</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第三条 </w:t>
      </w:r>
      <w:r>
        <w:rPr>
          <w:rFonts w:hint="default" w:ascii="Times New Roman" w:hAnsi="Times New Roman" w:cs="Times New Roman"/>
          <w:color w:val="auto"/>
        </w:rPr>
        <w:t>管理原则</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的使用和管理遵循规范高效、突出重点、注重绩效、公平公正的原则，确保资金使用规范、安全、高效，不得用于财政供养单位人员福利、公用经费、机构运转经费等一般性支出，严禁用于楼堂馆所等基建工程支出，不得用于平衡本级预算。</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第四条 </w:t>
      </w:r>
      <w:r>
        <w:rPr>
          <w:rFonts w:hint="default" w:ascii="Times New Roman" w:hAnsi="Times New Roman" w:cs="Times New Roman"/>
          <w:color w:val="auto"/>
        </w:rPr>
        <w:t>资金使用比例</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专项资金中用于企业数字化改造相关支出的资金占比不低于 90％，剩余不超过10％的资金可用于奖励优质数字化转型服务商，以及开展数字化人才培训、第三方评测服</w:t>
      </w:r>
      <w:r>
        <w:rPr>
          <w:rFonts w:hint="default" w:ascii="Times New Roman" w:hAnsi="Times New Roman" w:eastAsia="仿宋_GB2312" w:cs="Times New Roman"/>
          <w:color w:val="auto"/>
          <w:spacing w:val="4"/>
          <w:sz w:val="32"/>
          <w:szCs w:val="32"/>
        </w:rPr>
        <w:t>务等配套工作</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4"/>
          <w:sz w:val="32"/>
          <w:szCs w:val="32"/>
        </w:rPr>
        <w:t>配套资金使用需严格遵守财政经费管理相</w:t>
      </w:r>
      <w:r>
        <w:rPr>
          <w:rFonts w:hint="default" w:ascii="Times New Roman" w:hAnsi="Times New Roman" w:eastAsia="仿宋_GB2312" w:cs="Times New Roman"/>
          <w:color w:val="auto"/>
          <w:spacing w:val="-6"/>
          <w:sz w:val="32"/>
          <w:szCs w:val="32"/>
        </w:rPr>
        <w:t>关</w:t>
      </w:r>
      <w:r>
        <w:rPr>
          <w:rFonts w:hint="default" w:ascii="Times New Roman" w:hAnsi="Times New Roman" w:eastAsia="仿宋_GB2312" w:cs="Times New Roman"/>
          <w:color w:val="auto"/>
          <w:sz w:val="32"/>
          <w:szCs w:val="32"/>
        </w:rPr>
        <w:t>规定。</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第五条 </w:t>
      </w:r>
      <w:r>
        <w:rPr>
          <w:rFonts w:hint="default" w:ascii="Times New Roman" w:hAnsi="Times New Roman" w:cs="Times New Roman"/>
          <w:color w:val="auto"/>
        </w:rPr>
        <w:t>部门职责分工</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县工</w:t>
      </w:r>
      <w:r>
        <w:rPr>
          <w:rFonts w:hint="default" w:ascii="Times New Roman" w:hAnsi="Times New Roman" w:cs="Times New Roman"/>
          <w:color w:val="auto"/>
          <w:sz w:val="32"/>
          <w:szCs w:val="32"/>
          <w:lang w:eastAsia="zh-CN"/>
        </w:rPr>
        <w:t>信商务</w:t>
      </w:r>
      <w:r>
        <w:rPr>
          <w:rFonts w:hint="default" w:ascii="Times New Roman" w:hAnsi="Times New Roman" w:eastAsia="仿宋_GB2312" w:cs="Times New Roman"/>
          <w:color w:val="auto"/>
          <w:sz w:val="32"/>
          <w:szCs w:val="32"/>
        </w:rPr>
        <w:t>局为牵头单位，负责专项资金项目组织实施、使用管理，组织开展申报、遴选、评审、公示、验收、成效评价，编制资金使用计划和绩效目标，兑付补助奖励资金，开展绩效自评、日常监管和信息公开，会同财政部门开展联合监督检查；县财政局负责专项资金预算管理、国库集中支付，审核绩效目标，保障资金合规及时拨付。</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第六条 </w:t>
      </w:r>
      <w:r>
        <w:rPr>
          <w:rFonts w:hint="default" w:ascii="Times New Roman" w:hAnsi="Times New Roman" w:cs="Times New Roman"/>
          <w:color w:val="auto"/>
        </w:rPr>
        <w:t>支持范围及对象</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专项资金重点支持本县</w:t>
      </w:r>
      <w:r>
        <w:rPr>
          <w:rFonts w:hint="default" w:ascii="Times New Roman" w:hAnsi="Times New Roman" w:eastAsia="仿宋_GB2312" w:cs="Times New Roman"/>
          <w:color w:val="auto"/>
          <w:sz w:val="32"/>
          <w:szCs w:val="32"/>
          <w:highlight w:val="none"/>
        </w:rPr>
        <w:t>轻工纺织、装备制造、农副产品加工、新型材料四大主导产业中小企</w:t>
      </w:r>
      <w:r>
        <w:rPr>
          <w:rFonts w:hint="default" w:ascii="Times New Roman" w:hAnsi="Times New Roman" w:eastAsia="仿宋_GB2312" w:cs="Times New Roman"/>
          <w:color w:val="auto"/>
          <w:sz w:val="32"/>
          <w:szCs w:val="32"/>
        </w:rPr>
        <w:t>业数字化转型工作，支持对象包括纳入试点范围的中小企业、数字化转型标杆企业、优质数字化转型服务商，优先支持专精特新中小企业、规上工业中小企业。</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第七条 </w:t>
      </w:r>
      <w:r>
        <w:rPr>
          <w:rFonts w:hint="default" w:ascii="Times New Roman" w:hAnsi="Times New Roman" w:cs="Times New Roman"/>
          <w:color w:val="auto"/>
        </w:rPr>
        <w:t>支持方式及标准</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中小企业数字化改造投入补助</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对纳入试点范围、完成数字化改造并通过验收，且数字化水平达到自治区提升要求（原有二级以下提至二级及以上，原有二级及以上提至三级及以上）的中小企业，按数字化改造软硬件实际投资额的50％给予补助，单家企业最高补助金额不超过40万元，实际补助金额结合数字化等级提升情况、实际投资规模合理核定。</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（二）</w:t>
      </w:r>
      <w:r>
        <w:rPr>
          <w:rFonts w:hint="default" w:ascii="Times New Roman" w:hAnsi="Times New Roman" w:eastAsia="楷体" w:cs="Times New Roman"/>
          <w:color w:val="auto"/>
          <w:sz w:val="32"/>
          <w:szCs w:val="32"/>
        </w:rPr>
        <w:t>数字化转型标杆企业奖励</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遴选2家本县四大主导产业内数字化转型成效突出、应用场景典型、示范带动作用显著的县级标杆企业，每家给予最高10万元一次性奖励，奖励资金专项用于企业后续数字化升级、技术迭代相关工作。</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（三）</w:t>
      </w:r>
      <w:r>
        <w:rPr>
          <w:rFonts w:hint="default" w:ascii="Times New Roman" w:hAnsi="Times New Roman" w:eastAsia="楷体" w:cs="Times New Roman"/>
          <w:color w:val="auto"/>
          <w:sz w:val="32"/>
          <w:szCs w:val="32"/>
        </w:rPr>
        <w:t>配套工作奖励及服务支出</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从不超过10％的配套资金中</w:t>
      </w:r>
      <w:r>
        <w:rPr>
          <w:rFonts w:hint="default" w:ascii="Times New Roman" w:hAnsi="Times New Roman" w:cs="Times New Roman"/>
          <w:color w:val="auto"/>
          <w:sz w:val="32"/>
          <w:szCs w:val="32"/>
          <w:lang w:eastAsia="zh-CN"/>
        </w:rPr>
        <w:t>抽出</w:t>
      </w:r>
      <w:r>
        <w:rPr>
          <w:rFonts w:hint="default" w:ascii="Times New Roman" w:hAnsi="Times New Roman" w:cs="Times New Roman"/>
          <w:color w:val="auto"/>
          <w:sz w:val="32"/>
          <w:szCs w:val="32"/>
          <w:lang w:val="en-US" w:eastAsia="zh-CN"/>
        </w:rPr>
        <w:t>20万元</w:t>
      </w:r>
      <w:r>
        <w:rPr>
          <w:rFonts w:hint="default" w:ascii="Times New Roman" w:hAnsi="Times New Roman" w:eastAsia="仿宋_GB2312" w:cs="Times New Roman"/>
          <w:color w:val="auto"/>
          <w:sz w:val="32"/>
          <w:szCs w:val="32"/>
        </w:rPr>
        <w:t>，用于数字化转型政策宣讲、人才培训、第三方评测、项目评审等配套服务支出。</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第八条 </w:t>
      </w:r>
      <w:r>
        <w:rPr>
          <w:rFonts w:hint="default" w:ascii="Times New Roman" w:hAnsi="Times New Roman" w:cs="Times New Roman"/>
          <w:color w:val="auto"/>
        </w:rPr>
        <w:t>企业申报基本条件</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资金补助的中小企业需同时满足：符合《中小企业划型标准规定》（工信部联企业〔2011〕300号），在彭阳县依法注册登记、具有独立法人资格，注册经营满1年以上；合法经营、依法纳税，财务状况良好，无不良信用记录，未被列入经营异常名录、严重失信主体名单；属于本</w:t>
      </w:r>
      <w:r>
        <w:rPr>
          <w:rFonts w:hint="default" w:ascii="Times New Roman" w:hAnsi="Times New Roman" w:eastAsia="仿宋_GB2312" w:cs="Times New Roman"/>
          <w:color w:val="auto"/>
          <w:sz w:val="32"/>
          <w:szCs w:val="32"/>
          <w:highlight w:val="none"/>
        </w:rPr>
        <w:t>县主导产业，转</w:t>
      </w:r>
      <w:r>
        <w:rPr>
          <w:rFonts w:hint="default" w:ascii="Times New Roman" w:hAnsi="Times New Roman" w:eastAsia="仿宋_GB2312" w:cs="Times New Roman"/>
          <w:color w:val="auto"/>
          <w:sz w:val="32"/>
          <w:szCs w:val="32"/>
        </w:rPr>
        <w:t>型意愿强烈，具备数字化转</w:t>
      </w:r>
      <w:r>
        <w:rPr>
          <w:rFonts w:hint="default" w:ascii="Times New Roman" w:hAnsi="Times New Roman" w:eastAsia="仿宋_GB2312" w:cs="Times New Roman"/>
          <w:color w:val="auto"/>
          <w:spacing w:val="-3"/>
          <w:sz w:val="32"/>
          <w:szCs w:val="32"/>
        </w:rPr>
        <w:t>型基础条件</w:t>
      </w:r>
      <w:r>
        <w:rPr>
          <w:rFonts w:hint="default" w:ascii="Times New Roman" w:hAnsi="Times New Roman" w:eastAsia="仿宋_GB2312" w:cs="Times New Roman"/>
          <w:color w:val="auto"/>
          <w:spacing w:val="-2"/>
          <w:sz w:val="32"/>
          <w:szCs w:val="32"/>
        </w:rPr>
        <w:t>；</w:t>
      </w:r>
      <w:r>
        <w:rPr>
          <w:rFonts w:hint="default" w:ascii="Times New Roman" w:hAnsi="Times New Roman" w:eastAsia="仿宋_GB2312" w:cs="Times New Roman"/>
          <w:color w:val="auto"/>
          <w:spacing w:val="-3"/>
          <w:sz w:val="32"/>
          <w:szCs w:val="32"/>
        </w:rPr>
        <w:t>纳入本县试点范围</w:t>
      </w:r>
      <w:r>
        <w:rPr>
          <w:rFonts w:hint="default" w:ascii="Times New Roman" w:hAnsi="Times New Roman" w:eastAsia="仿宋_GB2312" w:cs="Times New Roman"/>
          <w:color w:val="auto"/>
          <w:spacing w:val="-2"/>
          <w:sz w:val="32"/>
          <w:szCs w:val="32"/>
        </w:rPr>
        <w:t>，</w:t>
      </w:r>
      <w:r>
        <w:rPr>
          <w:rFonts w:hint="default" w:ascii="Times New Roman" w:hAnsi="Times New Roman" w:eastAsia="仿宋_GB2312" w:cs="Times New Roman"/>
          <w:color w:val="auto"/>
          <w:spacing w:val="-3"/>
          <w:sz w:val="32"/>
          <w:szCs w:val="32"/>
        </w:rPr>
        <w:t>按改造方案完成任务并通</w:t>
      </w:r>
      <w:r>
        <w:rPr>
          <w:rFonts w:hint="default" w:ascii="Times New Roman" w:hAnsi="Times New Roman" w:eastAsia="仿宋_GB2312" w:cs="Times New Roman"/>
          <w:color w:val="auto"/>
          <w:spacing w:val="-6"/>
          <w:sz w:val="32"/>
          <w:szCs w:val="32"/>
        </w:rPr>
        <w:t>过</w:t>
      </w:r>
      <w:r>
        <w:rPr>
          <w:rFonts w:hint="default" w:ascii="Times New Roman" w:hAnsi="Times New Roman" w:eastAsia="仿宋_GB2312" w:cs="Times New Roman"/>
          <w:color w:val="auto"/>
          <w:sz w:val="32"/>
          <w:szCs w:val="32"/>
        </w:rPr>
        <w:t>验收。</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cs="Times New Roman"/>
          <w:color w:val="auto"/>
          <w:sz w:val="32"/>
          <w:szCs w:val="32"/>
          <w:lang w:eastAsia="zh-CN"/>
        </w:rPr>
        <w:t xml:space="preserve">第九条 </w:t>
      </w:r>
      <w:r>
        <w:rPr>
          <w:rFonts w:hint="default" w:ascii="Times New Roman" w:hAnsi="Times New Roman" w:eastAsia="仿宋_GB2312" w:cs="Times New Roman"/>
          <w:color w:val="auto"/>
          <w:sz w:val="32"/>
          <w:szCs w:val="32"/>
        </w:rPr>
        <w:t>服务商及龙头企业申报条件</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数字化转型服务商</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入选宁夏企业公共服务平台（168平台）数字化转型服务商资源池；具有独立法人资格，具备相关服务资质、专业技术团队和行业服务经验；合法经营、无不良信用记录，严格遵守“改造评测分离”原则，无转包、分包服务行为；服务效果得到企业及主管部门认可。</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第十条 </w:t>
      </w:r>
      <w:r>
        <w:rPr>
          <w:rFonts w:hint="default" w:ascii="Times New Roman" w:hAnsi="Times New Roman" w:cs="Times New Roman"/>
          <w:color w:val="auto"/>
        </w:rPr>
        <w:t>不予支持情形</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下列情形之一的单位及项目，专项资金不予支持：被列入经营异常名录、严重失信主体名单、政府采购严重违法失信行为记录名单的；近三年发生重大及以上生产安全、网络安全、数据安全、环境保护等事故，或存在偷漏税、非法集资等违法违规行为的；未按规定完成改造任务，或改造后数字化水平未达到自治区提升要求的；申报材料弄虚作假、虚报投资额、伪造凭证套取财政资金的；已获得自治区、固原市同类财政资金补助，申请重复支持的；拒绝配合主管部门监督检查、绩效评价的。</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第十一条 </w:t>
      </w:r>
      <w:r>
        <w:rPr>
          <w:rFonts w:hint="default" w:ascii="Times New Roman" w:hAnsi="Times New Roman" w:cs="Times New Roman"/>
          <w:color w:val="auto"/>
        </w:rPr>
        <w:t>项目遴选及公示</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按照本县数字化转型工作方案，发布试点企业、标杆企业，明确支持重点、申报条件、程序及材料要求；组织行业技术、财务、管理领域专家开展项目评审，坚持客观、公正、专业原则；对通过评审的拟支持对象，在官方网站、公众号等平台公示不少于5个工作日，公示内容包括单位名称、项目内容、拟补助奖励金</w:t>
      </w:r>
      <w:r>
        <w:rPr>
          <w:rFonts w:hint="default" w:ascii="Times New Roman" w:hAnsi="Times New Roman" w:eastAsia="仿宋_GB2312" w:cs="Times New Roman"/>
          <w:color w:val="auto"/>
          <w:spacing w:val="-3"/>
          <w:sz w:val="32"/>
          <w:szCs w:val="32"/>
        </w:rPr>
        <w:t>额</w:t>
      </w:r>
      <w:r>
        <w:rPr>
          <w:rFonts w:hint="default" w:ascii="Times New Roman" w:hAnsi="Times New Roman" w:eastAsia="仿宋_GB2312" w:cs="Times New Roman"/>
          <w:color w:val="auto"/>
          <w:spacing w:val="-2"/>
          <w:sz w:val="32"/>
          <w:szCs w:val="32"/>
        </w:rPr>
        <w:t>，</w:t>
      </w:r>
      <w:r>
        <w:rPr>
          <w:rFonts w:hint="default" w:ascii="Times New Roman" w:hAnsi="Times New Roman" w:eastAsia="仿宋_GB2312" w:cs="Times New Roman"/>
          <w:color w:val="auto"/>
          <w:spacing w:val="-3"/>
          <w:sz w:val="32"/>
          <w:szCs w:val="32"/>
        </w:rPr>
        <w:t>公示有异议的及时核查处理</w:t>
      </w:r>
      <w:r>
        <w:rPr>
          <w:rFonts w:hint="default" w:ascii="Times New Roman" w:hAnsi="Times New Roman" w:eastAsia="仿宋_GB2312" w:cs="Times New Roman"/>
          <w:color w:val="auto"/>
          <w:spacing w:val="-2"/>
          <w:sz w:val="32"/>
          <w:szCs w:val="32"/>
        </w:rPr>
        <w:t>，</w:t>
      </w:r>
      <w:r>
        <w:rPr>
          <w:rFonts w:hint="default" w:ascii="Times New Roman" w:hAnsi="Times New Roman" w:eastAsia="仿宋_GB2312" w:cs="Times New Roman"/>
          <w:color w:val="auto"/>
          <w:spacing w:val="-3"/>
          <w:sz w:val="32"/>
          <w:szCs w:val="32"/>
        </w:rPr>
        <w:t>无异议后纳入专项资金支</w:t>
      </w:r>
      <w:r>
        <w:rPr>
          <w:rFonts w:hint="default" w:ascii="Times New Roman" w:hAnsi="Times New Roman" w:eastAsia="仿宋_GB2312" w:cs="Times New Roman"/>
          <w:color w:val="auto"/>
          <w:spacing w:val="-6"/>
          <w:sz w:val="32"/>
          <w:szCs w:val="32"/>
        </w:rPr>
        <w:t>持</w:t>
      </w:r>
      <w:r>
        <w:rPr>
          <w:rFonts w:hint="default" w:ascii="Times New Roman" w:hAnsi="Times New Roman" w:eastAsia="仿宋_GB2312" w:cs="Times New Roman"/>
          <w:color w:val="auto"/>
          <w:sz w:val="32"/>
          <w:szCs w:val="32"/>
        </w:rPr>
        <w:t>范围。</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黑体" w:cs="Times New Roman"/>
          <w:b/>
          <w:color w:val="auto"/>
          <w:sz w:val="32"/>
          <w:szCs w:val="32"/>
          <w:lang w:eastAsia="zh-CN"/>
        </w:rPr>
      </w:pPr>
      <w:r>
        <w:rPr>
          <w:rFonts w:hint="default" w:ascii="Times New Roman" w:hAnsi="Times New Roman" w:eastAsia="黑体" w:cs="Times New Roman"/>
          <w:color w:val="auto"/>
          <w:sz w:val="32"/>
          <w:szCs w:val="32"/>
          <w:lang w:eastAsia="zh-CN"/>
        </w:rPr>
        <w:t xml:space="preserve">第十二条 </w:t>
      </w:r>
      <w:r>
        <w:rPr>
          <w:rFonts w:hint="default" w:ascii="Times New Roman" w:hAnsi="Times New Roman" w:eastAsia="黑体" w:cs="Times New Roman"/>
          <w:color w:val="auto"/>
          <w:sz w:val="32"/>
          <w:szCs w:val="32"/>
        </w:rPr>
        <w:t>资金拨付方式及流程</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（一）</w:t>
      </w:r>
      <w:r>
        <w:rPr>
          <w:rFonts w:hint="default" w:ascii="Times New Roman" w:hAnsi="Times New Roman" w:eastAsia="楷体" w:cs="Times New Roman"/>
          <w:color w:val="auto"/>
          <w:sz w:val="32"/>
          <w:szCs w:val="32"/>
        </w:rPr>
        <w:t>拨付方式</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中小企业数字化改造资金严格执行 “县（区）初审、市级审核、分级负责” 的拨付机制；标杆企业、龙头企业的奖励资金，在评选评价完成并公示无异议后一次性兑付。</w:t>
      </w:r>
    </w:p>
    <w:p>
      <w:pPr>
        <w:pStyle w:val="11"/>
        <w:pageBreakBefore w:val="0"/>
        <w:widowControl/>
        <w:numPr>
          <w:ilvl w:val="0"/>
          <w:numId w:val="0"/>
        </w:numPr>
        <w:kinsoku/>
        <w:wordWrap/>
        <w:overflowPunct/>
        <w:topLinePunct w:val="0"/>
        <w:autoSpaceDE/>
        <w:autoSpaceDN/>
        <w:bidi w:val="0"/>
        <w:adjustRightInd/>
        <w:snapToGrid/>
        <w:ind w:left="0" w:leftChars="0"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lang w:eastAsia="zh-CN"/>
        </w:rPr>
        <w:t>（二）具体流程。</w:t>
      </w:r>
      <w:r>
        <w:rPr>
          <w:rFonts w:hint="default" w:ascii="Times New Roman" w:hAnsi="Times New Roman" w:eastAsia="楷体" w:cs="Times New Roman"/>
          <w:color w:val="auto"/>
          <w:sz w:val="32"/>
          <w:szCs w:val="32"/>
          <w:lang w:val="en-US" w:eastAsia="zh-CN"/>
        </w:rPr>
        <w:t>1、</w:t>
      </w:r>
      <w:r>
        <w:rPr>
          <w:rFonts w:hint="default" w:ascii="Times New Roman" w:hAnsi="Times New Roman" w:eastAsia="仿宋_GB2312" w:cs="Times New Roman"/>
          <w:color w:val="auto"/>
          <w:sz w:val="32"/>
          <w:szCs w:val="32"/>
        </w:rPr>
        <w:t>验收申请：企业完成改造后，提交验收申请、改造台账、投资凭证、数字化水平评测佐证材料等全套真实完整资料；</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审核：县工信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局委托第三方评测机构（与改造机构无关联）开展数字化水平定级验收和投资审核，形成初审意见后报送固原市工信部门进行市级审核；</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兑付：市级审核通过后，对拟补助企业公示不少于5个工作日，无异议的由财政局一次性兑付全额资金，最终补助金额不超40万元。</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第十三条 </w:t>
      </w:r>
      <w:r>
        <w:rPr>
          <w:rFonts w:hint="default" w:ascii="Times New Roman" w:hAnsi="Times New Roman" w:cs="Times New Roman"/>
          <w:color w:val="auto"/>
        </w:rPr>
        <w:t>资金追回情形</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试点企业数字化改造验收未通过的，限期30日内完成整改，整改期间暂停资金拨付；整改后仍未通过验收的，由县工信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局取消其试点资格，不再享受专项资金补助；企业虚报投资额、伪造材</w:t>
      </w:r>
      <w:r>
        <w:rPr>
          <w:rFonts w:hint="default" w:ascii="Times New Roman" w:hAnsi="Times New Roman" w:eastAsia="仿宋_GB2312" w:cs="Times New Roman"/>
          <w:color w:val="auto"/>
          <w:spacing w:val="-3"/>
          <w:sz w:val="32"/>
          <w:szCs w:val="32"/>
        </w:rPr>
        <w:t>料套取资金</w:t>
      </w:r>
      <w:r>
        <w:rPr>
          <w:rFonts w:hint="default" w:ascii="Times New Roman" w:hAnsi="Times New Roman" w:eastAsia="仿宋_GB2312" w:cs="Times New Roman"/>
          <w:color w:val="auto"/>
          <w:spacing w:val="-2"/>
          <w:sz w:val="32"/>
          <w:szCs w:val="32"/>
        </w:rPr>
        <w:t>的</w:t>
      </w:r>
      <w:r>
        <w:rPr>
          <w:rFonts w:hint="default" w:ascii="Times New Roman" w:hAnsi="Times New Roman" w:eastAsia="仿宋_GB2312" w:cs="Times New Roman"/>
          <w:color w:val="auto"/>
          <w:spacing w:val="-3"/>
          <w:sz w:val="32"/>
          <w:szCs w:val="32"/>
        </w:rPr>
        <w:t>，一经查实立即追回资金</w:t>
      </w:r>
      <w:r>
        <w:rPr>
          <w:rFonts w:hint="default" w:ascii="Times New Roman" w:hAnsi="Times New Roman" w:eastAsia="仿宋_GB2312" w:cs="Times New Roman"/>
          <w:color w:val="auto"/>
          <w:spacing w:val="-2"/>
          <w:sz w:val="32"/>
          <w:szCs w:val="32"/>
        </w:rPr>
        <w:t>，</w:t>
      </w:r>
      <w:r>
        <w:rPr>
          <w:rFonts w:hint="default" w:ascii="Times New Roman" w:hAnsi="Times New Roman" w:eastAsia="仿宋_GB2312" w:cs="Times New Roman"/>
          <w:color w:val="auto"/>
          <w:spacing w:val="-3"/>
          <w:sz w:val="32"/>
          <w:szCs w:val="32"/>
        </w:rPr>
        <w:t>并按本办法相关规</w:t>
      </w:r>
      <w:r>
        <w:rPr>
          <w:rFonts w:hint="default" w:ascii="Times New Roman" w:hAnsi="Times New Roman" w:eastAsia="仿宋_GB2312" w:cs="Times New Roman"/>
          <w:color w:val="auto"/>
          <w:spacing w:val="-6"/>
          <w:sz w:val="32"/>
          <w:szCs w:val="32"/>
        </w:rPr>
        <w:t>定</w:t>
      </w:r>
      <w:r>
        <w:rPr>
          <w:rFonts w:hint="default" w:ascii="Times New Roman" w:hAnsi="Times New Roman" w:eastAsia="仿宋_GB2312" w:cs="Times New Roman"/>
          <w:color w:val="auto"/>
          <w:sz w:val="32"/>
          <w:szCs w:val="32"/>
        </w:rPr>
        <w:t>处理。</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eastAsia="黑体" w:cs="Times New Roman"/>
          <w:color w:val="auto"/>
          <w:lang w:eastAsia="zh-CN"/>
        </w:rPr>
        <w:t xml:space="preserve">第十四条 </w:t>
      </w:r>
      <w:r>
        <w:rPr>
          <w:rFonts w:hint="default" w:ascii="Times New Roman" w:hAnsi="Times New Roman" w:eastAsia="黑体" w:cs="Times New Roman"/>
          <w:color w:val="auto"/>
        </w:rPr>
        <w:t>绩效管理体系</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专项资金建立试点企业自评、县工信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全面评价体系，衔接自治区工业和信息化融合促进中心中期评价诊断、终期绩效评价工作，绩效评价结果作为资金兑付、后续预算安排、政策调整、扶持对象遴选的重要依据。绩效管理遵循目标导向、全程监控、结果运用、提质增效的原则。</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第十五条 </w:t>
      </w:r>
      <w:r>
        <w:rPr>
          <w:rFonts w:hint="default" w:ascii="Times New Roman" w:hAnsi="Times New Roman" w:cs="Times New Roman"/>
          <w:color w:val="auto"/>
        </w:rPr>
        <w:t>绩效目标及监控</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局在收到专项资金指标文件后30日内，编制涵盖产出、效益、满意度指标的整体绩效目标，报县财政局审核备案，绩效目标原则上不予调整，确需调整的按预算调整流程报批；县工信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局开展常态化绩效监控，每月跟踪改造进度、资金使用等情况，每季度形成监控报告，对目标偏离情况及时预警整改；县财政局</w:t>
      </w:r>
      <w:r>
        <w:rPr>
          <w:rFonts w:hint="default" w:ascii="Times New Roman" w:hAnsi="Times New Roman" w:cs="Times New Roman"/>
          <w:color w:val="auto"/>
          <w:sz w:val="32"/>
          <w:szCs w:val="32"/>
          <w:lang w:eastAsia="zh-CN"/>
        </w:rPr>
        <w:t>进行</w:t>
      </w:r>
      <w:r>
        <w:rPr>
          <w:rFonts w:hint="default" w:ascii="Times New Roman" w:hAnsi="Times New Roman" w:eastAsia="仿宋_GB2312" w:cs="Times New Roman"/>
          <w:color w:val="auto"/>
          <w:sz w:val="32"/>
          <w:szCs w:val="32"/>
        </w:rPr>
        <w:t>专项绩效监控，必要时延伸至项目现场，对资金使用低效情况及时约谈督促整改。</w:t>
      </w:r>
    </w:p>
    <w:p>
      <w:pPr>
        <w:pStyle w:val="11"/>
        <w:pageBreakBefore w:val="0"/>
        <w:widowControl/>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黑体" w:cs="Times New Roman"/>
          <w:color w:val="auto"/>
          <w:spacing w:val="0"/>
          <w:kern w:val="44"/>
          <w:sz w:val="32"/>
          <w:szCs w:val="32"/>
          <w:lang w:eastAsia="zh-CN"/>
        </w:rPr>
      </w:pPr>
      <w:r>
        <w:rPr>
          <w:rFonts w:hint="default" w:ascii="Times New Roman" w:hAnsi="Times New Roman" w:eastAsia="黑体" w:cs="Times New Roman"/>
          <w:color w:val="auto"/>
          <w:spacing w:val="0"/>
          <w:kern w:val="44"/>
          <w:sz w:val="32"/>
          <w:szCs w:val="32"/>
          <w:lang w:eastAsia="zh-CN"/>
        </w:rPr>
        <w:t>第十</w:t>
      </w:r>
      <w:r>
        <w:rPr>
          <w:rFonts w:hint="default" w:ascii="Times New Roman" w:hAnsi="Times New Roman" w:eastAsia="黑体" w:cs="Times New Roman"/>
          <w:color w:val="auto"/>
          <w:spacing w:val="0"/>
          <w:kern w:val="44"/>
          <w:sz w:val="32"/>
          <w:szCs w:val="32"/>
          <w:lang w:val="en-US" w:eastAsia="zh-CN"/>
        </w:rPr>
        <w:t>六</w:t>
      </w:r>
      <w:r>
        <w:rPr>
          <w:rFonts w:hint="default" w:ascii="Times New Roman" w:hAnsi="Times New Roman" w:eastAsia="黑体" w:cs="Times New Roman"/>
          <w:color w:val="auto"/>
          <w:spacing w:val="0"/>
          <w:kern w:val="44"/>
          <w:sz w:val="32"/>
          <w:szCs w:val="32"/>
          <w:lang w:eastAsia="zh-CN"/>
        </w:rPr>
        <w:t>条 资金使用及项目管理要求</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实行专账管理、专款专用，仅用于企业数字化改造相关的软件采购、云服务订购、数据采集传输设备购置等支出，不得用于日常经营、原材料采购等与转型无关的支出；企业妥善保管投资凭证、合同协议、验收报告等原始资料，备查期限不少于5年；不得擅自改变项目建设内容、改造目标和资金使用用途，确需调整的，须提前向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局提交书面申请，经审核同意后方可调整。县工信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局每季度至少开展一次现场核查，试点企业、服务商、龙头企业自觉接受工信、财政、审计</w:t>
      </w:r>
      <w:r>
        <w:rPr>
          <w:rFonts w:hint="default" w:ascii="Times New Roman" w:hAnsi="Times New Roman" w:eastAsia="仿宋_GB2312" w:cs="Times New Roman"/>
          <w:color w:val="auto"/>
          <w:spacing w:val="-3"/>
          <w:sz w:val="32"/>
          <w:szCs w:val="32"/>
        </w:rPr>
        <w:t>等部门的监督检</w:t>
      </w:r>
      <w:r>
        <w:rPr>
          <w:rFonts w:hint="default" w:ascii="Times New Roman" w:hAnsi="Times New Roman" w:eastAsia="仿宋_GB2312" w:cs="Times New Roman"/>
          <w:color w:val="auto"/>
          <w:spacing w:val="-2"/>
          <w:sz w:val="32"/>
          <w:szCs w:val="32"/>
        </w:rPr>
        <w:t>查</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2"/>
          <w:sz w:val="32"/>
          <w:szCs w:val="32"/>
        </w:rPr>
        <w:t>如实提供相关材料</w:t>
      </w:r>
      <w:r>
        <w:rPr>
          <w:rFonts w:hint="default" w:ascii="Times New Roman" w:hAnsi="Times New Roman" w:eastAsia="仿宋_GB2312" w:cs="Times New Roman"/>
          <w:color w:val="auto"/>
          <w:spacing w:val="-3"/>
          <w:sz w:val="32"/>
          <w:szCs w:val="32"/>
        </w:rPr>
        <w:t>，</w:t>
      </w:r>
      <w:r>
        <w:rPr>
          <w:rFonts w:hint="default" w:ascii="Times New Roman" w:hAnsi="Times New Roman" w:eastAsia="仿宋_GB2312" w:cs="Times New Roman"/>
          <w:color w:val="auto"/>
          <w:spacing w:val="-2"/>
          <w:sz w:val="32"/>
          <w:szCs w:val="32"/>
        </w:rPr>
        <w:t>不得拒</w:t>
      </w:r>
      <w:r>
        <w:rPr>
          <w:rFonts w:hint="default" w:ascii="Times New Roman" w:hAnsi="Times New Roman" w:eastAsia="仿宋_GB2312" w:cs="Times New Roman"/>
          <w:color w:val="auto"/>
          <w:spacing w:val="-3"/>
          <w:sz w:val="32"/>
          <w:szCs w:val="32"/>
        </w:rPr>
        <w:t>绝</w:t>
      </w:r>
      <w:r>
        <w:rPr>
          <w:rFonts w:hint="default" w:ascii="Times New Roman" w:hAnsi="Times New Roman" w:eastAsia="仿宋_GB2312" w:cs="Times New Roman"/>
          <w:color w:val="auto"/>
          <w:spacing w:val="-2"/>
          <w:sz w:val="32"/>
          <w:szCs w:val="32"/>
        </w:rPr>
        <w:t>、</w:t>
      </w:r>
      <w:r>
        <w:rPr>
          <w:rFonts w:hint="default" w:ascii="Times New Roman" w:hAnsi="Times New Roman" w:eastAsia="仿宋_GB2312" w:cs="Times New Roman"/>
          <w:color w:val="auto"/>
          <w:spacing w:val="-3"/>
          <w:sz w:val="32"/>
          <w:szCs w:val="32"/>
        </w:rPr>
        <w:t>阻挠</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z w:val="32"/>
          <w:szCs w:val="32"/>
        </w:rPr>
        <w:t>隐瞒。</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 xml:space="preserve">第十七条 </w:t>
      </w:r>
      <w:r>
        <w:rPr>
          <w:rFonts w:hint="default" w:ascii="Times New Roman" w:hAnsi="Times New Roman" w:cs="Times New Roman"/>
          <w:color w:val="auto"/>
        </w:rPr>
        <w:t>违规责任追究</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对弄虚作假、虚报冒领、套取、截留、挤占、挪用专项资金的单位和个人，由县工信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会同财政局追回全部资金，取消县级财政资金支持资格，列入失信名单并公示，情节严重的按《财政违法行为处罚处分条例》等规定处理，涉嫌犯罪的移交司法机关；国家工作人员在资金管理、项目评审等工作中存在滥用职权、徇私舞弊等行为的，依规依纪依法追究责任；服务商违反“改造评测分离”原则、转包服务、服务质量不达标导致企业验收未通过的，取消合作资格，追回奖励资金，情节严重的反馈自治区168平台建议移出资源池。</w:t>
      </w:r>
    </w:p>
    <w:p>
      <w:pPr>
        <w:pStyle w:val="2"/>
        <w:pageBreakBefore w:val="0"/>
        <w:widowControl/>
        <w:numPr>
          <w:ilvl w:val="0"/>
          <w:numId w:val="0"/>
        </w:numPr>
        <w:kinsoku/>
        <w:wordWrap/>
        <w:overflowPunct/>
        <w:topLinePunct w:val="0"/>
        <w:autoSpaceDE/>
        <w:autoSpaceDN/>
        <w:bidi w:val="0"/>
        <w:adjustRightInd/>
        <w:snapToGrid/>
        <w:spacing w:beforeLines="0" w:afterLines="0"/>
        <w:ind w:left="0" w:leftChars="0" w:firstLine="640" w:firstLineChars="200"/>
        <w:jc w:val="both"/>
        <w:textAlignment w:val="auto"/>
        <w:rPr>
          <w:rFonts w:hint="default" w:ascii="Times New Roman" w:hAnsi="Times New Roman" w:eastAsia="黑体" w:cs="Times New Roman"/>
          <w:b w:val="0"/>
          <w:color w:val="auto"/>
          <w:lang w:eastAsia="zh-CN"/>
        </w:rPr>
      </w:pPr>
      <w:r>
        <w:rPr>
          <w:rFonts w:hint="default" w:ascii="Times New Roman" w:hAnsi="Times New Roman" w:cs="Times New Roman"/>
          <w:color w:val="auto"/>
          <w:lang w:eastAsia="zh-CN"/>
        </w:rPr>
        <w:t>第</w:t>
      </w:r>
      <w:r>
        <w:rPr>
          <w:rFonts w:hint="default" w:ascii="Times New Roman" w:hAnsi="Times New Roman" w:cs="Times New Roman"/>
          <w:color w:val="auto"/>
          <w:lang w:val="en-US" w:eastAsia="zh-CN"/>
        </w:rPr>
        <w:t>十八</w:t>
      </w:r>
      <w:r>
        <w:rPr>
          <w:rFonts w:hint="default" w:ascii="Times New Roman" w:hAnsi="Times New Roman" w:cs="Times New Roman"/>
          <w:color w:val="auto"/>
          <w:lang w:eastAsia="zh-CN"/>
        </w:rPr>
        <w:t xml:space="preserve">条 </w:t>
      </w:r>
      <w:r>
        <w:rPr>
          <w:rFonts w:hint="default" w:ascii="Times New Roman" w:hAnsi="Times New Roman" w:cs="Times New Roman"/>
          <w:color w:val="auto"/>
        </w:rPr>
        <w:t>附则</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本办法由县工信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局、财政局按照职责分工负责解释；实施期限为彭阳县中小企业数字化转型试点方案</w:t>
      </w:r>
      <w:r>
        <w:rPr>
          <w:rFonts w:hint="default" w:ascii="Times New Roman" w:hAnsi="Times New Roman" w:cs="Times New Roman"/>
          <w:color w:val="auto"/>
          <w:sz w:val="32"/>
          <w:szCs w:val="32"/>
          <w:lang w:eastAsia="zh-CN"/>
        </w:rPr>
        <w:t>印发</w:t>
      </w:r>
      <w:r>
        <w:rPr>
          <w:rFonts w:hint="default" w:ascii="Times New Roman" w:hAnsi="Times New Roman" w:eastAsia="仿宋_GB2312" w:cs="Times New Roman"/>
          <w:color w:val="auto"/>
          <w:sz w:val="32"/>
          <w:szCs w:val="32"/>
        </w:rPr>
        <w:t>之日起至试点工作全部完成并通过自治区终期绩效评价之日止，试点周期为1年；实施过程中，国家、自治区、固原市出台新政策的，从其规定；涉及政府采购、政府购买服务的，按国家、自治区相关规定执行；不得与自治区、固原市同类财政资金重复申报、重复享受；县工信</w:t>
      </w:r>
      <w:r>
        <w:rPr>
          <w:rFonts w:hint="default" w:ascii="Times New Roman" w:hAnsi="Times New Roman" w:cs="Times New Roman"/>
          <w:color w:val="auto"/>
          <w:sz w:val="32"/>
          <w:szCs w:val="32"/>
          <w:lang w:eastAsia="zh-CN"/>
        </w:rPr>
        <w:t>商务</w:t>
      </w:r>
      <w:r>
        <w:rPr>
          <w:rFonts w:hint="default" w:ascii="Times New Roman" w:hAnsi="Times New Roman" w:eastAsia="仿宋_GB2312" w:cs="Times New Roman"/>
          <w:color w:val="auto"/>
          <w:sz w:val="32"/>
          <w:szCs w:val="32"/>
        </w:rPr>
        <w:t>局可会同财政局根据试点工作推进情况和上级政策调整，适时修订本办法，修订后按程序公示执行</w:t>
      </w:r>
      <w:r>
        <w:rPr>
          <w:rFonts w:hint="default" w:ascii="Times New Roman" w:hAnsi="Times New Roman" w:cs="Times New Roman"/>
          <w:color w:val="auto"/>
          <w:sz w:val="32"/>
          <w:szCs w:val="32"/>
          <w:lang w:eastAsia="zh-CN"/>
        </w:rPr>
        <w:t>。</w:t>
      </w:r>
    </w:p>
    <w:p>
      <w:pPr>
        <w:pStyle w:val="11"/>
        <w:pageBreakBefore w:val="0"/>
        <w:widowControl/>
        <w:kinsoku/>
        <w:wordWrap/>
        <w:overflowPunct/>
        <w:topLinePunct w:val="0"/>
        <w:autoSpaceDE/>
        <w:autoSpaceDN/>
        <w:bidi w:val="0"/>
        <w:adjustRightInd/>
        <w:snapToGrid/>
        <w:ind w:firstLine="616"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本办法自发布之日起施行。</w:t>
      </w:r>
    </w:p>
    <w:p>
      <w:pPr>
        <w:pStyle w:val="2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qDWZ2IQIAADMEAAAO&#10;AAAAZHJzL2Uyb0RvYy54bWytU8uO0zAU3SPxD5b3NGkrRlXVdFRmVIRUMSMNiLXr2E0kx7Zst0n5&#10;APgDVmzY8139Do7dpOW1Qmyc+8p9nHvu4rZrFDkI52ujCzoe5ZQIzU1Z611B379bv5hR4gPTJVNG&#10;i4Iehae3y+fPFq2di4mpjCqFI0ii/by1Ba1CsPMs87wSDfMjY4WGUxrXsADV7bLSsRbZG5VN8vwm&#10;a40rrTNceA/r/dlJlym/lIKHBym9CEQVFL2F9Lr0buObLRdsvnPMVjXv22D/0EXDao2il1T3LDCy&#10;d/UfqZqaO+ONDCNumsxIWXORZsA04/y3aZ4qZkWaBeB4e4HJ/7+0/O3h0ZG6LOiUEs0arOj05fPp&#10;6/fTt09kGuFprZ8j6skiLnSvTFfQ4PZicHnY4+CddE38YiSCEGB9vOArukA4jOPZZDbL4eLwDQpK&#10;ZNffrfPhtTANiUJBHRaYcGWHjQ/n0CEkVtNmXSuVlqg0aQt6M32Zpx8uHiRXGjXiHOdmoxS6bdcP&#10;tzXlEbM5cyaHt3xdo/iG+fDIHNiAhsHw8IBHKoMippcoqYz7+Dd7jMeS4KWkBbsKqkF/StQbjeVN&#10;8im4CzYmDYL7xbwdzHrf3BkQd4wbsjyJMTioQZTONB9wAKtYTTLlUYJpjrpY0iDeBWi9E4fExWp1&#10;0ffW1bvq+jNIaVnY6CfL+zVHlL1d7QOQTguI6J0h60EFM9MK+yuK1P9ZT1HXW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AqDWZ2IQIAADMEAAAOAAAAAAAAAAEAIAAAADsBAABkcnMvZTJv&#10;RG9jLnhtbFBLBQYAAAAABgAGAFkBAADOBQAAAAA=&#10;">
              <v:fill on="f" focussize="0,0"/>
              <v:stroke on="f" weight="0.5pt"/>
              <v:imagedata o:title=""/>
              <o:lock v:ext="edit" aspectratio="f"/>
              <v:textbox inset="16pt,0mm,16pt,0mm" style="mso-fit-shape-to-text:t;">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WglfDIQIAADMEAAAO&#10;AAAAZHJzL2Uyb0RvYy54bWytU8uO0zAU3SPxD5b3NGlnGFVV01GZURFSxYw0INau4zSR/JLtNikf&#10;AH/Aig17vqvfwbGbtLxWiI1zX7mPc8+d33ZKkr1wvjG6oONRTonQ3JSN3hb0/bvViyklPjBdMmm0&#10;KOhBeHq7eP5s3tqZmJjayFI4giTaz1pb0DoEO8syz2uhmB8ZKzSclXGKBahum5WOtciuZDbJ85us&#10;Na60znDhPaz3JyddpPxVJXh4qCovApEFRW8hvS69m/hmizmbbR2zdcP7Ntg/dKFYo1H0nOqeBUZ2&#10;rvkjlWq4M95UYcSNykxVNVykGTDNOP9tmqeaWZFmATjenmHy/y8tf7t/dKQpC3pNiWYKKzp++Xz8&#10;+v347RO5jvC01s8Q9WQRF7pXpitocDsxuDzscfCucip+MRJBCLA+nPEVXSAcxvF0Mp3mcHH4BgUl&#10;ssvv1vnwWhhFolBQhwUmXNl+7cMpdAiJ1bRZNVKmJUpN2oLeXL3M0w9nD5JLjRpxjlOzUQrdpuuH&#10;25jygNmcOZHDW75qUHzNfHhkDmxAw2B4eMBTSYMippcoqY37+Dd7jMeS4KWkBbsKqkF/SuQbjeVN&#10;8itwF2xMGgT3i3kzmPVO3RkQd4wbsjyJMTjIQaycUR9wAMtYrWLSowTTHHWxpEG8C9B6Jw6Ji+Xy&#10;rO+sa7b15WeQ0rKw1k+W92uOKHu73AUgnRYQ0TtB1oMKZqYV9lcUqf+znqIut774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CWglfDIQIAADMEAAAOAAAAAAAAAAEAIAAAADsBAABkcnMvZTJv&#10;RG9jLnhtbFBLBQYAAAAABgAGAFkBAADOBQAAAAA=&#10;">
              <v:fill on="f" focussize="0,0"/>
              <v:stroke on="f" weight="0.5pt"/>
              <v:imagedata o:title=""/>
              <o:lock v:ext="edit" aspectratio="f"/>
              <v:textbox inset="16pt,0mm,16pt,0mm" style="mso-fit-shape-to-text:t;">
                <w:txbxContent>
                  <w:p>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15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C6811"/>
    <w:rsid w:val="0033318C"/>
    <w:rsid w:val="008054C1"/>
    <w:rsid w:val="0083292B"/>
    <w:rsid w:val="00D850E1"/>
    <w:rsid w:val="01922F90"/>
    <w:rsid w:val="037C6811"/>
    <w:rsid w:val="0519537F"/>
    <w:rsid w:val="0CCF6888"/>
    <w:rsid w:val="117143B2"/>
    <w:rsid w:val="12A42A06"/>
    <w:rsid w:val="17FF1F56"/>
    <w:rsid w:val="1BFFC904"/>
    <w:rsid w:val="1C7BF286"/>
    <w:rsid w:val="1C9D4A34"/>
    <w:rsid w:val="21050C6C"/>
    <w:rsid w:val="2302174C"/>
    <w:rsid w:val="23E9918A"/>
    <w:rsid w:val="26BF85C6"/>
    <w:rsid w:val="27FDE025"/>
    <w:rsid w:val="2D183950"/>
    <w:rsid w:val="2D725E4E"/>
    <w:rsid w:val="2D770228"/>
    <w:rsid w:val="2DFFBAFF"/>
    <w:rsid w:val="2EF743C8"/>
    <w:rsid w:val="2F3D0423"/>
    <w:rsid w:val="2FFFECC3"/>
    <w:rsid w:val="326844C0"/>
    <w:rsid w:val="341B6272"/>
    <w:rsid w:val="34BF003B"/>
    <w:rsid w:val="351D13D8"/>
    <w:rsid w:val="36F6333B"/>
    <w:rsid w:val="375F271B"/>
    <w:rsid w:val="37FE58BF"/>
    <w:rsid w:val="38C873BE"/>
    <w:rsid w:val="3E4B5F29"/>
    <w:rsid w:val="3EF781B5"/>
    <w:rsid w:val="3FDF8E24"/>
    <w:rsid w:val="3FFEAAEF"/>
    <w:rsid w:val="41151DB4"/>
    <w:rsid w:val="47F26FA2"/>
    <w:rsid w:val="4CAB3745"/>
    <w:rsid w:val="4FA7368F"/>
    <w:rsid w:val="4FF7A831"/>
    <w:rsid w:val="534D3630"/>
    <w:rsid w:val="53DF4DB2"/>
    <w:rsid w:val="54971FDD"/>
    <w:rsid w:val="5579291C"/>
    <w:rsid w:val="55BCB93C"/>
    <w:rsid w:val="57197E30"/>
    <w:rsid w:val="57F7683F"/>
    <w:rsid w:val="5AD13047"/>
    <w:rsid w:val="5DEF38E3"/>
    <w:rsid w:val="5DFE6122"/>
    <w:rsid w:val="5EF7C168"/>
    <w:rsid w:val="5EFB7D77"/>
    <w:rsid w:val="5F6FA0D2"/>
    <w:rsid w:val="5FAB74A7"/>
    <w:rsid w:val="5FAF7A51"/>
    <w:rsid w:val="5FD76ADD"/>
    <w:rsid w:val="5FF3C5FA"/>
    <w:rsid w:val="5FF807FB"/>
    <w:rsid w:val="5FFCB8CE"/>
    <w:rsid w:val="5FFD5A7A"/>
    <w:rsid w:val="65F0EA49"/>
    <w:rsid w:val="695EA63C"/>
    <w:rsid w:val="69EDED69"/>
    <w:rsid w:val="6D3FF8A9"/>
    <w:rsid w:val="6DDB0BD8"/>
    <w:rsid w:val="6EDF979E"/>
    <w:rsid w:val="6F3F72EC"/>
    <w:rsid w:val="6F5B20D3"/>
    <w:rsid w:val="6FD63EF8"/>
    <w:rsid w:val="6FFD9361"/>
    <w:rsid w:val="6FFEC35F"/>
    <w:rsid w:val="73BFFBBB"/>
    <w:rsid w:val="745BB87C"/>
    <w:rsid w:val="74F73DD4"/>
    <w:rsid w:val="74F97729"/>
    <w:rsid w:val="75BF356C"/>
    <w:rsid w:val="75D044F0"/>
    <w:rsid w:val="75EF6D37"/>
    <w:rsid w:val="76F32EF7"/>
    <w:rsid w:val="779F9F47"/>
    <w:rsid w:val="77CFE044"/>
    <w:rsid w:val="77DE1074"/>
    <w:rsid w:val="77EFCE08"/>
    <w:rsid w:val="79CF5ED5"/>
    <w:rsid w:val="79D788BD"/>
    <w:rsid w:val="7A7FA445"/>
    <w:rsid w:val="7A955978"/>
    <w:rsid w:val="7AFFC130"/>
    <w:rsid w:val="7B6BB654"/>
    <w:rsid w:val="7B9E8EA1"/>
    <w:rsid w:val="7B9F3716"/>
    <w:rsid w:val="7BBF5DD6"/>
    <w:rsid w:val="7BFF13E6"/>
    <w:rsid w:val="7C6D584C"/>
    <w:rsid w:val="7CFE7C4D"/>
    <w:rsid w:val="7D67ACE1"/>
    <w:rsid w:val="7D777943"/>
    <w:rsid w:val="7DE9AF70"/>
    <w:rsid w:val="7DFD5486"/>
    <w:rsid w:val="7E7E580F"/>
    <w:rsid w:val="7EDB2505"/>
    <w:rsid w:val="7F6F35AE"/>
    <w:rsid w:val="7F790070"/>
    <w:rsid w:val="7F87A205"/>
    <w:rsid w:val="7FA438E4"/>
    <w:rsid w:val="7FF76400"/>
    <w:rsid w:val="7FF7ECF0"/>
    <w:rsid w:val="7FF9AFA7"/>
    <w:rsid w:val="8AFB1E93"/>
    <w:rsid w:val="8FF7ABD5"/>
    <w:rsid w:val="97765F44"/>
    <w:rsid w:val="99F3FBD2"/>
    <w:rsid w:val="9DFD37DF"/>
    <w:rsid w:val="9DFF4426"/>
    <w:rsid w:val="9EAE213C"/>
    <w:rsid w:val="9F125745"/>
    <w:rsid w:val="A521C1B4"/>
    <w:rsid w:val="A57CFB62"/>
    <w:rsid w:val="ABDFEADD"/>
    <w:rsid w:val="ADFD82A5"/>
    <w:rsid w:val="AFA917F4"/>
    <w:rsid w:val="AFBEDF5E"/>
    <w:rsid w:val="AFDDC4D2"/>
    <w:rsid w:val="AFFDEB18"/>
    <w:rsid w:val="B77E8EAA"/>
    <w:rsid w:val="B7FFB6B8"/>
    <w:rsid w:val="B959316D"/>
    <w:rsid w:val="BACF4076"/>
    <w:rsid w:val="BDEF761B"/>
    <w:rsid w:val="BEBED40B"/>
    <w:rsid w:val="BEFDCB46"/>
    <w:rsid w:val="BF574808"/>
    <w:rsid w:val="BFDF8C57"/>
    <w:rsid w:val="BFE7BEE0"/>
    <w:rsid w:val="BFF46721"/>
    <w:rsid w:val="C7763911"/>
    <w:rsid w:val="C7A7E474"/>
    <w:rsid w:val="CFBFCACC"/>
    <w:rsid w:val="CFFF3F3B"/>
    <w:rsid w:val="D1F797D9"/>
    <w:rsid w:val="D77F1ADF"/>
    <w:rsid w:val="D8BF6725"/>
    <w:rsid w:val="D9BA161A"/>
    <w:rsid w:val="DBF7DC4D"/>
    <w:rsid w:val="DCFE5606"/>
    <w:rsid w:val="DD38B042"/>
    <w:rsid w:val="DD635068"/>
    <w:rsid w:val="DF3FE0C6"/>
    <w:rsid w:val="DFAF6C51"/>
    <w:rsid w:val="DFDF9FF2"/>
    <w:rsid w:val="DFFE51A6"/>
    <w:rsid w:val="DFFF7EFB"/>
    <w:rsid w:val="E28557EB"/>
    <w:rsid w:val="E47B29C8"/>
    <w:rsid w:val="E5F54BD7"/>
    <w:rsid w:val="E7DF6FE3"/>
    <w:rsid w:val="E7EBF702"/>
    <w:rsid w:val="EBF5E99B"/>
    <w:rsid w:val="ECF917A3"/>
    <w:rsid w:val="ED3375AF"/>
    <w:rsid w:val="EDF7ED84"/>
    <w:rsid w:val="EF5B7C85"/>
    <w:rsid w:val="EFAEFEBB"/>
    <w:rsid w:val="EFBEBEB6"/>
    <w:rsid w:val="EFDD9EA7"/>
    <w:rsid w:val="EFEB88AB"/>
    <w:rsid w:val="EFFB3EED"/>
    <w:rsid w:val="F37F396D"/>
    <w:rsid w:val="F3EA63CD"/>
    <w:rsid w:val="F3F600A7"/>
    <w:rsid w:val="F3FFDE73"/>
    <w:rsid w:val="F4E35DEF"/>
    <w:rsid w:val="F5737168"/>
    <w:rsid w:val="F5BFB6D5"/>
    <w:rsid w:val="F5EFEBCA"/>
    <w:rsid w:val="F6D3CAEC"/>
    <w:rsid w:val="F6FF74CD"/>
    <w:rsid w:val="F77ADCDD"/>
    <w:rsid w:val="F77FEA4F"/>
    <w:rsid w:val="F7FECA40"/>
    <w:rsid w:val="F7FF9690"/>
    <w:rsid w:val="F7FFD99F"/>
    <w:rsid w:val="F91ED5CC"/>
    <w:rsid w:val="FA7F3FB8"/>
    <w:rsid w:val="FAB673DD"/>
    <w:rsid w:val="FAF743F7"/>
    <w:rsid w:val="FB4747E4"/>
    <w:rsid w:val="FBBDDE63"/>
    <w:rsid w:val="FBCF9C5C"/>
    <w:rsid w:val="FBF2CB89"/>
    <w:rsid w:val="FBF3A345"/>
    <w:rsid w:val="FC512CA8"/>
    <w:rsid w:val="FD5CC6E4"/>
    <w:rsid w:val="FD9F93A3"/>
    <w:rsid w:val="FDC58C2D"/>
    <w:rsid w:val="FDFD05F9"/>
    <w:rsid w:val="FDFE76ED"/>
    <w:rsid w:val="FE956F39"/>
    <w:rsid w:val="FEC8B127"/>
    <w:rsid w:val="FEFBF37C"/>
    <w:rsid w:val="FEFFB99F"/>
    <w:rsid w:val="FF4FBAD6"/>
    <w:rsid w:val="FFA711BA"/>
    <w:rsid w:val="FFC7C234"/>
    <w:rsid w:val="FFDEC0D7"/>
    <w:rsid w:val="FFEB7D5A"/>
    <w:rsid w:val="FFFC1162"/>
    <w:rsid w:val="FFFC638C"/>
    <w:rsid w:val="FFFFD739"/>
    <w:rsid w:val="FFFFE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24"/>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8"/>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7"/>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Body Text Indent"/>
    <w:basedOn w:val="1"/>
    <w:unhideWhenUsed/>
    <w:qFormat/>
    <w:uiPriority w:val="99"/>
    <w:pPr>
      <w:ind w:left="420"/>
    </w:pPr>
    <w:rPr>
      <w:rFonts w:ascii="仿宋_GB2312" w:eastAsia="仿宋_GB2312"/>
      <w:sz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index 7"/>
    <w:basedOn w:val="1"/>
    <w:next w:val="1"/>
    <w:qFormat/>
    <w:uiPriority w:val="0"/>
    <w:pPr>
      <w:ind w:left="2520"/>
      <w:jc w:val="left"/>
    </w:pPr>
  </w:style>
  <w:style w:type="paragraph" w:styleId="17">
    <w:name w:val="Title"/>
    <w:next w:val="1"/>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8">
    <w:name w:val="Body Text First Indent 2"/>
    <w:basedOn w:val="12"/>
    <w:next w:val="1"/>
    <w:unhideWhenUsed/>
    <w:qFormat/>
    <w:uiPriority w:val="99"/>
    <w:pPr>
      <w:spacing w:after="120"/>
      <w:ind w:left="200" w:leftChars="200" w:firstLine="420" w:firstLineChars="200"/>
    </w:pPr>
    <w:rPr>
      <w:rFonts w:ascii="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样式 文字 + 首行缩进:  2 字符3"/>
    <w:qFormat/>
    <w:uiPriority w:val="0"/>
    <w:pPr>
      <w:widowControl w:val="0"/>
      <w:spacing w:line="360" w:lineRule="auto"/>
      <w:ind w:firstLine="200" w:firstLineChars="200"/>
      <w:jc w:val="both"/>
    </w:pPr>
    <w:rPr>
      <w:rFonts w:ascii="Times New Roman" w:hAnsi="Times New Roman" w:eastAsia="仿宋_GB2312" w:cs="宋体"/>
      <w:kern w:val="2"/>
      <w:sz w:val="28"/>
      <w:szCs w:val="28"/>
      <w:lang w:val="en-US" w:eastAsia="zh-CN" w:bidi="ar-SA"/>
    </w:rPr>
  </w:style>
  <w:style w:type="character" w:customStyle="1" w:styleId="24">
    <w:name w:val="标题 1 Char"/>
    <w:link w:val="2"/>
    <w:qFormat/>
    <w:uiPriority w:val="0"/>
    <w:rPr>
      <w:rFonts w:hint="eastAsia" w:ascii="宋体" w:hAnsi="宋体" w:eastAsia="宋体" w:cs="宋体"/>
      <w:b/>
      <w:kern w:val="44"/>
      <w:sz w:val="48"/>
      <w:szCs w:val="48"/>
      <w:lang w:val="en-US" w:eastAsia="zh-CN" w:bidi="ar"/>
    </w:rPr>
  </w:style>
  <w:style w:type="paragraph" w:customStyle="1" w:styleId="25">
    <w:name w:val="正文."/>
    <w:basedOn w:val="1"/>
    <w:qFormat/>
    <w:uiPriority w:val="0"/>
    <w:pPr>
      <w:spacing w:line="360" w:lineRule="auto"/>
      <w:ind w:firstLine="200" w:firstLineChars="200"/>
    </w:pPr>
    <w:rPr>
      <w:rFonts w:ascii="Times New Roman" w:hAnsi="Times New Roman" w:eastAsia="宋体" w:cs="黑体"/>
      <w:sz w:val="28"/>
      <w:szCs w:val="28"/>
    </w:rPr>
  </w:style>
  <w:style w:type="character" w:customStyle="1" w:styleId="26">
    <w:name w:val="15"/>
    <w:qFormat/>
    <w:uiPriority w:val="0"/>
    <w:rPr>
      <w:rFonts w:hint="default" w:ascii="Times New Roman" w:hAnsi="Times New Roman" w:cs="Times New Roman"/>
      <w:b/>
    </w:rPr>
  </w:style>
  <w:style w:type="character" w:customStyle="1" w:styleId="27">
    <w:name w:val="标题 3 Char"/>
    <w:link w:val="4"/>
    <w:qFormat/>
    <w:uiPriority w:val="0"/>
    <w:rPr>
      <w:rFonts w:ascii="Times New Roman" w:hAnsi="Times New Roman" w:eastAsia="仿宋_GB2312" w:cs="仿宋_GB2312"/>
      <w:sz w:val="32"/>
      <w:szCs w:val="32"/>
    </w:rPr>
  </w:style>
  <w:style w:type="character" w:customStyle="1" w:styleId="28">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4685</Words>
  <Characters>4726</Characters>
  <Lines>87</Lines>
  <Paragraphs>47</Paragraphs>
  <TotalTime>55</TotalTime>
  <ScaleCrop>false</ScaleCrop>
  <LinksUpToDate>false</LinksUpToDate>
  <CharactersWithSpaces>4805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2025-10-18T06:01:00Z</dcterms:created>
  <dc:creator>半闲</dc:creator>
  <cp:lastModifiedBy>guyuan</cp:lastModifiedBy>
  <cp:lastPrinted>2025-12-05T14:14:00Z</cp:lastPrinted>
  <dcterms:modified xsi:type="dcterms:W3CDTF">2026-03-16T15:57:16Z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D5CB02E65CAE4181963DBD6A50E050F0_13</vt:lpwstr>
  </property>
  <property fmtid="{D5CDD505-2E9C-101B-9397-08002B2CF9AE}" pid="4" name="KSOTemplateDocerSaveRecord">
    <vt:lpwstr>eyJoZGlkIjoiMzEwNTM5NzYwMDRjMzkwZTVkZjY2ODkwMGIxNGU0OTUiLCJ1c2VySWQiOiI0NjY5NjQxODgifQ==</vt:lpwstr>
  </property>
</Properties>
</file>