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770"/>
        </w:tabs>
        <w:kinsoku/>
        <w:wordWrap/>
        <w:overflowPunct/>
        <w:topLinePunct w:val="0"/>
        <w:autoSpaceDE w:val="0"/>
        <w:autoSpaceDN w:val="0"/>
        <w:bidi w:val="0"/>
        <w:adjustRightInd/>
        <w:snapToGrid/>
        <w:spacing w:line="420" w:lineRule="exact"/>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附件：</w:t>
      </w:r>
    </w:p>
    <w:p>
      <w:pPr>
        <w:keepNext w:val="0"/>
        <w:keepLines w:val="0"/>
        <w:pageBreakBefore w:val="0"/>
        <w:widowControl w:val="0"/>
        <w:tabs>
          <w:tab w:val="left" w:pos="7770"/>
        </w:tabs>
        <w:kinsoku/>
        <w:wordWrap/>
        <w:overflowPunct/>
        <w:topLinePunct w:val="0"/>
        <w:autoSpaceDE w:val="0"/>
        <w:autoSpaceDN w:val="0"/>
        <w:bidi w:val="0"/>
        <w:adjustRightInd/>
        <w:snapToGrid/>
        <w:spacing w:line="42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rPr>
        <w:t>彭阳县2019年电子商务进农村综合示范“升级版”项目三标段─</w:t>
      </w:r>
      <w:r>
        <w:rPr>
          <w:rFonts w:hint="eastAsia" w:ascii="方正小标宋简体" w:hAnsi="方正小标宋简体" w:eastAsia="方正小标宋简体" w:cs="方正小标宋简体"/>
          <w:b w:val="0"/>
          <w:bCs w:val="0"/>
          <w:sz w:val="36"/>
          <w:szCs w:val="36"/>
          <w:lang w:eastAsia="zh-CN"/>
        </w:rPr>
        <w:t>县乡村物流综合服务</w:t>
      </w:r>
      <w:r>
        <w:rPr>
          <w:rFonts w:hint="eastAsia" w:ascii="方正小标宋简体" w:hAnsi="方正小标宋简体" w:eastAsia="方正小标宋简体" w:cs="方正小标宋简体"/>
          <w:b w:val="0"/>
          <w:bCs w:val="0"/>
          <w:sz w:val="36"/>
          <w:szCs w:val="36"/>
        </w:rPr>
        <w:t>项目</w:t>
      </w:r>
      <w:r>
        <w:rPr>
          <w:rFonts w:hint="eastAsia" w:ascii="方正小标宋简体" w:hAnsi="方正小标宋简体" w:eastAsia="方正小标宋简体" w:cs="方正小标宋简体"/>
          <w:b w:val="0"/>
          <w:bCs w:val="0"/>
          <w:sz w:val="36"/>
          <w:szCs w:val="36"/>
          <w:lang w:val="en-US" w:eastAsia="zh-CN"/>
        </w:rPr>
        <w:t>阶段性验收进度表</w:t>
      </w:r>
    </w:p>
    <w:p>
      <w:pPr>
        <w:pStyle w:val="2"/>
        <w:keepNext w:val="0"/>
        <w:keepLines w:val="0"/>
        <w:pageBreakBefore w:val="0"/>
        <w:widowControl w:val="0"/>
        <w:kinsoku/>
        <w:wordWrap/>
        <w:overflowPunct/>
        <w:topLinePunct w:val="0"/>
        <w:autoSpaceDE w:val="0"/>
        <w:autoSpaceDN w:val="0"/>
        <w:bidi w:val="0"/>
        <w:adjustRightInd/>
        <w:snapToGrid/>
        <w:spacing w:after="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lang w:val="en-US" w:eastAsia="zh-CN"/>
        </w:rPr>
        <w:t xml:space="preserve">承办企业：彭阳县三泰物流快运有限责任公司                                 </w:t>
      </w:r>
    </w:p>
    <w:tbl>
      <w:tblPr>
        <w:tblStyle w:val="5"/>
        <w:tblpPr w:leftFromText="180" w:rightFromText="180" w:vertAnchor="text" w:horzAnchor="page" w:tblpX="878" w:tblpY="234"/>
        <w:tblOverlap w:val="never"/>
        <w:tblW w:w="15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2312"/>
        <w:gridCol w:w="713"/>
        <w:gridCol w:w="2400"/>
        <w:gridCol w:w="600"/>
        <w:gridCol w:w="4312"/>
        <w:gridCol w:w="663"/>
        <w:gridCol w:w="712"/>
        <w:gridCol w:w="925"/>
        <w:gridCol w:w="798"/>
        <w:gridCol w:w="993"/>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591" w:type="dxa"/>
            <w:vMerge w:val="restart"/>
            <w:noWrap w:val="0"/>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eastAsiaTheme="minorEastAsia"/>
                <w:b/>
                <w:bCs w:val="0"/>
                <w:kern w:val="0"/>
                <w:sz w:val="15"/>
                <w:szCs w:val="15"/>
                <w:lang w:eastAsia="zh-CN"/>
              </w:rPr>
            </w:pPr>
            <w:r>
              <w:rPr>
                <w:rFonts w:hint="default" w:ascii="Times New Roman" w:hAnsi="Times New Roman" w:cs="Times New Roman" w:eastAsiaTheme="minorEastAsia"/>
                <w:b/>
                <w:bCs w:val="0"/>
                <w:kern w:val="0"/>
                <w:sz w:val="15"/>
                <w:szCs w:val="15"/>
                <w:lang w:eastAsia="zh-CN"/>
              </w:rPr>
              <w:t>项目</w:t>
            </w:r>
          </w:p>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eastAsiaTheme="minorEastAsia"/>
                <w:b/>
                <w:bCs w:val="0"/>
                <w:kern w:val="0"/>
                <w:sz w:val="15"/>
                <w:szCs w:val="15"/>
              </w:rPr>
            </w:pPr>
            <w:r>
              <w:rPr>
                <w:rFonts w:hint="default" w:ascii="Times New Roman" w:hAnsi="Times New Roman" w:cs="Times New Roman" w:eastAsiaTheme="minorEastAsia"/>
                <w:b/>
                <w:bCs w:val="0"/>
                <w:kern w:val="0"/>
                <w:sz w:val="15"/>
                <w:szCs w:val="15"/>
              </w:rPr>
              <w:t>名称</w:t>
            </w:r>
          </w:p>
        </w:tc>
        <w:tc>
          <w:tcPr>
            <w:tcW w:w="3025" w:type="dxa"/>
            <w:gridSpan w:val="2"/>
            <w:noWrap w:val="0"/>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eastAsiaTheme="minorEastAsia"/>
                <w:b/>
                <w:kern w:val="0"/>
                <w:sz w:val="15"/>
                <w:szCs w:val="15"/>
                <w:lang w:val="en-US" w:eastAsia="zh-CN" w:bidi="ar-SA"/>
              </w:rPr>
            </w:pPr>
            <w:r>
              <w:rPr>
                <w:rFonts w:hint="default" w:ascii="Times New Roman" w:hAnsi="Times New Roman" w:cs="Times New Roman" w:eastAsiaTheme="minorEastAsia"/>
                <w:b/>
                <w:bCs w:val="0"/>
                <w:kern w:val="0"/>
                <w:sz w:val="15"/>
                <w:szCs w:val="15"/>
                <w:lang w:eastAsia="zh-CN"/>
              </w:rPr>
              <w:t>招标</w:t>
            </w:r>
            <w:r>
              <w:rPr>
                <w:rFonts w:hint="default" w:ascii="Times New Roman" w:hAnsi="Times New Roman" w:cs="Times New Roman" w:eastAsiaTheme="minorEastAsia"/>
                <w:b/>
                <w:bCs w:val="0"/>
                <w:kern w:val="0"/>
                <w:sz w:val="15"/>
                <w:szCs w:val="15"/>
              </w:rPr>
              <w:t>服务内容及</w:t>
            </w:r>
            <w:r>
              <w:rPr>
                <w:rFonts w:hint="default" w:ascii="Times New Roman" w:hAnsi="Times New Roman" w:cs="Times New Roman" w:eastAsiaTheme="minorEastAsia"/>
                <w:b/>
                <w:bCs w:val="0"/>
                <w:kern w:val="0"/>
                <w:sz w:val="15"/>
                <w:szCs w:val="15"/>
                <w:lang w:eastAsia="zh-CN"/>
              </w:rPr>
              <w:t>中标价（万元）</w:t>
            </w:r>
          </w:p>
        </w:tc>
        <w:tc>
          <w:tcPr>
            <w:tcW w:w="3000" w:type="dxa"/>
            <w:gridSpan w:val="2"/>
            <w:noWrap w:val="0"/>
            <w:vAlign w:val="center"/>
          </w:tcPr>
          <w:p>
            <w:pPr>
              <w:keepNext w:val="0"/>
              <w:keepLines w:val="0"/>
              <w:pageBreakBefore w:val="0"/>
              <w:widowControl w:val="0"/>
              <w:tabs>
                <w:tab w:val="left" w:pos="1904"/>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eastAsiaTheme="minorEastAsia"/>
                <w:b/>
                <w:bCs w:val="0"/>
                <w:kern w:val="0"/>
                <w:sz w:val="15"/>
                <w:szCs w:val="15"/>
                <w:lang w:val="en-US" w:eastAsia="zh-CN"/>
              </w:rPr>
            </w:pPr>
            <w:r>
              <w:rPr>
                <w:rFonts w:hint="default" w:ascii="Times New Roman" w:hAnsi="Times New Roman" w:cs="Times New Roman" w:eastAsiaTheme="minorEastAsia"/>
                <w:b/>
                <w:bCs w:val="0"/>
                <w:kern w:val="0"/>
                <w:sz w:val="15"/>
                <w:szCs w:val="15"/>
                <w:lang w:val="en-US" w:eastAsia="zh-CN"/>
              </w:rPr>
              <w:t>具体建设内容及总投资</w:t>
            </w:r>
            <w:r>
              <w:rPr>
                <w:rFonts w:hint="default" w:ascii="Times New Roman" w:hAnsi="Times New Roman" w:cs="Times New Roman" w:eastAsiaTheme="minorEastAsia"/>
                <w:b/>
                <w:bCs w:val="0"/>
                <w:kern w:val="0"/>
                <w:sz w:val="15"/>
                <w:szCs w:val="15"/>
                <w:lang w:eastAsia="zh-CN"/>
              </w:rPr>
              <w:t>（万元）</w:t>
            </w:r>
          </w:p>
        </w:tc>
        <w:tc>
          <w:tcPr>
            <w:tcW w:w="4975" w:type="dxa"/>
            <w:gridSpan w:val="2"/>
            <w:noWrap w:val="0"/>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eastAsiaTheme="minorEastAsia"/>
                <w:b/>
                <w:bCs w:val="0"/>
                <w:kern w:val="0"/>
                <w:sz w:val="15"/>
                <w:szCs w:val="15"/>
                <w:lang w:eastAsia="zh-CN"/>
              </w:rPr>
            </w:pPr>
            <w:r>
              <w:rPr>
                <w:rFonts w:hint="default" w:ascii="Times New Roman" w:hAnsi="Times New Roman" w:cs="Times New Roman" w:eastAsiaTheme="minorEastAsia"/>
                <w:b/>
                <w:bCs w:val="0"/>
                <w:kern w:val="0"/>
                <w:sz w:val="15"/>
                <w:szCs w:val="15"/>
                <w:lang w:eastAsia="zh-CN"/>
              </w:rPr>
              <w:t>本次阶段性验收内容及金额（万元）</w:t>
            </w:r>
          </w:p>
        </w:tc>
        <w:tc>
          <w:tcPr>
            <w:tcW w:w="3428" w:type="dxa"/>
            <w:gridSpan w:val="4"/>
            <w:noWrap w:val="0"/>
            <w:vAlign w:val="center"/>
          </w:tcPr>
          <w:p>
            <w:pPr>
              <w:tabs>
                <w:tab w:val="left" w:pos="7770"/>
              </w:tabs>
              <w:spacing w:line="240" w:lineRule="auto"/>
              <w:jc w:val="center"/>
              <w:rPr>
                <w:rFonts w:hint="default" w:ascii="Times New Roman" w:hAnsi="Times New Roman" w:cs="Times New Roman" w:eastAsiaTheme="minorEastAsia"/>
                <w:b/>
                <w:bCs w:val="0"/>
                <w:kern w:val="0"/>
                <w:sz w:val="15"/>
                <w:szCs w:val="15"/>
                <w:lang w:val="en-US" w:eastAsia="zh-CN"/>
              </w:rPr>
            </w:pPr>
            <w:r>
              <w:rPr>
                <w:rFonts w:hint="default" w:ascii="Times New Roman" w:hAnsi="Times New Roman" w:cs="Times New Roman" w:eastAsiaTheme="minorEastAsia"/>
                <w:b/>
                <w:bCs w:val="0"/>
                <w:kern w:val="0"/>
                <w:sz w:val="15"/>
                <w:szCs w:val="15"/>
                <w:lang w:val="en-US" w:eastAsia="zh-CN"/>
              </w:rPr>
              <w:t>总验收进度</w:t>
            </w:r>
            <w:r>
              <w:rPr>
                <w:rFonts w:hint="default" w:ascii="Times New Roman" w:hAnsi="Times New Roman" w:cs="Times New Roman" w:eastAsiaTheme="minorEastAsia"/>
                <w:b/>
                <w:bCs w:val="0"/>
                <w:kern w:val="0"/>
                <w:sz w:val="15"/>
                <w:szCs w:val="15"/>
                <w:lang w:eastAsia="zh-CN"/>
              </w:rPr>
              <w:t>（万元）</w:t>
            </w:r>
          </w:p>
        </w:tc>
        <w:tc>
          <w:tcPr>
            <w:tcW w:w="622" w:type="dxa"/>
            <w:noWrap w:val="0"/>
            <w:vAlign w:val="center"/>
          </w:tcPr>
          <w:p>
            <w:pPr>
              <w:tabs>
                <w:tab w:val="left" w:pos="7770"/>
              </w:tabs>
              <w:spacing w:line="240" w:lineRule="auto"/>
              <w:jc w:val="center"/>
              <w:rPr>
                <w:rFonts w:hint="default" w:ascii="Times New Roman" w:hAnsi="Times New Roman" w:cs="Times New Roman" w:eastAsiaTheme="minorEastAsia"/>
                <w:b/>
                <w:bCs w:val="0"/>
                <w:kern w:val="0"/>
                <w:sz w:val="15"/>
                <w:szCs w:val="15"/>
                <w:lang w:val="en-US" w:eastAsia="zh-CN"/>
              </w:rPr>
            </w:pPr>
            <w:r>
              <w:rPr>
                <w:rFonts w:hint="default" w:ascii="Times New Roman" w:hAnsi="Times New Roman" w:cs="Times New Roman" w:eastAsiaTheme="minorEastAsia"/>
                <w:b/>
                <w:bCs w:val="0"/>
                <w:kern w:val="0"/>
                <w:sz w:val="15"/>
                <w:szCs w:val="15"/>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591" w:type="dxa"/>
            <w:vMerge w:val="continue"/>
            <w:noWrap w:val="0"/>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eastAsiaTheme="minorEastAsia"/>
                <w:b/>
                <w:kern w:val="0"/>
                <w:sz w:val="15"/>
                <w:szCs w:val="15"/>
                <w:lang w:eastAsia="zh-CN"/>
              </w:rPr>
            </w:pPr>
          </w:p>
        </w:tc>
        <w:tc>
          <w:tcPr>
            <w:tcW w:w="2312" w:type="dxa"/>
            <w:noWrap w:val="0"/>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cs="Times New Roman" w:eastAsiaTheme="minorEastAsia"/>
                <w:b/>
                <w:kern w:val="0"/>
                <w:sz w:val="15"/>
                <w:szCs w:val="15"/>
              </w:rPr>
            </w:pPr>
            <w:r>
              <w:rPr>
                <w:rFonts w:hint="default" w:ascii="Times New Roman" w:hAnsi="Times New Roman" w:cs="Times New Roman" w:eastAsiaTheme="minorEastAsia"/>
                <w:b/>
                <w:bCs w:val="0"/>
                <w:kern w:val="0"/>
                <w:sz w:val="15"/>
                <w:szCs w:val="15"/>
              </w:rPr>
              <w:t>服务内容</w:t>
            </w:r>
          </w:p>
        </w:tc>
        <w:tc>
          <w:tcPr>
            <w:tcW w:w="713" w:type="dxa"/>
            <w:noWrap w:val="0"/>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cs="Times New Roman" w:eastAsiaTheme="minorEastAsia"/>
                <w:b/>
                <w:kern w:val="0"/>
                <w:sz w:val="15"/>
                <w:szCs w:val="15"/>
                <w:lang w:val="en-US" w:eastAsia="zh-CN" w:bidi="ar-SA"/>
              </w:rPr>
            </w:pPr>
            <w:r>
              <w:rPr>
                <w:rFonts w:hint="default" w:ascii="Times New Roman" w:hAnsi="Times New Roman" w:cs="Times New Roman" w:eastAsiaTheme="minorEastAsia"/>
                <w:b/>
                <w:bCs w:val="0"/>
                <w:kern w:val="0"/>
                <w:sz w:val="15"/>
                <w:szCs w:val="15"/>
                <w:lang w:eastAsia="zh-CN"/>
              </w:rPr>
              <w:t>金额</w:t>
            </w:r>
          </w:p>
        </w:tc>
        <w:tc>
          <w:tcPr>
            <w:tcW w:w="2400" w:type="dxa"/>
            <w:noWrap w:val="0"/>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eastAsiaTheme="minorEastAsia"/>
                <w:b/>
                <w:kern w:val="0"/>
                <w:sz w:val="15"/>
                <w:szCs w:val="15"/>
                <w:lang w:eastAsia="zh-CN"/>
              </w:rPr>
            </w:pPr>
            <w:r>
              <w:rPr>
                <w:rFonts w:hint="default" w:ascii="Times New Roman" w:hAnsi="Times New Roman" w:cs="Times New Roman" w:eastAsiaTheme="minorEastAsia"/>
                <w:b/>
                <w:kern w:val="0"/>
                <w:sz w:val="15"/>
                <w:szCs w:val="15"/>
                <w:lang w:eastAsia="zh-CN"/>
              </w:rPr>
              <w:t>内容</w:t>
            </w:r>
          </w:p>
        </w:tc>
        <w:tc>
          <w:tcPr>
            <w:tcW w:w="600" w:type="dxa"/>
            <w:noWrap w:val="0"/>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eastAsiaTheme="minorEastAsia"/>
                <w:b/>
                <w:kern w:val="0"/>
                <w:sz w:val="15"/>
                <w:szCs w:val="15"/>
                <w:lang w:eastAsia="zh-CN"/>
              </w:rPr>
            </w:pPr>
            <w:r>
              <w:rPr>
                <w:rFonts w:hint="default" w:ascii="Times New Roman" w:hAnsi="Times New Roman" w:cs="Times New Roman" w:eastAsiaTheme="minorEastAsia"/>
                <w:b/>
                <w:kern w:val="0"/>
                <w:sz w:val="15"/>
                <w:szCs w:val="15"/>
                <w:lang w:eastAsia="zh-CN"/>
              </w:rPr>
              <w:t>总投资</w:t>
            </w:r>
          </w:p>
        </w:tc>
        <w:tc>
          <w:tcPr>
            <w:tcW w:w="4312" w:type="dxa"/>
            <w:noWrap w:val="0"/>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eastAsiaTheme="minorEastAsia"/>
                <w:b/>
                <w:kern w:val="0"/>
                <w:sz w:val="15"/>
                <w:szCs w:val="15"/>
                <w:lang w:eastAsia="zh-CN"/>
              </w:rPr>
            </w:pPr>
            <w:r>
              <w:rPr>
                <w:rFonts w:hint="default" w:ascii="Times New Roman" w:hAnsi="Times New Roman" w:cs="Times New Roman" w:eastAsiaTheme="minorEastAsia"/>
                <w:b/>
                <w:kern w:val="0"/>
                <w:sz w:val="15"/>
                <w:szCs w:val="15"/>
                <w:lang w:eastAsia="zh-CN"/>
              </w:rPr>
              <w:t>内容</w:t>
            </w:r>
          </w:p>
        </w:tc>
        <w:tc>
          <w:tcPr>
            <w:tcW w:w="663" w:type="dxa"/>
            <w:noWrap w:val="0"/>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eastAsiaTheme="minorEastAsia"/>
                <w:b/>
                <w:kern w:val="0"/>
                <w:sz w:val="15"/>
                <w:szCs w:val="15"/>
                <w:lang w:eastAsia="zh-CN"/>
              </w:rPr>
            </w:pPr>
            <w:r>
              <w:rPr>
                <w:rFonts w:hint="default" w:ascii="Times New Roman" w:hAnsi="Times New Roman" w:cs="Times New Roman" w:eastAsiaTheme="minorEastAsia"/>
                <w:b/>
                <w:kern w:val="0"/>
                <w:sz w:val="15"/>
                <w:szCs w:val="15"/>
                <w:lang w:eastAsia="zh-CN"/>
              </w:rPr>
              <w:t>验收金额</w:t>
            </w:r>
          </w:p>
        </w:tc>
        <w:tc>
          <w:tcPr>
            <w:tcW w:w="712" w:type="dxa"/>
            <w:noWrap w:val="0"/>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eastAsiaTheme="minorEastAsia"/>
                <w:b/>
                <w:kern w:val="0"/>
                <w:sz w:val="15"/>
                <w:szCs w:val="15"/>
                <w:lang w:eastAsia="zh-CN"/>
              </w:rPr>
            </w:pPr>
            <w:r>
              <w:rPr>
                <w:rFonts w:hint="default" w:ascii="Times New Roman" w:hAnsi="Times New Roman" w:cs="Times New Roman" w:eastAsiaTheme="minorEastAsia"/>
                <w:b/>
                <w:kern w:val="0"/>
                <w:sz w:val="15"/>
                <w:szCs w:val="15"/>
                <w:lang w:eastAsia="zh-CN"/>
              </w:rPr>
              <w:t>已验收</w:t>
            </w:r>
            <w:r>
              <w:rPr>
                <w:rFonts w:hint="eastAsia" w:ascii="Times New Roman" w:hAnsi="Times New Roman" w:cs="Times New Roman" w:eastAsiaTheme="minorEastAsia"/>
                <w:b/>
                <w:kern w:val="0"/>
                <w:sz w:val="15"/>
                <w:szCs w:val="15"/>
                <w:lang w:eastAsia="zh-CN"/>
              </w:rPr>
              <w:t>金额</w:t>
            </w:r>
          </w:p>
        </w:tc>
        <w:tc>
          <w:tcPr>
            <w:tcW w:w="925" w:type="dxa"/>
            <w:noWrap w:val="0"/>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cs="Times New Roman" w:eastAsiaTheme="minorEastAsia"/>
                <w:b/>
                <w:kern w:val="0"/>
                <w:sz w:val="15"/>
                <w:szCs w:val="15"/>
                <w:lang w:eastAsia="zh-CN"/>
              </w:rPr>
            </w:pPr>
            <w:r>
              <w:rPr>
                <w:rFonts w:hint="default" w:ascii="Times New Roman" w:hAnsi="Times New Roman" w:cs="Times New Roman" w:eastAsiaTheme="minorEastAsia"/>
                <w:b/>
                <w:kern w:val="0"/>
                <w:sz w:val="15"/>
                <w:szCs w:val="15"/>
                <w:lang w:eastAsia="zh-CN"/>
              </w:rPr>
              <w:t>已验收拨付项目金资金</w:t>
            </w:r>
          </w:p>
        </w:tc>
        <w:tc>
          <w:tcPr>
            <w:tcW w:w="798" w:type="dxa"/>
            <w:noWrap w:val="0"/>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cs="Times New Roman" w:eastAsiaTheme="minorEastAsia"/>
                <w:b/>
                <w:kern w:val="0"/>
                <w:sz w:val="15"/>
                <w:szCs w:val="15"/>
                <w:lang w:eastAsia="zh-CN"/>
              </w:rPr>
            </w:pPr>
            <w:r>
              <w:rPr>
                <w:rFonts w:hint="default" w:ascii="Times New Roman" w:hAnsi="Times New Roman" w:cs="Times New Roman" w:eastAsiaTheme="minorEastAsia"/>
                <w:b/>
                <w:kern w:val="0"/>
                <w:sz w:val="15"/>
                <w:szCs w:val="15"/>
                <w:lang w:eastAsia="zh-CN"/>
              </w:rPr>
              <w:t>本次验收通过金额</w:t>
            </w:r>
          </w:p>
        </w:tc>
        <w:tc>
          <w:tcPr>
            <w:tcW w:w="993" w:type="dxa"/>
            <w:noWrap w:val="0"/>
            <w:vAlign w:val="center"/>
          </w:tcPr>
          <w:p>
            <w:pPr>
              <w:tabs>
                <w:tab w:val="left" w:pos="7770"/>
              </w:tabs>
              <w:spacing w:line="240" w:lineRule="auto"/>
              <w:jc w:val="center"/>
              <w:rPr>
                <w:rFonts w:hint="default" w:ascii="Times New Roman" w:hAnsi="Times New Roman" w:cs="Times New Roman" w:eastAsiaTheme="minorEastAsia"/>
                <w:b/>
                <w:kern w:val="0"/>
                <w:sz w:val="15"/>
                <w:szCs w:val="15"/>
                <w:lang w:eastAsia="zh-CN"/>
              </w:rPr>
            </w:pPr>
            <w:r>
              <w:rPr>
                <w:rFonts w:hint="default" w:ascii="Times New Roman" w:hAnsi="Times New Roman" w:cs="Times New Roman" w:eastAsiaTheme="minorEastAsia"/>
                <w:b/>
                <w:kern w:val="0"/>
                <w:sz w:val="15"/>
                <w:szCs w:val="15"/>
                <w:lang w:eastAsia="zh-CN"/>
              </w:rPr>
              <w:t>验收进度</w:t>
            </w:r>
          </w:p>
        </w:tc>
        <w:tc>
          <w:tcPr>
            <w:tcW w:w="622" w:type="dxa"/>
            <w:noWrap w:val="0"/>
            <w:vAlign w:val="center"/>
          </w:tcPr>
          <w:p>
            <w:pPr>
              <w:tabs>
                <w:tab w:val="left" w:pos="7770"/>
              </w:tabs>
              <w:spacing w:line="240" w:lineRule="auto"/>
              <w:jc w:val="center"/>
              <w:rPr>
                <w:rFonts w:hint="default" w:ascii="Times New Roman" w:hAnsi="Times New Roman" w:cs="Times New Roman" w:eastAsiaTheme="minorEastAsia"/>
                <w:b/>
                <w:kern w:val="0"/>
                <w:sz w:val="15"/>
                <w:szCs w:val="15"/>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3" w:hRule="atLeast"/>
        </w:trPr>
        <w:tc>
          <w:tcPr>
            <w:tcW w:w="591" w:type="dxa"/>
            <w:vMerge w:val="restart"/>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right="0" w:rightChars="0"/>
              <w:jc w:val="both"/>
              <w:textAlignment w:val="auto"/>
              <w:rPr>
                <w:rFonts w:hint="default" w:ascii="Times New Roman" w:hAnsi="Times New Roman" w:cs="Times New Roman" w:eastAsiaTheme="minorEastAsia"/>
                <w:kern w:val="0"/>
                <w:sz w:val="15"/>
                <w:szCs w:val="15"/>
                <w:lang w:eastAsia="zh-CN"/>
              </w:rPr>
            </w:pPr>
            <w:r>
              <w:rPr>
                <w:rFonts w:hint="default" w:ascii="Times New Roman" w:hAnsi="Times New Roman" w:cs="Times New Roman" w:eastAsiaTheme="minorEastAsia"/>
                <w:kern w:val="0"/>
                <w:sz w:val="15"/>
                <w:szCs w:val="15"/>
                <w:lang w:eastAsia="zh-CN"/>
              </w:rPr>
              <w:t>彭阳县2019年电子商务进农村综合示范“升级版”项目一标段─县乡村物流综合服务项目</w:t>
            </w:r>
          </w:p>
        </w:tc>
        <w:tc>
          <w:tcPr>
            <w:tcW w:w="2312" w:type="dxa"/>
            <w:noWrap w:val="0"/>
            <w:vAlign w:val="center"/>
          </w:tcPr>
          <w:p>
            <w:pPr>
              <w:keepNext w:val="0"/>
              <w:keepLines w:val="0"/>
              <w:pageBreakBefore w:val="0"/>
              <w:kinsoku/>
              <w:wordWrap/>
              <w:overflowPunct/>
              <w:topLinePunct w:val="0"/>
              <w:autoSpaceDE w:val="0"/>
              <w:autoSpaceDN w:val="0"/>
              <w:bidi w:val="0"/>
              <w:adjustRightInd/>
              <w:snapToGrid/>
              <w:spacing w:line="200" w:lineRule="exact"/>
              <w:jc w:val="center"/>
              <w:textAlignment w:val="auto"/>
              <w:rPr>
                <w:rFonts w:hint="default" w:ascii="Times New Roman" w:hAnsi="Times New Roman" w:cs="Times New Roman"/>
                <w:sz w:val="15"/>
                <w:szCs w:val="15"/>
                <w:lang w:val="en-US" w:eastAsia="zh-CN"/>
              </w:rPr>
            </w:pPr>
            <w:r>
              <w:rPr>
                <w:rFonts w:hint="default" w:ascii="Times New Roman" w:hAnsi="Times New Roman" w:cs="Times New Roman" w:eastAsiaTheme="minorEastAsia"/>
                <w:sz w:val="15"/>
                <w:szCs w:val="15"/>
                <w:lang w:val="en-US" w:eastAsia="zh-CN"/>
              </w:rPr>
              <w:t>整合物流资源，打造不小于1000㎡的物流仓储分拨中心，通过智能化物流分拣体系，优化县乡村物流配送功能，通过智慧物流，着重解决“最后一公里”配送和服务农产品上行问题，整合六家快递公司（年到村快递量1.2万件以上），实行分批接货、集中分拣、统一配送，实现快递包裹每天下乡进村（行政村覆盖率达65%以上）</w:t>
            </w:r>
          </w:p>
        </w:tc>
        <w:tc>
          <w:tcPr>
            <w:tcW w:w="713" w:type="dxa"/>
            <w:vMerge w:val="restart"/>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00" w:lineRule="exact"/>
              <w:ind w:left="0" w:leftChars="0" w:right="0" w:rightChars="0"/>
              <w:jc w:val="center"/>
              <w:textAlignment w:val="auto"/>
              <w:rPr>
                <w:rFonts w:hint="default" w:ascii="Times New Roman" w:hAnsi="Times New Roman" w:cs="Times New Roman" w:eastAsiaTheme="minorEastAsia"/>
                <w:kern w:val="0"/>
                <w:sz w:val="15"/>
                <w:szCs w:val="15"/>
                <w:lang w:val="en-US" w:eastAsia="zh-CN"/>
              </w:rPr>
            </w:pPr>
            <w:r>
              <w:rPr>
                <w:rFonts w:hint="default" w:ascii="Times New Roman" w:hAnsi="Times New Roman" w:cs="Times New Roman" w:eastAsiaTheme="minorEastAsia"/>
                <w:kern w:val="0"/>
                <w:sz w:val="15"/>
                <w:szCs w:val="15"/>
                <w:lang w:val="en-US" w:eastAsia="zh-CN"/>
              </w:rPr>
              <w:t>260</w:t>
            </w:r>
          </w:p>
        </w:tc>
        <w:tc>
          <w:tcPr>
            <w:tcW w:w="240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auto"/>
              <w:rPr>
                <w:rFonts w:hint="default" w:ascii="Times New Roman" w:hAnsi="Times New Roman" w:cs="Times New Roman" w:eastAsiaTheme="minorEastAsia"/>
                <w:kern w:val="0"/>
                <w:sz w:val="15"/>
                <w:szCs w:val="15"/>
                <w:lang w:val="en-US" w:eastAsia="zh-CN"/>
              </w:rPr>
            </w:pPr>
            <w:r>
              <w:rPr>
                <w:rFonts w:hint="default" w:ascii="Times New Roman" w:hAnsi="Times New Roman" w:cs="Times New Roman" w:eastAsiaTheme="minorEastAsia"/>
                <w:sz w:val="15"/>
                <w:szCs w:val="15"/>
                <w:lang w:val="en-US" w:eastAsia="zh-CN"/>
              </w:rPr>
              <w:t>整合物流资源，打造不小于1000㎡的物流仓储分拨中心，通过智能化物流分拣体系，优化县乡村物流配送功能，通过智慧物流，着重解决“最后一公里”配送和服务农产品上行问题，整合六家快递公司（年到村快递量1.2万件以上），实行分批接货、集中分拣、统一配送，实现快递包裹每天下乡进村（行政村覆盖率达65%以上）</w:t>
            </w:r>
          </w:p>
        </w:tc>
        <w:tc>
          <w:tcPr>
            <w:tcW w:w="600"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318</w:t>
            </w:r>
          </w:p>
        </w:tc>
        <w:tc>
          <w:tcPr>
            <w:tcW w:w="4312"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ind w:firstLine="300" w:firstLineChars="200"/>
              <w:jc w:val="left"/>
              <w:textAlignment w:val="auto"/>
              <w:rPr>
                <w:rFonts w:hint="default" w:ascii="Times New Roman" w:hAnsi="Times New Roman" w:cs="Times New Roman" w:eastAsiaTheme="minorEastAsia"/>
                <w:color w:val="auto"/>
                <w:kern w:val="0"/>
                <w:sz w:val="15"/>
                <w:szCs w:val="15"/>
                <w:lang w:val="en-US" w:eastAsia="zh-CN"/>
              </w:rPr>
            </w:pPr>
            <w:r>
              <w:rPr>
                <w:rFonts w:hint="eastAsia" w:ascii="Times New Roman" w:hAnsi="Times New Roman" w:cs="Times New Roman" w:eastAsiaTheme="minorEastAsia"/>
                <w:color w:val="auto"/>
                <w:kern w:val="0"/>
                <w:sz w:val="15"/>
                <w:szCs w:val="15"/>
                <w:lang w:val="en-US" w:eastAsia="zh-CN"/>
              </w:rPr>
              <w:t>1.2021年10月至2022年3月，支付圆通、韵达、申通三家快递公司分拣服务费9.9万元,实际圆通支付无凭证，验收通过6.6万元。</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ind w:firstLine="300" w:firstLineChars="200"/>
              <w:jc w:val="left"/>
              <w:textAlignment w:val="auto"/>
              <w:rPr>
                <w:rFonts w:hint="eastAsia" w:ascii="Times New Roman" w:hAnsi="Times New Roman" w:cs="Times New Roman" w:eastAsiaTheme="minorEastAsia"/>
                <w:color w:val="auto"/>
                <w:kern w:val="0"/>
                <w:sz w:val="15"/>
                <w:szCs w:val="15"/>
                <w:lang w:val="en-US" w:eastAsia="zh-CN"/>
              </w:rPr>
            </w:pPr>
            <w:r>
              <w:rPr>
                <w:rFonts w:hint="eastAsia" w:ascii="Times New Roman" w:hAnsi="Times New Roman" w:cs="Times New Roman" w:eastAsiaTheme="minorEastAsia"/>
                <w:color w:val="auto"/>
                <w:kern w:val="0"/>
                <w:sz w:val="15"/>
                <w:szCs w:val="15"/>
                <w:lang w:val="en-US" w:eastAsia="zh-CN"/>
              </w:rPr>
              <w:t>2.整合快递公司：先后整合韵达、圆通、百世、极兔、万家通、申通、顺丰、多多买菜同城配送企业8家。</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ind w:firstLine="300" w:firstLineChars="200"/>
              <w:jc w:val="left"/>
              <w:textAlignment w:val="auto"/>
              <w:rPr>
                <w:rFonts w:hint="eastAsia" w:ascii="宋体" w:hAnsi="宋体" w:eastAsia="宋体" w:cs="宋体"/>
                <w:color w:val="auto"/>
                <w:sz w:val="15"/>
                <w:szCs w:val="15"/>
                <w:lang w:val="en-US" w:eastAsia="zh-CN"/>
              </w:rPr>
            </w:pPr>
            <w:r>
              <w:rPr>
                <w:rFonts w:hint="eastAsia" w:ascii="Times New Roman" w:hAnsi="Times New Roman" w:cs="Times New Roman" w:eastAsiaTheme="minorEastAsia"/>
                <w:color w:val="auto"/>
                <w:kern w:val="0"/>
                <w:sz w:val="15"/>
                <w:szCs w:val="15"/>
                <w:lang w:val="en-US" w:eastAsia="zh-CN"/>
              </w:rPr>
              <w:t>3.通过智能化物流分拣体系，优化县乡村物流配送功能，通过智慧物流，着重解决“最后一公里”配送和服务农产品上行问题，实行分批接货、集中分拣、统一配送，实现快递包裹每天下乡进村，2021年10月至2022年3月底快递进村量共计139228件。其中百世11件、圆通21957件、韵达60407件、极兔1818件、万家通2869件、申通12421件、顺丰</w:t>
            </w:r>
            <w:bookmarkStart w:id="0" w:name="_GoBack"/>
            <w:bookmarkEnd w:id="0"/>
            <w:r>
              <w:rPr>
                <w:rFonts w:hint="eastAsia" w:ascii="Times New Roman" w:hAnsi="Times New Roman" w:cs="Times New Roman" w:eastAsiaTheme="minorEastAsia"/>
                <w:color w:val="auto"/>
                <w:kern w:val="0"/>
                <w:sz w:val="15"/>
                <w:szCs w:val="15"/>
                <w:lang w:val="en-US" w:eastAsia="zh-CN"/>
              </w:rPr>
              <w:t>1464件、多多买菜38281件。</w:t>
            </w:r>
          </w:p>
        </w:tc>
        <w:tc>
          <w:tcPr>
            <w:tcW w:w="663"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i w:val="0"/>
                <w:color w:val="auto"/>
                <w:kern w:val="0"/>
                <w:sz w:val="15"/>
                <w:szCs w:val="15"/>
                <w:u w:val="none"/>
                <w:lang w:val="en-US" w:eastAsia="zh-CN" w:bidi="ar"/>
              </w:rPr>
              <w:t>9.9</w:t>
            </w:r>
          </w:p>
        </w:tc>
        <w:tc>
          <w:tcPr>
            <w:tcW w:w="712"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cs="Times New Roman" w:eastAsiaTheme="minorEastAsia"/>
                <w:color w:val="auto"/>
                <w:kern w:val="0"/>
                <w:sz w:val="15"/>
                <w:szCs w:val="15"/>
                <w:lang w:val="en-US" w:eastAsia="zh-CN" w:bidi="ar"/>
              </w:rPr>
            </w:pPr>
            <w:r>
              <w:rPr>
                <w:rFonts w:hint="default" w:ascii="Times New Roman" w:hAnsi="Times New Roman" w:eastAsia="宋体" w:cs="Times New Roman"/>
                <w:i w:val="0"/>
                <w:color w:val="000000"/>
                <w:kern w:val="0"/>
                <w:sz w:val="16"/>
                <w:szCs w:val="16"/>
                <w:u w:val="none"/>
                <w:lang w:val="en-US" w:eastAsia="zh-CN" w:bidi="ar"/>
              </w:rPr>
              <w:t>82.73</w:t>
            </w:r>
          </w:p>
        </w:tc>
        <w:tc>
          <w:tcPr>
            <w:tcW w:w="925" w:type="dxa"/>
            <w:vMerge w:val="restart"/>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cs="Times New Roman" w:eastAsiaTheme="minorEastAsia"/>
                <w:color w:val="auto"/>
                <w:kern w:val="0"/>
                <w:sz w:val="15"/>
                <w:szCs w:val="15"/>
                <w:lang w:val="en-US" w:eastAsia="zh-CN" w:bidi="ar"/>
              </w:rPr>
            </w:pPr>
            <w:r>
              <w:rPr>
                <w:rFonts w:hint="eastAsia" w:ascii="Times New Roman" w:hAnsi="Times New Roman" w:cs="Times New Roman" w:eastAsiaTheme="minorEastAsia"/>
                <w:color w:val="auto"/>
                <w:kern w:val="0"/>
                <w:sz w:val="15"/>
                <w:szCs w:val="15"/>
                <w:lang w:val="en-US" w:eastAsia="zh-CN" w:bidi="ar"/>
              </w:rPr>
              <w:t>212.24</w:t>
            </w:r>
          </w:p>
        </w:tc>
        <w:tc>
          <w:tcPr>
            <w:tcW w:w="798" w:type="dxa"/>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cs="Times New Roman" w:eastAsiaTheme="minorEastAsia"/>
                <w:color w:val="auto"/>
                <w:kern w:val="0"/>
                <w:sz w:val="15"/>
                <w:szCs w:val="15"/>
                <w:lang w:val="en-US" w:eastAsia="zh-CN" w:bidi="ar"/>
              </w:rPr>
            </w:pPr>
            <w:r>
              <w:rPr>
                <w:rFonts w:hint="eastAsia" w:ascii="Times New Roman" w:hAnsi="Times New Roman" w:cs="Times New Roman"/>
                <w:i w:val="0"/>
                <w:color w:val="auto"/>
                <w:kern w:val="0"/>
                <w:sz w:val="15"/>
                <w:szCs w:val="15"/>
                <w:u w:val="none"/>
                <w:lang w:val="en-US" w:eastAsia="zh-CN" w:bidi="ar"/>
              </w:rPr>
              <w:t>6.6</w:t>
            </w:r>
          </w:p>
        </w:tc>
        <w:tc>
          <w:tcPr>
            <w:tcW w:w="993" w:type="dxa"/>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left"/>
              <w:textAlignment w:val="auto"/>
              <w:rPr>
                <w:rFonts w:hint="default" w:ascii="Times New Roman" w:hAnsi="Times New Roman" w:cs="Times New Roman" w:eastAsiaTheme="minorEastAsia"/>
                <w:color w:val="auto"/>
                <w:kern w:val="0"/>
                <w:sz w:val="15"/>
                <w:szCs w:val="15"/>
                <w:lang w:val="en-US" w:eastAsia="zh-CN" w:bidi="ar"/>
              </w:rPr>
            </w:pPr>
            <w:r>
              <w:rPr>
                <w:rFonts w:hint="eastAsia" w:ascii="Times New Roman" w:hAnsi="Times New Roman" w:cs="Times New Roman" w:eastAsiaTheme="minorEastAsia"/>
                <w:color w:val="auto"/>
                <w:kern w:val="0"/>
                <w:sz w:val="15"/>
                <w:szCs w:val="15"/>
                <w:lang w:val="en-US" w:eastAsia="zh-CN" w:bidi="ar"/>
              </w:rPr>
              <w:t>89.33</w:t>
            </w:r>
          </w:p>
        </w:tc>
        <w:tc>
          <w:tcPr>
            <w:tcW w:w="622" w:type="dxa"/>
            <w:vMerge w:val="restart"/>
            <w:noWrap w:val="0"/>
            <w:vAlign w:val="center"/>
          </w:tcPr>
          <w:p>
            <w:pPr>
              <w:keepNext w:val="0"/>
              <w:keepLines w:val="0"/>
              <w:pageBreakBefore w:val="0"/>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eastAsiaTheme="minorEastAsia"/>
                <w:color w:val="auto"/>
                <w:kern w:val="0"/>
                <w:sz w:val="15"/>
                <w:szCs w:val="15"/>
                <w:lang w:val="en-US" w:eastAsia="zh-CN" w:bidi="ar"/>
              </w:rPr>
            </w:pPr>
            <w:r>
              <w:rPr>
                <w:rFonts w:hint="eastAsia" w:ascii="Times New Roman" w:hAnsi="Times New Roman" w:cs="Times New Roman" w:eastAsiaTheme="minorEastAsia"/>
                <w:color w:val="auto"/>
                <w:kern w:val="0"/>
                <w:sz w:val="15"/>
                <w:szCs w:val="15"/>
                <w:lang w:val="en-US" w:eastAsia="zh-CN" w:bidi="ar"/>
              </w:rPr>
              <w:t>本次暂不支付进度资金。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591" w:type="dxa"/>
            <w:vMerge w:val="continue"/>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right="0" w:rightChars="0"/>
              <w:textAlignment w:val="auto"/>
              <w:rPr>
                <w:rFonts w:hint="default" w:ascii="Times New Roman" w:hAnsi="Times New Roman" w:cs="Times New Roman" w:eastAsiaTheme="minorEastAsia"/>
                <w:kern w:val="0"/>
                <w:sz w:val="15"/>
                <w:szCs w:val="15"/>
                <w:lang w:eastAsia="zh-CN"/>
              </w:rPr>
            </w:pPr>
          </w:p>
        </w:tc>
        <w:tc>
          <w:tcPr>
            <w:tcW w:w="2312" w:type="dxa"/>
            <w:noWrap w:val="0"/>
            <w:vAlign w:val="center"/>
          </w:tcPr>
          <w:p>
            <w:pPr>
              <w:keepNext w:val="0"/>
              <w:keepLines w:val="0"/>
              <w:pageBreakBefore w:val="0"/>
              <w:kinsoku/>
              <w:wordWrap/>
              <w:overflowPunct/>
              <w:topLinePunct w:val="0"/>
              <w:autoSpaceDE w:val="0"/>
              <w:autoSpaceDN w:val="0"/>
              <w:bidi w:val="0"/>
              <w:adjustRightInd/>
              <w:snapToGrid/>
              <w:spacing w:line="200" w:lineRule="exact"/>
              <w:textAlignment w:val="auto"/>
              <w:rPr>
                <w:rFonts w:hint="default" w:ascii="Times New Roman" w:hAnsi="Times New Roman" w:cs="Times New Roman" w:eastAsiaTheme="minorEastAsia"/>
                <w:sz w:val="15"/>
                <w:szCs w:val="15"/>
                <w:lang w:val="en-US" w:eastAsia="zh-CN"/>
              </w:rPr>
            </w:pPr>
            <w:r>
              <w:rPr>
                <w:rFonts w:hint="default" w:ascii="Times New Roman" w:hAnsi="Times New Roman" w:cs="Times New Roman" w:eastAsiaTheme="minorEastAsia"/>
                <w:sz w:val="15"/>
                <w:szCs w:val="15"/>
                <w:lang w:val="en-US" w:eastAsia="zh-CN"/>
              </w:rPr>
              <w:t>对承担物流快递收发业务的物流站点通过快递派费等形式多渠道增收，确保不低于300元/月的物流收入，畅通农村快递收发渠道，提升服务水平</w:t>
            </w:r>
          </w:p>
        </w:tc>
        <w:tc>
          <w:tcPr>
            <w:tcW w:w="713" w:type="dxa"/>
            <w:vMerge w:val="continue"/>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00" w:lineRule="exact"/>
              <w:ind w:left="0" w:leftChars="0" w:right="0" w:rightChars="0"/>
              <w:jc w:val="center"/>
              <w:textAlignment w:val="auto"/>
              <w:rPr>
                <w:rFonts w:hint="default" w:ascii="Times New Roman" w:hAnsi="Times New Roman" w:cs="Times New Roman" w:eastAsiaTheme="minorEastAsia"/>
                <w:kern w:val="0"/>
                <w:sz w:val="15"/>
                <w:szCs w:val="15"/>
                <w:lang w:val="en-US" w:eastAsia="zh-CN"/>
              </w:rPr>
            </w:pPr>
          </w:p>
        </w:tc>
        <w:tc>
          <w:tcPr>
            <w:tcW w:w="240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auto"/>
              <w:rPr>
                <w:rFonts w:hint="default" w:ascii="Times New Roman" w:hAnsi="Times New Roman" w:cs="Times New Roman" w:eastAsiaTheme="minorEastAsia"/>
                <w:kern w:val="0"/>
                <w:sz w:val="15"/>
                <w:szCs w:val="15"/>
                <w:lang w:val="en-US" w:eastAsia="zh-CN"/>
              </w:rPr>
            </w:pPr>
            <w:r>
              <w:rPr>
                <w:rFonts w:hint="default" w:ascii="Times New Roman" w:hAnsi="Times New Roman" w:cs="Times New Roman" w:eastAsiaTheme="minorEastAsia"/>
                <w:sz w:val="15"/>
                <w:szCs w:val="15"/>
                <w:lang w:val="en-US" w:eastAsia="zh-CN"/>
              </w:rPr>
              <w:t>对承担物流快递收发业务的物流站点通过快递派费等形式多渠道增收，确保不低于300元/月的物流收入，畅通农村快递收发渠道，提升服务水平</w:t>
            </w:r>
          </w:p>
        </w:tc>
        <w:tc>
          <w:tcPr>
            <w:tcW w:w="6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auto"/>
              <w:rPr>
                <w:rFonts w:hint="default" w:ascii="Times New Roman" w:hAnsi="Times New Roman" w:cs="Times New Roman" w:eastAsiaTheme="minorEastAsia"/>
                <w:kern w:val="0"/>
                <w:sz w:val="15"/>
                <w:szCs w:val="15"/>
                <w:lang w:val="en-US" w:eastAsia="zh-CN"/>
              </w:rPr>
            </w:pPr>
          </w:p>
        </w:tc>
        <w:tc>
          <w:tcPr>
            <w:tcW w:w="4312"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auto"/>
              <w:rPr>
                <w:rFonts w:hint="default" w:ascii="Times New Roman" w:hAnsi="Times New Roman" w:cs="Times New Roman" w:eastAsiaTheme="minorEastAsia"/>
                <w:color w:val="auto"/>
                <w:kern w:val="0"/>
                <w:sz w:val="15"/>
                <w:szCs w:val="15"/>
                <w:lang w:val="en-US" w:eastAsia="zh-CN"/>
              </w:rPr>
            </w:pPr>
            <w:r>
              <w:rPr>
                <w:rFonts w:hint="default" w:ascii="Times New Roman" w:hAnsi="Times New Roman" w:cs="Times New Roman" w:eastAsiaTheme="minorEastAsia"/>
                <w:color w:val="auto"/>
                <w:kern w:val="0"/>
                <w:sz w:val="15"/>
                <w:szCs w:val="15"/>
                <w:lang w:val="en-US" w:eastAsia="zh-CN"/>
              </w:rPr>
              <w:t>已建设村级网点100个，并对承担物流快递收发业务的物流站点通过快递派费等形式多渠道增收，确保不低于300元/月的物流收入，畅通农村快递收发渠道，提升服务水平,2021年10月-2022年3月，沟口村、长城村、文沟村、王洼村等7个服务站点月平均到货量达到600件</w:t>
            </w:r>
            <w:r>
              <w:rPr>
                <w:rFonts w:hint="eastAsia" w:ascii="Times New Roman" w:hAnsi="Times New Roman" w:cs="Times New Roman" w:eastAsiaTheme="minorEastAsia"/>
                <w:color w:val="auto"/>
                <w:kern w:val="0"/>
                <w:sz w:val="15"/>
                <w:szCs w:val="15"/>
                <w:lang w:val="en-US" w:eastAsia="zh-CN"/>
              </w:rPr>
              <w:t>，</w:t>
            </w:r>
            <w:r>
              <w:rPr>
                <w:rFonts w:hint="default" w:ascii="Times New Roman" w:hAnsi="Times New Roman" w:cs="Times New Roman" w:eastAsiaTheme="minorEastAsia"/>
                <w:color w:val="auto"/>
                <w:kern w:val="0"/>
                <w:sz w:val="15"/>
                <w:szCs w:val="15"/>
                <w:lang w:val="en-US" w:eastAsia="zh-CN"/>
              </w:rPr>
              <w:t>以每件按0.5元结付，按照实际派送快件数量支付派费。其余按照300元/月结付，共计结付派费补贴13.67万元。</w:t>
            </w:r>
          </w:p>
        </w:tc>
        <w:tc>
          <w:tcPr>
            <w:tcW w:w="663"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i w:val="0"/>
                <w:color w:val="auto"/>
                <w:kern w:val="0"/>
                <w:sz w:val="15"/>
                <w:szCs w:val="15"/>
                <w:u w:val="none"/>
                <w:lang w:val="en-US" w:eastAsia="zh-CN" w:bidi="ar"/>
              </w:rPr>
              <w:t>13.67</w:t>
            </w:r>
          </w:p>
        </w:tc>
        <w:tc>
          <w:tcPr>
            <w:tcW w:w="712"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cs="Times New Roman" w:eastAsiaTheme="minorEastAsia"/>
                <w:color w:val="auto"/>
                <w:kern w:val="0"/>
                <w:sz w:val="15"/>
                <w:szCs w:val="15"/>
                <w:lang w:val="en-US" w:eastAsia="zh-CN" w:bidi="ar"/>
              </w:rPr>
            </w:pPr>
            <w:r>
              <w:rPr>
                <w:rFonts w:hint="default" w:ascii="Times New Roman" w:hAnsi="Times New Roman" w:eastAsia="宋体" w:cs="Times New Roman"/>
                <w:i w:val="0"/>
                <w:color w:val="000000"/>
                <w:kern w:val="0"/>
                <w:sz w:val="16"/>
                <w:szCs w:val="16"/>
                <w:u w:val="none"/>
                <w:lang w:val="en-US" w:eastAsia="zh-CN" w:bidi="ar"/>
              </w:rPr>
              <w:t>42.72</w:t>
            </w:r>
          </w:p>
        </w:tc>
        <w:tc>
          <w:tcPr>
            <w:tcW w:w="925" w:type="dxa"/>
            <w:vMerge w:val="continue"/>
            <w:noWrap w:val="0"/>
            <w:vAlign w:val="center"/>
          </w:tcPr>
          <w:p>
            <w:pPr>
              <w:keepNext w:val="0"/>
              <w:keepLines w:val="0"/>
              <w:pageBreakBefore w:val="0"/>
              <w:widowControl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cs="Times New Roman" w:eastAsiaTheme="minorEastAsia"/>
                <w:color w:val="auto"/>
                <w:kern w:val="0"/>
                <w:sz w:val="15"/>
                <w:szCs w:val="15"/>
                <w:lang w:val="en-US" w:eastAsia="zh-CN" w:bidi="ar"/>
              </w:rPr>
            </w:pPr>
          </w:p>
        </w:tc>
        <w:tc>
          <w:tcPr>
            <w:tcW w:w="798" w:type="dxa"/>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cs="Times New Roman" w:eastAsiaTheme="minorEastAsia"/>
                <w:color w:val="auto"/>
                <w:kern w:val="0"/>
                <w:sz w:val="15"/>
                <w:szCs w:val="15"/>
                <w:lang w:val="en-US" w:eastAsia="zh-CN" w:bidi="ar"/>
              </w:rPr>
            </w:pPr>
            <w:r>
              <w:rPr>
                <w:rFonts w:hint="eastAsia" w:ascii="Times New Roman" w:hAnsi="Times New Roman" w:cs="Times New Roman"/>
                <w:i w:val="0"/>
                <w:color w:val="auto"/>
                <w:kern w:val="0"/>
                <w:sz w:val="15"/>
                <w:szCs w:val="15"/>
                <w:u w:val="none"/>
                <w:lang w:val="en-US" w:eastAsia="zh-CN" w:bidi="ar"/>
              </w:rPr>
              <w:t>13.67</w:t>
            </w:r>
          </w:p>
        </w:tc>
        <w:tc>
          <w:tcPr>
            <w:tcW w:w="993" w:type="dxa"/>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left"/>
              <w:textAlignment w:val="auto"/>
              <w:rPr>
                <w:rFonts w:hint="default" w:ascii="Times New Roman" w:hAnsi="Times New Roman" w:cs="Times New Roman" w:eastAsiaTheme="minorEastAsia"/>
                <w:color w:val="auto"/>
                <w:kern w:val="0"/>
                <w:sz w:val="15"/>
                <w:szCs w:val="15"/>
                <w:lang w:val="en-US" w:eastAsia="zh-CN" w:bidi="ar"/>
              </w:rPr>
            </w:pPr>
            <w:r>
              <w:rPr>
                <w:rFonts w:hint="eastAsia" w:ascii="Times New Roman" w:hAnsi="Times New Roman" w:cs="Times New Roman" w:eastAsiaTheme="minorEastAsia"/>
                <w:color w:val="auto"/>
                <w:kern w:val="0"/>
                <w:sz w:val="15"/>
                <w:szCs w:val="15"/>
                <w:lang w:val="en-US" w:eastAsia="zh-CN" w:bidi="ar"/>
              </w:rPr>
              <w:t>56.39</w:t>
            </w:r>
          </w:p>
        </w:tc>
        <w:tc>
          <w:tcPr>
            <w:tcW w:w="622" w:type="dxa"/>
            <w:vMerge w:val="continue"/>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left"/>
              <w:textAlignment w:val="auto"/>
              <w:rPr>
                <w:rFonts w:hint="default" w:ascii="Times New Roman" w:hAnsi="Times New Roman" w:cs="Times New Roman" w:eastAsiaTheme="minorEastAsia"/>
                <w:color w:val="auto"/>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591" w:type="dxa"/>
            <w:vMerge w:val="continue"/>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right="0" w:rightChars="0"/>
              <w:textAlignment w:val="auto"/>
              <w:rPr>
                <w:rFonts w:hint="default" w:ascii="Times New Roman" w:hAnsi="Times New Roman" w:cs="Times New Roman" w:eastAsiaTheme="minorEastAsia"/>
                <w:kern w:val="0"/>
                <w:sz w:val="15"/>
                <w:szCs w:val="15"/>
                <w:lang w:eastAsia="zh-CN"/>
              </w:rPr>
            </w:pPr>
          </w:p>
        </w:tc>
        <w:tc>
          <w:tcPr>
            <w:tcW w:w="2312" w:type="dxa"/>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00" w:lineRule="exact"/>
              <w:ind w:left="0" w:leftChars="0" w:right="0" w:rightChars="0" w:firstLine="150" w:firstLineChars="100"/>
              <w:textAlignment w:val="auto"/>
              <w:rPr>
                <w:rFonts w:hint="default" w:ascii="Times New Roman" w:hAnsi="Times New Roman" w:cs="Times New Roman" w:eastAsiaTheme="minorEastAsia"/>
                <w:sz w:val="15"/>
                <w:szCs w:val="15"/>
                <w:lang w:val="en-US" w:eastAsia="zh-CN"/>
              </w:rPr>
            </w:pPr>
            <w:r>
              <w:rPr>
                <w:rFonts w:hint="default" w:ascii="Times New Roman" w:hAnsi="Times New Roman" w:cs="Times New Roman" w:eastAsiaTheme="minorEastAsia"/>
                <w:sz w:val="15"/>
                <w:szCs w:val="15"/>
                <w:lang w:val="en-US" w:eastAsia="zh-CN"/>
              </w:rPr>
              <w:t>规划开通总公里数不低于810公里的4条邮路，服务范围覆盖全县156个行政村。</w:t>
            </w:r>
          </w:p>
        </w:tc>
        <w:tc>
          <w:tcPr>
            <w:tcW w:w="713" w:type="dxa"/>
            <w:vMerge w:val="continue"/>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00" w:lineRule="exact"/>
              <w:ind w:left="0" w:leftChars="0" w:right="0" w:rightChars="0"/>
              <w:jc w:val="center"/>
              <w:textAlignment w:val="auto"/>
              <w:rPr>
                <w:rFonts w:hint="default" w:ascii="Times New Roman" w:hAnsi="Times New Roman" w:cs="Times New Roman" w:eastAsiaTheme="minorEastAsia"/>
                <w:kern w:val="0"/>
                <w:sz w:val="15"/>
                <w:szCs w:val="15"/>
                <w:lang w:val="en-US" w:eastAsia="zh-CN"/>
              </w:rPr>
            </w:pPr>
          </w:p>
        </w:tc>
        <w:tc>
          <w:tcPr>
            <w:tcW w:w="240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auto"/>
              <w:rPr>
                <w:rFonts w:hint="default" w:ascii="Times New Roman" w:hAnsi="Times New Roman" w:cs="Times New Roman" w:eastAsiaTheme="minorEastAsia"/>
                <w:kern w:val="0"/>
                <w:sz w:val="15"/>
                <w:szCs w:val="15"/>
                <w:lang w:val="en-US" w:eastAsia="zh-CN"/>
              </w:rPr>
            </w:pPr>
            <w:r>
              <w:rPr>
                <w:rFonts w:hint="default" w:ascii="Times New Roman" w:hAnsi="Times New Roman" w:cs="Times New Roman" w:eastAsiaTheme="minorEastAsia"/>
                <w:kern w:val="0"/>
                <w:sz w:val="15"/>
                <w:szCs w:val="15"/>
                <w:lang w:val="en-US" w:eastAsia="zh-CN"/>
              </w:rPr>
              <w:t>规划开通总公里数不低于810公里的4条邮路，服务范围覆盖全县156个行政村。</w:t>
            </w:r>
          </w:p>
        </w:tc>
        <w:tc>
          <w:tcPr>
            <w:tcW w:w="6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auto"/>
              <w:rPr>
                <w:rFonts w:hint="default" w:ascii="Times New Roman" w:hAnsi="Times New Roman" w:cs="Times New Roman" w:eastAsiaTheme="minorEastAsia"/>
                <w:kern w:val="0"/>
                <w:sz w:val="15"/>
                <w:szCs w:val="15"/>
                <w:lang w:val="en-US" w:eastAsia="zh-CN"/>
              </w:rPr>
            </w:pPr>
          </w:p>
        </w:tc>
        <w:tc>
          <w:tcPr>
            <w:tcW w:w="4312"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auto"/>
              <w:rPr>
                <w:rFonts w:hint="default" w:ascii="Times New Roman" w:hAnsi="Times New Roman" w:cs="Times New Roman" w:eastAsiaTheme="minorEastAsia"/>
                <w:color w:val="auto"/>
                <w:kern w:val="0"/>
                <w:sz w:val="15"/>
                <w:szCs w:val="15"/>
                <w:lang w:val="en-US" w:eastAsia="zh-CN"/>
              </w:rPr>
            </w:pPr>
            <w:r>
              <w:rPr>
                <w:rFonts w:hint="default" w:ascii="Times New Roman" w:hAnsi="Times New Roman" w:cs="Times New Roman" w:eastAsiaTheme="minorEastAsia"/>
                <w:color w:val="auto"/>
                <w:kern w:val="0"/>
                <w:sz w:val="15"/>
                <w:szCs w:val="15"/>
                <w:lang w:val="en-US" w:eastAsia="zh-CN"/>
              </w:rPr>
              <w:t>确保4条物流运输路线正常运营,全程1005公里,途径100个村级网点,服务覆盖全县156个行政村，2021年11月至2022年3月底，共支付补贴费用25.74万元。</w:t>
            </w:r>
          </w:p>
        </w:tc>
        <w:tc>
          <w:tcPr>
            <w:tcW w:w="663"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cs="Times New Roman" w:eastAsiaTheme="minorEastAsia"/>
                <w:color w:val="auto"/>
                <w:sz w:val="15"/>
                <w:szCs w:val="15"/>
                <w:lang w:val="en-US" w:eastAsia="zh-CN"/>
              </w:rPr>
            </w:pPr>
            <w:r>
              <w:rPr>
                <w:rFonts w:hint="eastAsia" w:ascii="Times New Roman" w:hAnsi="Times New Roman" w:cs="Times New Roman"/>
                <w:i w:val="0"/>
                <w:color w:val="auto"/>
                <w:kern w:val="0"/>
                <w:sz w:val="15"/>
                <w:szCs w:val="15"/>
                <w:u w:val="none"/>
                <w:lang w:val="en-US" w:eastAsia="zh-CN" w:bidi="ar"/>
              </w:rPr>
              <w:t>25.74</w:t>
            </w:r>
          </w:p>
        </w:tc>
        <w:tc>
          <w:tcPr>
            <w:tcW w:w="712"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cs="Times New Roman" w:eastAsiaTheme="minorEastAsia"/>
                <w:color w:val="auto"/>
                <w:kern w:val="0"/>
                <w:sz w:val="15"/>
                <w:szCs w:val="15"/>
                <w:lang w:val="en-US" w:eastAsia="zh-CN" w:bidi="ar"/>
              </w:rPr>
            </w:pPr>
            <w:r>
              <w:rPr>
                <w:rFonts w:hint="default" w:ascii="Times New Roman" w:hAnsi="Times New Roman" w:eastAsia="宋体" w:cs="Times New Roman"/>
                <w:i w:val="0"/>
                <w:color w:val="000000"/>
                <w:kern w:val="0"/>
                <w:sz w:val="16"/>
                <w:szCs w:val="16"/>
                <w:u w:val="none"/>
                <w:lang w:val="en-US" w:eastAsia="zh-CN" w:bidi="ar"/>
              </w:rPr>
              <w:t>86.79</w:t>
            </w:r>
          </w:p>
        </w:tc>
        <w:tc>
          <w:tcPr>
            <w:tcW w:w="925" w:type="dxa"/>
            <w:vMerge w:val="continue"/>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left"/>
              <w:textAlignment w:val="auto"/>
              <w:rPr>
                <w:rFonts w:hint="default" w:ascii="Times New Roman" w:hAnsi="Times New Roman" w:cs="Times New Roman" w:eastAsiaTheme="minorEastAsia"/>
                <w:color w:val="auto"/>
                <w:kern w:val="0"/>
                <w:sz w:val="15"/>
                <w:szCs w:val="15"/>
                <w:lang w:val="en-US" w:eastAsia="zh-CN" w:bidi="ar"/>
              </w:rPr>
            </w:pPr>
          </w:p>
        </w:tc>
        <w:tc>
          <w:tcPr>
            <w:tcW w:w="798" w:type="dxa"/>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center"/>
              <w:textAlignment w:val="auto"/>
              <w:rPr>
                <w:rFonts w:hint="default" w:ascii="Times New Roman" w:hAnsi="Times New Roman" w:cs="Times New Roman" w:eastAsiaTheme="minorEastAsia"/>
                <w:color w:val="auto"/>
                <w:kern w:val="0"/>
                <w:sz w:val="15"/>
                <w:szCs w:val="15"/>
                <w:lang w:val="en-US" w:eastAsia="zh-CN" w:bidi="ar"/>
              </w:rPr>
            </w:pPr>
            <w:r>
              <w:rPr>
                <w:rFonts w:hint="eastAsia" w:ascii="Times New Roman" w:hAnsi="Times New Roman" w:cs="Times New Roman"/>
                <w:i w:val="0"/>
                <w:color w:val="auto"/>
                <w:kern w:val="0"/>
                <w:sz w:val="15"/>
                <w:szCs w:val="15"/>
                <w:u w:val="none"/>
                <w:lang w:val="en-US" w:eastAsia="zh-CN" w:bidi="ar"/>
              </w:rPr>
              <w:t>25.74</w:t>
            </w:r>
          </w:p>
        </w:tc>
        <w:tc>
          <w:tcPr>
            <w:tcW w:w="993" w:type="dxa"/>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left"/>
              <w:textAlignment w:val="auto"/>
              <w:rPr>
                <w:rFonts w:hint="default" w:ascii="Times New Roman" w:hAnsi="Times New Roman" w:cs="Times New Roman" w:eastAsiaTheme="minorEastAsia"/>
                <w:color w:val="auto"/>
                <w:kern w:val="0"/>
                <w:sz w:val="15"/>
                <w:szCs w:val="15"/>
                <w:lang w:val="en-US" w:eastAsia="zh-CN" w:bidi="ar"/>
              </w:rPr>
            </w:pPr>
            <w:r>
              <w:rPr>
                <w:rFonts w:hint="eastAsia" w:ascii="Times New Roman" w:hAnsi="Times New Roman" w:cs="Times New Roman" w:eastAsiaTheme="minorEastAsia"/>
                <w:color w:val="auto"/>
                <w:kern w:val="0"/>
                <w:sz w:val="15"/>
                <w:szCs w:val="15"/>
                <w:lang w:val="en-US" w:eastAsia="zh-CN" w:bidi="ar"/>
              </w:rPr>
              <w:t>112.53</w:t>
            </w:r>
          </w:p>
        </w:tc>
        <w:tc>
          <w:tcPr>
            <w:tcW w:w="622" w:type="dxa"/>
            <w:vMerge w:val="continue"/>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left"/>
              <w:textAlignment w:val="auto"/>
              <w:rPr>
                <w:rFonts w:hint="default" w:ascii="Times New Roman" w:hAnsi="Times New Roman" w:cs="Times New Roman" w:eastAsiaTheme="minorEastAsia"/>
                <w:color w:val="auto"/>
                <w:kern w:val="0"/>
                <w:sz w:val="15"/>
                <w:szCs w:val="15"/>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591" w:type="dxa"/>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right="0" w:rightChars="0"/>
              <w:textAlignment w:val="auto"/>
              <w:rPr>
                <w:rFonts w:hint="default" w:ascii="Times New Roman" w:hAnsi="Times New Roman" w:cs="Times New Roman" w:eastAsiaTheme="minorEastAsia"/>
                <w:kern w:val="0"/>
                <w:sz w:val="15"/>
                <w:szCs w:val="15"/>
                <w:lang w:val="en-US" w:eastAsia="zh-CN"/>
              </w:rPr>
            </w:pPr>
            <w:r>
              <w:rPr>
                <w:rFonts w:hint="default" w:ascii="Times New Roman" w:hAnsi="Times New Roman" w:cs="Times New Roman" w:eastAsiaTheme="minorEastAsia"/>
                <w:kern w:val="0"/>
                <w:sz w:val="15"/>
                <w:szCs w:val="15"/>
                <w:lang w:val="en-US" w:eastAsia="zh-CN"/>
              </w:rPr>
              <w:t>合计</w:t>
            </w:r>
          </w:p>
        </w:tc>
        <w:tc>
          <w:tcPr>
            <w:tcW w:w="2312" w:type="dxa"/>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firstLine="150" w:firstLineChars="100"/>
              <w:textAlignment w:val="auto"/>
              <w:rPr>
                <w:rFonts w:hint="default" w:ascii="Times New Roman" w:hAnsi="Times New Roman" w:cs="Times New Roman" w:eastAsiaTheme="minorEastAsia"/>
                <w:b w:val="0"/>
                <w:bCs w:val="0"/>
                <w:sz w:val="15"/>
                <w:szCs w:val="15"/>
                <w:lang w:val="en-US" w:eastAsia="zh-CN"/>
              </w:rPr>
            </w:pPr>
          </w:p>
        </w:tc>
        <w:tc>
          <w:tcPr>
            <w:tcW w:w="713" w:type="dxa"/>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ind w:left="0" w:leftChars="0" w:right="0" w:rightChars="0"/>
              <w:jc w:val="both"/>
              <w:textAlignment w:val="auto"/>
              <w:rPr>
                <w:rFonts w:hint="default" w:ascii="Times New Roman" w:hAnsi="Times New Roman" w:cs="Times New Roman" w:eastAsiaTheme="minorEastAsia"/>
                <w:b w:val="0"/>
                <w:bCs w:val="0"/>
                <w:kern w:val="0"/>
                <w:sz w:val="15"/>
                <w:szCs w:val="15"/>
                <w:lang w:val="en-US" w:eastAsia="zh-CN"/>
              </w:rPr>
            </w:pPr>
            <w:r>
              <w:rPr>
                <w:rFonts w:hint="eastAsia" w:ascii="Times New Roman" w:hAnsi="Times New Roman" w:cs="Times New Roman" w:eastAsiaTheme="minorEastAsia"/>
                <w:b w:val="0"/>
                <w:bCs w:val="0"/>
                <w:kern w:val="0"/>
                <w:sz w:val="15"/>
                <w:szCs w:val="15"/>
                <w:lang w:val="en-US" w:eastAsia="zh-CN"/>
              </w:rPr>
              <w:t>260</w:t>
            </w:r>
          </w:p>
        </w:tc>
        <w:tc>
          <w:tcPr>
            <w:tcW w:w="240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jc w:val="left"/>
              <w:textAlignment w:val="auto"/>
              <w:rPr>
                <w:rFonts w:hint="default" w:ascii="Times New Roman" w:hAnsi="Times New Roman" w:cs="Times New Roman" w:eastAsiaTheme="minorEastAsia"/>
                <w:b w:val="0"/>
                <w:bCs w:val="0"/>
                <w:kern w:val="0"/>
                <w:sz w:val="15"/>
                <w:szCs w:val="15"/>
                <w:lang w:val="en-US" w:eastAsia="zh-CN"/>
              </w:rPr>
            </w:pPr>
          </w:p>
        </w:tc>
        <w:tc>
          <w:tcPr>
            <w:tcW w:w="600"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eastAsiaTheme="minorEastAsia"/>
                <w:b w:val="0"/>
                <w:bCs w:val="0"/>
                <w:kern w:val="0"/>
                <w:sz w:val="15"/>
                <w:szCs w:val="15"/>
                <w:lang w:val="en-US" w:eastAsia="zh-CN"/>
              </w:rPr>
            </w:pPr>
            <w:r>
              <w:rPr>
                <w:rFonts w:hint="eastAsia" w:ascii="Times New Roman" w:hAnsi="Times New Roman" w:cs="Times New Roman" w:eastAsiaTheme="minorEastAsia"/>
                <w:b w:val="0"/>
                <w:bCs w:val="0"/>
                <w:kern w:val="0"/>
                <w:sz w:val="15"/>
                <w:szCs w:val="15"/>
                <w:lang w:val="en-US" w:eastAsia="zh-CN"/>
              </w:rPr>
              <w:t>318</w:t>
            </w:r>
          </w:p>
        </w:tc>
        <w:tc>
          <w:tcPr>
            <w:tcW w:w="4312" w:type="dxa"/>
            <w:noWrap w:val="0"/>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exact"/>
              <w:jc w:val="left"/>
              <w:textAlignment w:val="auto"/>
              <w:rPr>
                <w:rFonts w:hint="default" w:ascii="Times New Roman" w:hAnsi="Times New Roman" w:cs="Times New Roman" w:eastAsiaTheme="minorEastAsia"/>
                <w:b w:val="0"/>
                <w:bCs w:val="0"/>
                <w:color w:val="auto"/>
                <w:kern w:val="0"/>
                <w:sz w:val="15"/>
                <w:szCs w:val="15"/>
                <w:lang w:val="en-US" w:eastAsia="zh-CN"/>
              </w:rPr>
            </w:pPr>
          </w:p>
        </w:tc>
        <w:tc>
          <w:tcPr>
            <w:tcW w:w="663" w:type="dxa"/>
            <w:noWrap w:val="0"/>
            <w:vAlign w:val="center"/>
          </w:tcPr>
          <w:p>
            <w:pPr>
              <w:keepNext w:val="0"/>
              <w:keepLines w:val="0"/>
              <w:widowControl/>
              <w:suppressLineNumbers w:val="0"/>
              <w:ind w:left="0" w:leftChars="0" w:right="0" w:rightChars="0"/>
              <w:jc w:val="center"/>
              <w:textAlignment w:val="center"/>
              <w:rPr>
                <w:rFonts w:hint="default" w:ascii="Times New Roman" w:hAnsi="Times New Roman" w:cs="Times New Roman" w:eastAsiaTheme="minorEastAsia"/>
                <w:b w:val="0"/>
                <w:bCs w:val="0"/>
                <w:color w:val="auto"/>
                <w:sz w:val="15"/>
                <w:szCs w:val="15"/>
                <w:lang w:val="en-US" w:eastAsia="zh-CN"/>
              </w:rPr>
            </w:pPr>
            <w:r>
              <w:rPr>
                <w:rFonts w:hint="eastAsia" w:ascii="Times New Roman" w:hAnsi="Times New Roman" w:cs="Times New Roman"/>
                <w:b w:val="0"/>
                <w:bCs w:val="0"/>
                <w:i w:val="0"/>
                <w:color w:val="auto"/>
                <w:kern w:val="0"/>
                <w:sz w:val="15"/>
                <w:szCs w:val="15"/>
                <w:u w:val="none"/>
                <w:lang w:val="en-US" w:eastAsia="zh-CN" w:bidi="ar"/>
              </w:rPr>
              <w:t>49.31</w:t>
            </w:r>
          </w:p>
        </w:tc>
        <w:tc>
          <w:tcPr>
            <w:tcW w:w="712" w:type="dxa"/>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eastAsiaTheme="minorEastAsia"/>
                <w:b w:val="0"/>
                <w:bCs w:val="0"/>
                <w:color w:val="auto"/>
                <w:kern w:val="0"/>
                <w:sz w:val="15"/>
                <w:szCs w:val="15"/>
                <w:lang w:val="en-US" w:eastAsia="zh-CN" w:bidi="ar"/>
              </w:rPr>
            </w:pPr>
            <w:r>
              <w:rPr>
                <w:rFonts w:hint="eastAsia" w:ascii="Times New Roman" w:hAnsi="Times New Roman" w:cs="Times New Roman" w:eastAsiaTheme="minorEastAsia"/>
                <w:b w:val="0"/>
                <w:bCs w:val="0"/>
                <w:color w:val="auto"/>
                <w:kern w:val="0"/>
                <w:sz w:val="15"/>
                <w:szCs w:val="15"/>
                <w:lang w:val="en-US" w:eastAsia="zh-CN" w:bidi="ar"/>
              </w:rPr>
              <w:t>212.24</w:t>
            </w:r>
          </w:p>
        </w:tc>
        <w:tc>
          <w:tcPr>
            <w:tcW w:w="925" w:type="dxa"/>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eastAsiaTheme="minorEastAsia"/>
                <w:b w:val="0"/>
                <w:bCs w:val="0"/>
                <w:color w:val="auto"/>
                <w:kern w:val="0"/>
                <w:sz w:val="15"/>
                <w:szCs w:val="15"/>
                <w:lang w:val="en-US" w:eastAsia="zh-CN" w:bidi="ar"/>
              </w:rPr>
            </w:pPr>
            <w:r>
              <w:rPr>
                <w:rFonts w:hint="eastAsia" w:ascii="Times New Roman" w:hAnsi="Times New Roman" w:cs="Times New Roman"/>
                <w:b w:val="0"/>
                <w:bCs w:val="0"/>
                <w:i w:val="0"/>
                <w:color w:val="auto"/>
                <w:kern w:val="0"/>
                <w:sz w:val="15"/>
                <w:szCs w:val="15"/>
                <w:u w:val="none"/>
                <w:lang w:val="en-US" w:eastAsia="zh-CN" w:bidi="ar"/>
              </w:rPr>
              <w:t>212.24</w:t>
            </w:r>
          </w:p>
        </w:tc>
        <w:tc>
          <w:tcPr>
            <w:tcW w:w="798" w:type="dxa"/>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eastAsiaTheme="minorEastAsia"/>
                <w:b w:val="0"/>
                <w:bCs w:val="0"/>
                <w:color w:val="auto"/>
                <w:kern w:val="0"/>
                <w:sz w:val="15"/>
                <w:szCs w:val="15"/>
                <w:lang w:val="en-US" w:eastAsia="zh-CN" w:bidi="ar"/>
              </w:rPr>
            </w:pPr>
            <w:r>
              <w:rPr>
                <w:rFonts w:hint="eastAsia" w:ascii="Times New Roman" w:hAnsi="Times New Roman" w:cs="Times New Roman"/>
                <w:b w:val="0"/>
                <w:bCs w:val="0"/>
                <w:i w:val="0"/>
                <w:color w:val="auto"/>
                <w:kern w:val="0"/>
                <w:sz w:val="15"/>
                <w:szCs w:val="15"/>
                <w:u w:val="none"/>
                <w:lang w:val="en-US" w:eastAsia="zh-CN" w:bidi="ar"/>
              </w:rPr>
              <w:t>46.01</w:t>
            </w:r>
          </w:p>
        </w:tc>
        <w:tc>
          <w:tcPr>
            <w:tcW w:w="993" w:type="dxa"/>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left"/>
              <w:textAlignment w:val="auto"/>
              <w:rPr>
                <w:rFonts w:hint="default" w:ascii="Times New Roman" w:hAnsi="Times New Roman" w:cs="Times New Roman" w:eastAsiaTheme="minorEastAsia"/>
                <w:b w:val="0"/>
                <w:bCs w:val="0"/>
                <w:color w:val="auto"/>
                <w:kern w:val="0"/>
                <w:sz w:val="15"/>
                <w:szCs w:val="15"/>
                <w:lang w:val="en-US" w:eastAsia="zh-CN" w:bidi="ar"/>
              </w:rPr>
            </w:pPr>
            <w:r>
              <w:rPr>
                <w:rFonts w:hint="eastAsia" w:ascii="Times New Roman" w:hAnsi="Times New Roman" w:cs="Times New Roman" w:eastAsiaTheme="minorEastAsia"/>
                <w:b w:val="0"/>
                <w:bCs w:val="0"/>
                <w:color w:val="auto"/>
                <w:kern w:val="0"/>
                <w:sz w:val="15"/>
                <w:szCs w:val="15"/>
                <w:lang w:val="en-US" w:eastAsia="zh-CN" w:bidi="ar"/>
              </w:rPr>
              <w:t>258.25（81.21%）</w:t>
            </w:r>
          </w:p>
        </w:tc>
        <w:tc>
          <w:tcPr>
            <w:tcW w:w="622" w:type="dxa"/>
            <w:noWrap w:val="0"/>
            <w:vAlign w:val="center"/>
          </w:tcPr>
          <w:p>
            <w:pPr>
              <w:keepNext w:val="0"/>
              <w:keepLines w:val="0"/>
              <w:pageBreakBefore w:val="0"/>
              <w:tabs>
                <w:tab w:val="left" w:pos="7770"/>
              </w:tabs>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eastAsiaTheme="minorEastAsia"/>
                <w:b w:val="0"/>
                <w:bCs w:val="0"/>
                <w:color w:val="auto"/>
                <w:kern w:val="0"/>
                <w:sz w:val="15"/>
                <w:szCs w:val="15"/>
                <w:lang w:val="en-US" w:eastAsia="zh-CN" w:bidi="ar"/>
              </w:rPr>
            </w:pPr>
          </w:p>
        </w:tc>
      </w:tr>
    </w:tbl>
    <w:p>
      <w:pPr>
        <w:pStyle w:val="2"/>
      </w:pPr>
    </w:p>
    <w:sectPr>
      <w:footerReference r:id="rId3" w:type="default"/>
      <w:pgSz w:w="16838" w:h="11906" w:orient="landscape"/>
      <w:pgMar w:top="1213" w:right="1803" w:bottom="986" w:left="180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OTYwNjRmMjk1MWY4ZTRkMTA1YzY4N2Y4NTI1YTQifQ=="/>
  </w:docVars>
  <w:rsids>
    <w:rsidRoot w:val="51424485"/>
    <w:rsid w:val="012A2F95"/>
    <w:rsid w:val="08E76E53"/>
    <w:rsid w:val="0F0632F6"/>
    <w:rsid w:val="111248DF"/>
    <w:rsid w:val="11F347D4"/>
    <w:rsid w:val="13B27C78"/>
    <w:rsid w:val="141758E2"/>
    <w:rsid w:val="156D0681"/>
    <w:rsid w:val="15D076B8"/>
    <w:rsid w:val="163C2A81"/>
    <w:rsid w:val="1B8D05C8"/>
    <w:rsid w:val="1C267F93"/>
    <w:rsid w:val="21A802F6"/>
    <w:rsid w:val="24363AC1"/>
    <w:rsid w:val="26AE38B0"/>
    <w:rsid w:val="294A4605"/>
    <w:rsid w:val="2C6C7C7B"/>
    <w:rsid w:val="2CA70BAE"/>
    <w:rsid w:val="350B238C"/>
    <w:rsid w:val="37A56F38"/>
    <w:rsid w:val="38593E90"/>
    <w:rsid w:val="387C2432"/>
    <w:rsid w:val="38CF606B"/>
    <w:rsid w:val="395A5547"/>
    <w:rsid w:val="3C8755D4"/>
    <w:rsid w:val="3CAD13CE"/>
    <w:rsid w:val="3E160F76"/>
    <w:rsid w:val="3FE664A3"/>
    <w:rsid w:val="403D4306"/>
    <w:rsid w:val="437411FF"/>
    <w:rsid w:val="44A26E5E"/>
    <w:rsid w:val="47E30D38"/>
    <w:rsid w:val="49F93899"/>
    <w:rsid w:val="4B6B4CB3"/>
    <w:rsid w:val="4C165C6C"/>
    <w:rsid w:val="4CF869EC"/>
    <w:rsid w:val="51424485"/>
    <w:rsid w:val="535C4A91"/>
    <w:rsid w:val="56CE4CED"/>
    <w:rsid w:val="58904148"/>
    <w:rsid w:val="58D10F5A"/>
    <w:rsid w:val="5AC01FEE"/>
    <w:rsid w:val="5B9C44E4"/>
    <w:rsid w:val="5E1B40BF"/>
    <w:rsid w:val="5F1E5FCB"/>
    <w:rsid w:val="5F894450"/>
    <w:rsid w:val="612075A9"/>
    <w:rsid w:val="622335EE"/>
    <w:rsid w:val="64F1382F"/>
    <w:rsid w:val="654D47F5"/>
    <w:rsid w:val="66327F90"/>
    <w:rsid w:val="66551D64"/>
    <w:rsid w:val="66EE06D6"/>
    <w:rsid w:val="691968F2"/>
    <w:rsid w:val="694F407E"/>
    <w:rsid w:val="6AC5101D"/>
    <w:rsid w:val="6CE93EE4"/>
    <w:rsid w:val="720E728A"/>
    <w:rsid w:val="75D31357"/>
    <w:rsid w:val="789D01D5"/>
    <w:rsid w:val="7A6C4F8F"/>
    <w:rsid w:val="7D70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ind w:left="782"/>
      <w:outlineLvl w:val="1"/>
    </w:pPr>
    <w:rPr>
      <w:rFonts w:ascii="宋体" w:hAnsi="宋体" w:eastAsia="宋体" w:cs="宋体"/>
      <w:b/>
      <w:bCs/>
      <w:sz w:val="24"/>
      <w:szCs w:val="24"/>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TOC 标题1"/>
    <w:basedOn w:val="3"/>
    <w:next w:val="1"/>
    <w:qFormat/>
    <w:uiPriority w:val="39"/>
    <w:pPr>
      <w:spacing w:before="480" w:after="0" w:line="276" w:lineRule="auto"/>
      <w:outlineLvl w:val="9"/>
    </w:pPr>
    <w:rPr>
      <w:rFonts w:ascii="仿宋" w:hAnsi="仿宋" w:eastAsia="仿宋"/>
      <w:color w:val="000000"/>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1175</Words>
  <Characters>1358</Characters>
  <Lines>0</Lines>
  <Paragraphs>0</Paragraphs>
  <TotalTime>1</TotalTime>
  <ScaleCrop>false</ScaleCrop>
  <LinksUpToDate>false</LinksUpToDate>
  <CharactersWithSpaces>1389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2021-06-01T00:06:00Z</dcterms:created>
  <dc:creator>七月七日晴</dc:creator>
  <cp:lastModifiedBy>彭阳县发展和改革局</cp:lastModifiedBy>
  <cp:lastPrinted>2022-05-24T08:28:00Z</cp:lastPrinted>
  <dcterms:modified xsi:type="dcterms:W3CDTF">2022-06-09T08:35:32Z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B1CD81383A4F412B990CA1B5260210F0</vt:lpwstr>
  </property>
  <property fmtid="{D5CDD505-2E9C-101B-9397-08002B2CF9AE}" pid="4" name="KSOSaveFontToCloudKey">
    <vt:lpwstr>585741432_btnclosed</vt:lpwstr>
  </property>
</Properties>
</file>