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770"/>
        </w:tabs>
        <w:kinsoku/>
        <w:wordWrap/>
        <w:overflowPunct/>
        <w:topLinePunct w:val="0"/>
        <w:autoSpaceDE w:val="0"/>
        <w:autoSpaceDN w:val="0"/>
        <w:bidi w:val="0"/>
        <w:adjustRightInd/>
        <w:snapToGrid/>
        <w:spacing w:line="420" w:lineRule="exact"/>
        <w:jc w:val="left"/>
        <w:textAlignment w:val="auto"/>
        <w:rPr>
          <w:rFonts w:hint="eastAsia" w:ascii="仿宋_GB2312" w:hAnsi="仿宋_GB2312" w:eastAsia="仿宋_GB2312" w:cs="仿宋_GB2312"/>
          <w:b w:val="0"/>
          <w:bCs w:val="0"/>
          <w:sz w:val="32"/>
          <w:szCs w:val="32"/>
          <w:lang w:eastAsia="zh-CN"/>
        </w:rPr>
      </w:pPr>
      <w:bookmarkStart w:id="0" w:name="_GoBack"/>
      <w:r>
        <w:rPr>
          <w:rFonts w:hint="eastAsia" w:ascii="仿宋_GB2312" w:hAnsi="仿宋_GB2312" w:eastAsia="仿宋_GB2312" w:cs="仿宋_GB2312"/>
          <w:b w:val="0"/>
          <w:bCs w:val="0"/>
          <w:sz w:val="32"/>
          <w:szCs w:val="32"/>
          <w:lang w:eastAsia="zh-CN"/>
        </w:rPr>
        <w:t>附件：</w:t>
      </w:r>
    </w:p>
    <w:bookmarkEnd w:id="0"/>
    <w:p>
      <w:pPr>
        <w:keepNext w:val="0"/>
        <w:keepLines w:val="0"/>
        <w:pageBreakBefore w:val="0"/>
        <w:widowControl w:val="0"/>
        <w:tabs>
          <w:tab w:val="left" w:pos="7770"/>
        </w:tabs>
        <w:kinsoku/>
        <w:wordWrap/>
        <w:overflowPunct/>
        <w:topLinePunct w:val="0"/>
        <w:autoSpaceDE w:val="0"/>
        <w:autoSpaceDN w:val="0"/>
        <w:bidi w:val="0"/>
        <w:adjustRightInd/>
        <w:snapToGrid/>
        <w:spacing w:line="42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rPr>
        <w:t>《彭阳县2019年电子商务进农村综合示范“升级版”项目</w:t>
      </w:r>
      <w:r>
        <w:rPr>
          <w:rFonts w:hint="eastAsia" w:ascii="方正小标宋简体" w:hAnsi="方正小标宋简体" w:eastAsia="方正小标宋简体" w:cs="方正小标宋简体"/>
          <w:b w:val="0"/>
          <w:bCs w:val="0"/>
          <w:sz w:val="36"/>
          <w:szCs w:val="36"/>
          <w:lang w:eastAsia="zh-CN"/>
        </w:rPr>
        <w:t>一</w:t>
      </w:r>
      <w:r>
        <w:rPr>
          <w:rFonts w:hint="eastAsia" w:ascii="方正小标宋简体" w:hAnsi="方正小标宋简体" w:eastAsia="方正小标宋简体" w:cs="方正小标宋简体"/>
          <w:b w:val="0"/>
          <w:bCs w:val="0"/>
          <w:sz w:val="36"/>
          <w:szCs w:val="36"/>
        </w:rPr>
        <w:t>标段─</w:t>
      </w:r>
      <w:r>
        <w:rPr>
          <w:rFonts w:hint="eastAsia" w:ascii="方正小标宋简体" w:hAnsi="方正小标宋简体" w:eastAsia="方正小标宋简体" w:cs="方正小标宋简体"/>
          <w:b w:val="0"/>
          <w:bCs w:val="0"/>
          <w:sz w:val="36"/>
          <w:szCs w:val="36"/>
          <w:lang w:eastAsia="zh-CN"/>
        </w:rPr>
        <w:t>县域电商综合服务</w:t>
      </w:r>
      <w:r>
        <w:rPr>
          <w:rFonts w:hint="eastAsia" w:ascii="方正小标宋简体" w:hAnsi="方正小标宋简体" w:eastAsia="方正小标宋简体" w:cs="方正小标宋简体"/>
          <w:b w:val="0"/>
          <w:bCs w:val="0"/>
          <w:sz w:val="36"/>
          <w:szCs w:val="36"/>
        </w:rPr>
        <w:t>项目》</w:t>
      </w:r>
      <w:r>
        <w:rPr>
          <w:rFonts w:hint="eastAsia" w:ascii="方正小标宋简体" w:hAnsi="方正小标宋简体" w:eastAsia="方正小标宋简体" w:cs="方正小标宋简体"/>
          <w:b w:val="0"/>
          <w:bCs w:val="0"/>
          <w:sz w:val="36"/>
          <w:szCs w:val="36"/>
          <w:lang w:val="en-US" w:eastAsia="zh-CN"/>
        </w:rPr>
        <w:t>阶段性验收进度及资金支付汇总表</w:t>
      </w:r>
    </w:p>
    <w:p>
      <w:pPr>
        <w:pStyle w:val="2"/>
        <w:keepNext w:val="0"/>
        <w:keepLines w:val="0"/>
        <w:pageBreakBefore w:val="0"/>
        <w:widowControl w:val="0"/>
        <w:kinsoku/>
        <w:wordWrap/>
        <w:overflowPunct/>
        <w:topLinePunct w:val="0"/>
        <w:autoSpaceDE w:val="0"/>
        <w:autoSpaceDN w:val="0"/>
        <w:bidi w:val="0"/>
        <w:adjustRightInd/>
        <w:snapToGrid/>
        <w:spacing w:after="0"/>
        <w:jc w:val="left"/>
        <w:textAlignment w:val="auto"/>
        <w:rPr>
          <w:rFonts w:hint="eastAsia" w:ascii="仿宋_GB2312" w:hAnsi="仿宋_GB2312" w:eastAsia="仿宋_GB2312" w:cs="仿宋_GB2312"/>
          <w:b w:val="0"/>
          <w:bCs w:val="0"/>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after="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lang w:val="en-US" w:eastAsia="zh-CN"/>
        </w:rPr>
        <w:t xml:space="preserve">承办单位：宁夏解忧电子商务有限公司彭阳分公司                                </w:t>
      </w:r>
    </w:p>
    <w:tbl>
      <w:tblPr>
        <w:tblStyle w:val="5"/>
        <w:tblpPr w:leftFromText="180" w:rightFromText="180" w:vertAnchor="text" w:horzAnchor="page" w:tblpX="554" w:tblpY="234"/>
        <w:tblOverlap w:val="never"/>
        <w:tblW w:w="16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830"/>
        <w:gridCol w:w="600"/>
        <w:gridCol w:w="727"/>
        <w:gridCol w:w="542"/>
        <w:gridCol w:w="3658"/>
        <w:gridCol w:w="726"/>
        <w:gridCol w:w="739"/>
        <w:gridCol w:w="911"/>
        <w:gridCol w:w="716"/>
        <w:gridCol w:w="669"/>
        <w:gridCol w:w="635"/>
        <w:gridCol w:w="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675" w:type="dxa"/>
            <w:vMerge w:val="restart"/>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宋体" w:cs="Times New Roman"/>
                <w:b/>
                <w:bCs w:val="0"/>
                <w:kern w:val="0"/>
                <w:sz w:val="15"/>
                <w:szCs w:val="15"/>
              </w:rPr>
            </w:pPr>
            <w:r>
              <w:rPr>
                <w:rFonts w:hint="eastAsia" w:ascii="Times New Roman" w:hAnsi="Times New Roman" w:eastAsia="宋体" w:cs="Times New Roman"/>
                <w:b/>
                <w:bCs w:val="0"/>
                <w:kern w:val="0"/>
                <w:sz w:val="15"/>
                <w:szCs w:val="15"/>
                <w:lang w:eastAsia="zh-CN"/>
              </w:rPr>
              <w:t>项目名称</w:t>
            </w:r>
          </w:p>
        </w:tc>
        <w:tc>
          <w:tcPr>
            <w:tcW w:w="5430" w:type="dxa"/>
            <w:gridSpan w:val="2"/>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eastAsia="宋体" w:cs="Times New Roman"/>
                <w:b/>
                <w:kern w:val="0"/>
                <w:sz w:val="15"/>
                <w:szCs w:val="15"/>
                <w:lang w:val="en-US" w:eastAsia="zh-CN" w:bidi="ar-SA"/>
              </w:rPr>
            </w:pPr>
            <w:r>
              <w:rPr>
                <w:rFonts w:hint="default" w:ascii="Times New Roman" w:hAnsi="Times New Roman" w:eastAsia="宋体" w:cs="Times New Roman"/>
                <w:b/>
                <w:bCs w:val="0"/>
                <w:kern w:val="0"/>
                <w:sz w:val="15"/>
                <w:szCs w:val="15"/>
                <w:lang w:eastAsia="zh-CN"/>
              </w:rPr>
              <w:t>招标</w:t>
            </w:r>
            <w:r>
              <w:rPr>
                <w:rFonts w:hint="default" w:ascii="Times New Roman" w:hAnsi="Times New Roman" w:eastAsia="宋体" w:cs="Times New Roman"/>
                <w:b/>
                <w:bCs w:val="0"/>
                <w:kern w:val="0"/>
                <w:sz w:val="15"/>
                <w:szCs w:val="15"/>
              </w:rPr>
              <w:t>服务内容及</w:t>
            </w:r>
            <w:r>
              <w:rPr>
                <w:rFonts w:hint="default" w:ascii="Times New Roman" w:hAnsi="Times New Roman" w:eastAsia="宋体" w:cs="Times New Roman"/>
                <w:b/>
                <w:bCs w:val="0"/>
                <w:kern w:val="0"/>
                <w:sz w:val="15"/>
                <w:szCs w:val="15"/>
                <w:lang w:eastAsia="zh-CN"/>
              </w:rPr>
              <w:t>中标价（元）</w:t>
            </w:r>
          </w:p>
        </w:tc>
        <w:tc>
          <w:tcPr>
            <w:tcW w:w="1269" w:type="dxa"/>
            <w:gridSpan w:val="2"/>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eastAsia="宋体" w:cs="Times New Roman"/>
                <w:b/>
                <w:bCs w:val="0"/>
                <w:kern w:val="0"/>
                <w:sz w:val="15"/>
                <w:szCs w:val="15"/>
                <w:lang w:eastAsia="zh-CN"/>
              </w:rPr>
            </w:pPr>
            <w:r>
              <w:rPr>
                <w:rFonts w:hint="eastAsia" w:ascii="Times New Roman" w:hAnsi="Times New Roman" w:eastAsia="宋体" w:cs="Times New Roman"/>
                <w:b/>
                <w:kern w:val="0"/>
                <w:sz w:val="15"/>
                <w:szCs w:val="15"/>
                <w:lang w:val="en-US" w:eastAsia="zh-CN"/>
              </w:rPr>
              <w:t>已验收支付金额</w:t>
            </w:r>
          </w:p>
        </w:tc>
        <w:tc>
          <w:tcPr>
            <w:tcW w:w="5123" w:type="dxa"/>
            <w:gridSpan w:val="3"/>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eastAsia="宋体" w:cs="Times New Roman"/>
                <w:b/>
                <w:bCs w:val="0"/>
                <w:kern w:val="0"/>
                <w:sz w:val="15"/>
                <w:szCs w:val="15"/>
                <w:lang w:val="en-US" w:eastAsia="zh-CN"/>
              </w:rPr>
            </w:pPr>
            <w:r>
              <w:rPr>
                <w:rFonts w:hint="default" w:ascii="Times New Roman" w:hAnsi="Times New Roman" w:eastAsia="宋体" w:cs="Times New Roman"/>
                <w:b/>
                <w:bCs w:val="0"/>
                <w:kern w:val="0"/>
                <w:sz w:val="15"/>
                <w:szCs w:val="15"/>
                <w:lang w:eastAsia="zh-CN"/>
              </w:rPr>
              <w:t>本次阶段性验收</w:t>
            </w:r>
            <w:r>
              <w:rPr>
                <w:rFonts w:hint="eastAsia" w:ascii="Times New Roman" w:hAnsi="Times New Roman" w:eastAsia="宋体" w:cs="Times New Roman"/>
                <w:b/>
                <w:bCs w:val="0"/>
                <w:kern w:val="0"/>
                <w:sz w:val="15"/>
                <w:szCs w:val="15"/>
                <w:lang w:eastAsia="zh-CN"/>
              </w:rPr>
              <w:t>通过</w:t>
            </w:r>
            <w:r>
              <w:rPr>
                <w:rFonts w:hint="default" w:ascii="Times New Roman" w:hAnsi="Times New Roman" w:eastAsia="宋体" w:cs="Times New Roman"/>
                <w:b/>
                <w:bCs w:val="0"/>
                <w:kern w:val="0"/>
                <w:sz w:val="15"/>
                <w:szCs w:val="15"/>
                <w:lang w:eastAsia="zh-CN"/>
              </w:rPr>
              <w:t>内容及</w:t>
            </w:r>
            <w:r>
              <w:rPr>
                <w:rFonts w:hint="eastAsia" w:ascii="Times New Roman" w:hAnsi="Times New Roman" w:eastAsia="宋体" w:cs="Times New Roman"/>
                <w:b/>
                <w:bCs w:val="0"/>
                <w:kern w:val="0"/>
                <w:sz w:val="15"/>
                <w:szCs w:val="15"/>
                <w:lang w:eastAsia="zh-CN"/>
              </w:rPr>
              <w:t>申请验收</w:t>
            </w:r>
            <w:r>
              <w:rPr>
                <w:rFonts w:hint="default" w:ascii="Times New Roman" w:hAnsi="Times New Roman" w:eastAsia="宋体" w:cs="Times New Roman"/>
                <w:b/>
                <w:bCs w:val="0"/>
                <w:kern w:val="0"/>
                <w:sz w:val="15"/>
                <w:szCs w:val="15"/>
                <w:lang w:eastAsia="zh-CN"/>
              </w:rPr>
              <w:t>金额（元）</w:t>
            </w:r>
          </w:p>
        </w:tc>
        <w:tc>
          <w:tcPr>
            <w:tcW w:w="2296" w:type="dxa"/>
            <w:gridSpan w:val="3"/>
            <w:vAlign w:val="center"/>
          </w:tcPr>
          <w:p>
            <w:pPr>
              <w:tabs>
                <w:tab w:val="left" w:pos="7770"/>
              </w:tabs>
              <w:spacing w:line="240" w:lineRule="auto"/>
              <w:jc w:val="center"/>
              <w:rPr>
                <w:rFonts w:hint="default" w:ascii="Times New Roman" w:hAnsi="Times New Roman" w:eastAsia="宋体" w:cs="Times New Roman"/>
                <w:b/>
                <w:bCs w:val="0"/>
                <w:kern w:val="0"/>
                <w:sz w:val="15"/>
                <w:szCs w:val="15"/>
                <w:lang w:val="en-US" w:eastAsia="zh-CN"/>
              </w:rPr>
            </w:pPr>
            <w:r>
              <w:rPr>
                <w:rFonts w:hint="default" w:ascii="Times New Roman" w:hAnsi="Times New Roman" w:eastAsia="宋体" w:cs="Times New Roman"/>
                <w:b/>
                <w:bCs w:val="0"/>
                <w:kern w:val="0"/>
                <w:sz w:val="15"/>
                <w:szCs w:val="15"/>
                <w:lang w:val="en-US" w:eastAsia="zh-CN"/>
              </w:rPr>
              <w:t>总验收进度</w:t>
            </w:r>
            <w:r>
              <w:rPr>
                <w:rFonts w:hint="default" w:ascii="Times New Roman" w:hAnsi="Times New Roman" w:eastAsia="宋体" w:cs="Times New Roman"/>
                <w:b/>
                <w:bCs w:val="0"/>
                <w:kern w:val="0"/>
                <w:sz w:val="15"/>
                <w:szCs w:val="15"/>
                <w:lang w:eastAsia="zh-CN"/>
              </w:rPr>
              <w:t>（元）</w:t>
            </w:r>
          </w:p>
        </w:tc>
        <w:tc>
          <w:tcPr>
            <w:tcW w:w="635" w:type="dxa"/>
            <w:vMerge w:val="restart"/>
            <w:vAlign w:val="center"/>
          </w:tcPr>
          <w:p>
            <w:pPr>
              <w:spacing w:line="240" w:lineRule="auto"/>
              <w:jc w:val="both"/>
              <w:rPr>
                <w:rFonts w:hint="default" w:ascii="Times New Roman" w:hAnsi="Times New Roman" w:eastAsia="宋体" w:cs="Times New Roman"/>
                <w:b/>
                <w:bCs w:val="0"/>
                <w:kern w:val="0"/>
                <w:sz w:val="15"/>
                <w:szCs w:val="15"/>
                <w:lang w:val="en-US" w:eastAsia="zh-CN"/>
              </w:rPr>
            </w:pPr>
            <w:r>
              <w:rPr>
                <w:rFonts w:hint="eastAsia" w:ascii="Times New Roman" w:hAnsi="Times New Roman" w:cs="Times New Roman"/>
                <w:b/>
                <w:bCs w:val="0"/>
                <w:kern w:val="0"/>
                <w:sz w:val="15"/>
                <w:szCs w:val="15"/>
                <w:lang w:val="en-US" w:eastAsia="zh-CN"/>
              </w:rPr>
              <w:t>本次支付金额</w:t>
            </w:r>
          </w:p>
        </w:tc>
        <w:tc>
          <w:tcPr>
            <w:tcW w:w="634" w:type="dxa"/>
            <w:vMerge w:val="restart"/>
            <w:vAlign w:val="center"/>
          </w:tcPr>
          <w:p>
            <w:pPr>
              <w:tabs>
                <w:tab w:val="left" w:pos="7770"/>
              </w:tabs>
              <w:spacing w:line="240" w:lineRule="auto"/>
              <w:jc w:val="both"/>
              <w:rPr>
                <w:rFonts w:hint="default" w:ascii="Times New Roman" w:hAnsi="Times New Roman" w:eastAsia="宋体" w:cs="Times New Roman"/>
                <w:b/>
                <w:bCs w:val="0"/>
                <w:kern w:val="0"/>
                <w:sz w:val="15"/>
                <w:szCs w:val="15"/>
                <w:lang w:val="en-US" w:eastAsia="zh-CN"/>
              </w:rPr>
            </w:pPr>
            <w:r>
              <w:rPr>
                <w:rFonts w:hint="default" w:ascii="Times New Roman" w:hAnsi="Times New Roman" w:eastAsia="宋体" w:cs="Times New Roman"/>
                <w:b/>
                <w:bCs w:val="0"/>
                <w:kern w:val="0"/>
                <w:sz w:val="15"/>
                <w:szCs w:val="15"/>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675" w:type="dxa"/>
            <w:vMerge w:val="continue"/>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宋体" w:cs="Times New Roman"/>
                <w:b/>
                <w:kern w:val="0"/>
                <w:sz w:val="15"/>
                <w:szCs w:val="15"/>
                <w:lang w:eastAsia="zh-CN"/>
              </w:rPr>
            </w:pPr>
          </w:p>
        </w:tc>
        <w:tc>
          <w:tcPr>
            <w:tcW w:w="4830" w:type="dxa"/>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Times New Roman" w:hAnsi="Times New Roman" w:eastAsia="宋体" w:cs="Times New Roman"/>
                <w:b/>
                <w:kern w:val="0"/>
                <w:sz w:val="15"/>
                <w:szCs w:val="15"/>
              </w:rPr>
            </w:pPr>
            <w:r>
              <w:rPr>
                <w:rFonts w:hint="default" w:ascii="Times New Roman" w:hAnsi="Times New Roman" w:eastAsia="宋体" w:cs="Times New Roman"/>
                <w:b/>
                <w:bCs w:val="0"/>
                <w:kern w:val="0"/>
                <w:sz w:val="15"/>
                <w:szCs w:val="15"/>
              </w:rPr>
              <w:t>服务内容</w:t>
            </w:r>
          </w:p>
        </w:tc>
        <w:tc>
          <w:tcPr>
            <w:tcW w:w="600" w:type="dxa"/>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Times New Roman" w:hAnsi="Times New Roman" w:eastAsia="宋体" w:cs="Times New Roman"/>
                <w:b/>
                <w:kern w:val="0"/>
                <w:sz w:val="15"/>
                <w:szCs w:val="15"/>
                <w:lang w:val="en-US" w:eastAsia="zh-CN" w:bidi="ar-SA"/>
              </w:rPr>
            </w:pPr>
            <w:r>
              <w:rPr>
                <w:rFonts w:hint="eastAsia" w:ascii="Times New Roman" w:hAnsi="Times New Roman" w:eastAsia="宋体" w:cs="Times New Roman"/>
                <w:b/>
                <w:bCs w:val="0"/>
                <w:kern w:val="0"/>
                <w:sz w:val="15"/>
                <w:szCs w:val="15"/>
                <w:lang w:eastAsia="zh-CN"/>
              </w:rPr>
              <w:t>中标</w:t>
            </w:r>
            <w:r>
              <w:rPr>
                <w:rFonts w:hint="default" w:ascii="Times New Roman" w:hAnsi="Times New Roman" w:eastAsia="宋体" w:cs="Times New Roman"/>
                <w:b/>
                <w:bCs w:val="0"/>
                <w:kern w:val="0"/>
                <w:sz w:val="15"/>
                <w:szCs w:val="15"/>
                <w:lang w:eastAsia="zh-CN"/>
              </w:rPr>
              <w:t>金额</w:t>
            </w:r>
          </w:p>
        </w:tc>
        <w:tc>
          <w:tcPr>
            <w:tcW w:w="727" w:type="dxa"/>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eastAsia="宋体" w:cs="Times New Roman"/>
                <w:b/>
                <w:kern w:val="0"/>
                <w:sz w:val="15"/>
                <w:szCs w:val="15"/>
                <w:lang w:eastAsia="zh-CN"/>
              </w:rPr>
            </w:pPr>
            <w:r>
              <w:rPr>
                <w:rFonts w:hint="eastAsia" w:ascii="Times New Roman" w:hAnsi="Times New Roman" w:eastAsia="宋体" w:cs="Times New Roman"/>
                <w:b/>
                <w:kern w:val="0"/>
                <w:sz w:val="15"/>
                <w:szCs w:val="15"/>
                <w:lang w:val="en-US" w:eastAsia="zh-CN"/>
              </w:rPr>
              <w:t>已验收金额</w:t>
            </w:r>
          </w:p>
        </w:tc>
        <w:tc>
          <w:tcPr>
            <w:tcW w:w="542" w:type="dxa"/>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eastAsia="宋体" w:cs="Times New Roman"/>
                <w:b/>
                <w:kern w:val="0"/>
                <w:sz w:val="15"/>
                <w:szCs w:val="15"/>
                <w:lang w:eastAsia="zh-CN"/>
              </w:rPr>
            </w:pPr>
            <w:r>
              <w:rPr>
                <w:rFonts w:hint="default" w:ascii="Times New Roman" w:hAnsi="Times New Roman" w:eastAsia="宋体" w:cs="Times New Roman"/>
                <w:b/>
                <w:kern w:val="0"/>
                <w:sz w:val="15"/>
                <w:szCs w:val="15"/>
                <w:lang w:eastAsia="zh-CN"/>
              </w:rPr>
              <w:t>已拨</w:t>
            </w:r>
            <w:r>
              <w:rPr>
                <w:rFonts w:hint="eastAsia" w:ascii="Times New Roman" w:hAnsi="Times New Roman" w:eastAsia="宋体" w:cs="Times New Roman"/>
                <w:b/>
                <w:kern w:val="0"/>
                <w:sz w:val="15"/>
                <w:szCs w:val="15"/>
                <w:lang w:eastAsia="zh-CN"/>
              </w:rPr>
              <w:t>资金</w:t>
            </w:r>
          </w:p>
        </w:tc>
        <w:tc>
          <w:tcPr>
            <w:tcW w:w="3658" w:type="dxa"/>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eastAsia="宋体" w:cs="Times New Roman"/>
                <w:b/>
                <w:kern w:val="0"/>
                <w:sz w:val="15"/>
                <w:szCs w:val="15"/>
                <w:lang w:eastAsia="zh-CN"/>
              </w:rPr>
            </w:pPr>
            <w:r>
              <w:rPr>
                <w:rFonts w:hint="default" w:ascii="Times New Roman" w:hAnsi="Times New Roman" w:eastAsia="宋体" w:cs="Times New Roman"/>
                <w:b/>
                <w:kern w:val="0"/>
                <w:sz w:val="15"/>
                <w:szCs w:val="15"/>
                <w:lang w:eastAsia="zh-CN"/>
              </w:rPr>
              <w:t>内容</w:t>
            </w:r>
          </w:p>
        </w:tc>
        <w:tc>
          <w:tcPr>
            <w:tcW w:w="726" w:type="dxa"/>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eastAsia="宋体" w:cs="Times New Roman"/>
                <w:b/>
                <w:kern w:val="0"/>
                <w:sz w:val="15"/>
                <w:szCs w:val="15"/>
                <w:lang w:eastAsia="zh-CN"/>
              </w:rPr>
            </w:pPr>
            <w:r>
              <w:rPr>
                <w:rFonts w:hint="eastAsia" w:ascii="Times New Roman" w:hAnsi="Times New Roman" w:eastAsia="宋体" w:cs="Times New Roman"/>
                <w:b/>
                <w:kern w:val="0"/>
                <w:sz w:val="15"/>
                <w:szCs w:val="15"/>
                <w:lang w:eastAsia="zh-CN"/>
              </w:rPr>
              <w:t>本次申请金额</w:t>
            </w:r>
          </w:p>
        </w:tc>
        <w:tc>
          <w:tcPr>
            <w:tcW w:w="739" w:type="dxa"/>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jc w:val="center"/>
              <w:textAlignment w:val="auto"/>
              <w:rPr>
                <w:rFonts w:hint="eastAsia" w:ascii="Times New Roman" w:hAnsi="Times New Roman" w:eastAsia="宋体" w:cs="Times New Roman"/>
                <w:b/>
                <w:kern w:val="0"/>
                <w:sz w:val="15"/>
                <w:szCs w:val="15"/>
                <w:lang w:val="en-US" w:eastAsia="zh-CN"/>
              </w:rPr>
            </w:pPr>
            <w:r>
              <w:rPr>
                <w:rFonts w:hint="default" w:ascii="Times New Roman" w:hAnsi="Times New Roman" w:eastAsia="宋体" w:cs="Times New Roman"/>
                <w:b/>
                <w:kern w:val="0"/>
                <w:sz w:val="15"/>
                <w:szCs w:val="15"/>
                <w:lang w:eastAsia="zh-CN"/>
              </w:rPr>
              <w:t>验收通过金额</w:t>
            </w:r>
          </w:p>
        </w:tc>
        <w:tc>
          <w:tcPr>
            <w:tcW w:w="911" w:type="dxa"/>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eastAsia="宋体" w:cs="Times New Roman"/>
                <w:b/>
                <w:kern w:val="0"/>
                <w:sz w:val="15"/>
                <w:szCs w:val="15"/>
                <w:lang w:eastAsia="zh-CN"/>
              </w:rPr>
            </w:pPr>
            <w:r>
              <w:rPr>
                <w:rFonts w:hint="default" w:ascii="Times New Roman" w:hAnsi="Times New Roman" w:eastAsia="宋体" w:cs="Times New Roman"/>
                <w:b/>
                <w:kern w:val="0"/>
                <w:sz w:val="15"/>
                <w:szCs w:val="15"/>
                <w:lang w:eastAsia="zh-CN"/>
              </w:rPr>
              <w:t>本次</w:t>
            </w:r>
            <w:r>
              <w:rPr>
                <w:rFonts w:hint="eastAsia" w:ascii="Times New Roman" w:hAnsi="Times New Roman" w:eastAsia="宋体" w:cs="Times New Roman"/>
                <w:b/>
                <w:kern w:val="0"/>
                <w:sz w:val="15"/>
                <w:szCs w:val="15"/>
                <w:lang w:eastAsia="zh-CN"/>
              </w:rPr>
              <w:t>验收后总金额</w:t>
            </w:r>
          </w:p>
        </w:tc>
        <w:tc>
          <w:tcPr>
            <w:tcW w:w="716" w:type="dxa"/>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eastAsia="宋体" w:cs="Times New Roman"/>
                <w:b/>
                <w:kern w:val="0"/>
                <w:sz w:val="15"/>
                <w:szCs w:val="15"/>
                <w:lang w:eastAsia="zh-CN"/>
              </w:rPr>
            </w:pPr>
            <w:r>
              <w:rPr>
                <w:rFonts w:hint="eastAsia" w:ascii="Times New Roman" w:hAnsi="Times New Roman" w:eastAsia="宋体" w:cs="Times New Roman"/>
                <w:b/>
                <w:kern w:val="0"/>
                <w:sz w:val="15"/>
                <w:szCs w:val="15"/>
                <w:lang w:eastAsia="zh-CN"/>
              </w:rPr>
              <w:t>完成总</w:t>
            </w:r>
            <w:r>
              <w:rPr>
                <w:rFonts w:hint="default" w:ascii="Times New Roman" w:hAnsi="Times New Roman" w:eastAsia="宋体" w:cs="Times New Roman"/>
                <w:b/>
                <w:kern w:val="0"/>
                <w:sz w:val="15"/>
                <w:szCs w:val="15"/>
                <w:lang w:eastAsia="zh-CN"/>
              </w:rPr>
              <w:t>进度</w:t>
            </w:r>
          </w:p>
        </w:tc>
        <w:tc>
          <w:tcPr>
            <w:tcW w:w="669" w:type="dxa"/>
            <w:vAlign w:val="center"/>
          </w:tcPr>
          <w:p>
            <w:pPr>
              <w:tabs>
                <w:tab w:val="left" w:pos="7770"/>
              </w:tabs>
              <w:spacing w:line="240" w:lineRule="auto"/>
              <w:jc w:val="center"/>
              <w:rPr>
                <w:rFonts w:hint="default" w:ascii="Times New Roman" w:hAnsi="Times New Roman" w:eastAsia="宋体" w:cs="Times New Roman"/>
                <w:b/>
                <w:kern w:val="0"/>
                <w:sz w:val="15"/>
                <w:szCs w:val="15"/>
                <w:lang w:eastAsia="zh-CN"/>
              </w:rPr>
            </w:pPr>
            <w:r>
              <w:rPr>
                <w:rFonts w:hint="eastAsia" w:ascii="Times New Roman" w:hAnsi="Times New Roman" w:eastAsia="宋体" w:cs="Times New Roman"/>
                <w:b/>
                <w:kern w:val="0"/>
                <w:sz w:val="15"/>
                <w:szCs w:val="15"/>
                <w:lang w:eastAsia="zh-CN"/>
              </w:rPr>
              <w:t>未验收金额</w:t>
            </w:r>
          </w:p>
        </w:tc>
        <w:tc>
          <w:tcPr>
            <w:tcW w:w="635" w:type="dxa"/>
            <w:vMerge w:val="continue"/>
            <w:vAlign w:val="center"/>
          </w:tcPr>
          <w:p>
            <w:pPr>
              <w:tabs>
                <w:tab w:val="left" w:pos="7770"/>
              </w:tabs>
              <w:spacing w:line="240" w:lineRule="auto"/>
              <w:jc w:val="both"/>
              <w:rPr>
                <w:rFonts w:hint="default" w:ascii="Times New Roman" w:hAnsi="Times New Roman" w:eastAsia="宋体" w:cs="Times New Roman"/>
                <w:b/>
                <w:kern w:val="0"/>
                <w:sz w:val="15"/>
                <w:szCs w:val="15"/>
                <w:lang w:eastAsia="zh-CN"/>
              </w:rPr>
            </w:pPr>
          </w:p>
        </w:tc>
        <w:tc>
          <w:tcPr>
            <w:tcW w:w="634" w:type="dxa"/>
            <w:vMerge w:val="continue"/>
            <w:vAlign w:val="center"/>
          </w:tcPr>
          <w:p>
            <w:pPr>
              <w:tabs>
                <w:tab w:val="left" w:pos="7770"/>
              </w:tabs>
              <w:spacing w:line="240" w:lineRule="auto"/>
              <w:jc w:val="both"/>
              <w:rPr>
                <w:rFonts w:hint="default" w:ascii="Times New Roman" w:hAnsi="Times New Roman" w:eastAsia="宋体" w:cs="Times New Roman"/>
                <w:b/>
                <w:kern w:val="0"/>
                <w:sz w:val="15"/>
                <w:szCs w:val="15"/>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9" w:hRule="atLeast"/>
        </w:trPr>
        <w:tc>
          <w:tcPr>
            <w:tcW w:w="675"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eastAsia="zh-CN"/>
              </w:rPr>
            </w:pPr>
            <w:r>
              <w:rPr>
                <w:rFonts w:hint="default" w:ascii="Times New Roman" w:hAnsi="Times New Roman" w:eastAsia="仿宋" w:cs="Times New Roman"/>
                <w:color w:val="auto"/>
                <w:kern w:val="0"/>
                <w:sz w:val="15"/>
                <w:szCs w:val="15"/>
                <w:lang w:val="en-US" w:eastAsia="zh-CN"/>
              </w:rPr>
              <w:t>冷链物流建设</w:t>
            </w:r>
          </w:p>
        </w:tc>
        <w:tc>
          <w:tcPr>
            <w:tcW w:w="483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bidi="zh-CN"/>
              </w:rPr>
            </w:pPr>
            <w:r>
              <w:rPr>
                <w:rFonts w:hint="default" w:ascii="Times New Roman" w:hAnsi="Times New Roman" w:eastAsia="仿宋" w:cs="Times New Roman"/>
                <w:color w:val="auto"/>
                <w:kern w:val="0"/>
                <w:sz w:val="15"/>
                <w:szCs w:val="15"/>
                <w:lang w:val="en-US" w:eastAsia="zh-CN"/>
              </w:rPr>
              <w:t>1.支持龙头企业、合作社、电商服务站等各类经营主体在蔬菜、瓜果、中药材、小杂粮、草畜产业等建设鲜活农产品冷链设施和田头市场，借助电商手段转型 升级，完善产、供、销全链条服务。根据地理位置、产业条件电商基础等因素依托电商服务站等地选址建设 20 ㎡保鲜冷 5座。2.对现有产业化龙头企业进行改造升级，集中资源培育1家现代冷链物流配送中心。新建预冷库500m³，对本地农特产品进行保鲜预冷。其中保鲜库440㎡，制冷库60㎡。</w:t>
            </w:r>
            <w:r>
              <w:rPr>
                <w:rFonts w:hint="default" w:ascii="Times New Roman" w:hAnsi="Times New Roman" w:eastAsia="仿宋" w:cs="Times New Roman"/>
                <w:color w:val="auto"/>
                <w:kern w:val="0"/>
                <w:sz w:val="15"/>
                <w:szCs w:val="15"/>
                <w:lang w:val="en-US" w:eastAsia="zh-CN" w:bidi="zh-CN"/>
              </w:rPr>
              <w:t>3.购置5吨冷藏车、10吨冷藏车各一台，保证农产品从产地新鲜直达县城和全国各地。 (本项目按裸车价50%对服务商予以补贴)</w:t>
            </w:r>
          </w:p>
        </w:tc>
        <w:tc>
          <w:tcPr>
            <w:tcW w:w="600"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989000.00</w:t>
            </w:r>
          </w:p>
        </w:tc>
        <w:tc>
          <w:tcPr>
            <w:tcW w:w="727"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val="0"/>
                <w:bCs w:val="0"/>
                <w:color w:val="000000"/>
                <w:kern w:val="0"/>
                <w:sz w:val="15"/>
                <w:szCs w:val="15"/>
                <w:lang w:val="en-US" w:eastAsia="zh-CN"/>
              </w:rPr>
            </w:pPr>
            <w:r>
              <w:rPr>
                <w:rFonts w:hint="default" w:ascii="Times New Roman" w:hAnsi="Times New Roman" w:eastAsia="仿宋" w:cs="Times New Roman"/>
                <w:b w:val="0"/>
                <w:bCs/>
                <w:color w:val="auto"/>
                <w:kern w:val="0"/>
                <w:sz w:val="15"/>
                <w:szCs w:val="15"/>
                <w:lang w:val="en-US" w:eastAsia="zh-CN"/>
              </w:rPr>
              <w:t>989000.00</w:t>
            </w:r>
          </w:p>
        </w:tc>
        <w:tc>
          <w:tcPr>
            <w:tcW w:w="542" w:type="dxa"/>
            <w:vMerge w:val="restart"/>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val="0"/>
                <w:bCs w:val="0"/>
                <w:color w:val="000000"/>
                <w:kern w:val="0"/>
                <w:sz w:val="15"/>
                <w:szCs w:val="15"/>
                <w:lang w:val="en-US" w:eastAsia="zh-CN"/>
              </w:rPr>
            </w:pPr>
            <w:r>
              <w:rPr>
                <w:rFonts w:hint="default" w:ascii="Times New Roman" w:hAnsi="Times New Roman" w:eastAsia="仿宋" w:cs="Times New Roman"/>
                <w:color w:val="auto"/>
                <w:kern w:val="0"/>
                <w:sz w:val="15"/>
                <w:szCs w:val="15"/>
                <w:lang w:val="en-US" w:eastAsia="zh-CN"/>
              </w:rPr>
              <w:t>截止2021年12月支付7468091.8元</w:t>
            </w:r>
          </w:p>
        </w:tc>
        <w:tc>
          <w:tcPr>
            <w:tcW w:w="3658"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无</w:t>
            </w:r>
          </w:p>
        </w:tc>
        <w:tc>
          <w:tcPr>
            <w:tcW w:w="72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Times New Roman" w:hAnsi="Times New Roman" w:eastAsia="仿宋" w:cs="Times New Roman"/>
                <w:sz w:val="15"/>
                <w:szCs w:val="15"/>
                <w:lang w:val="en-US" w:eastAsia="zh-CN"/>
              </w:rPr>
            </w:pPr>
            <w:r>
              <w:rPr>
                <w:rFonts w:hint="default" w:ascii="Times New Roman" w:hAnsi="Times New Roman" w:eastAsia="仿宋" w:cs="Times New Roman"/>
                <w:color w:val="auto"/>
                <w:sz w:val="15"/>
                <w:szCs w:val="15"/>
                <w:lang w:val="en-US" w:eastAsia="zh-CN"/>
              </w:rPr>
              <w:t>0.00</w:t>
            </w:r>
          </w:p>
        </w:tc>
        <w:tc>
          <w:tcPr>
            <w:tcW w:w="73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Times New Roman" w:hAnsi="Times New Roman" w:eastAsia="仿宋" w:cs="Times New Roman"/>
                <w:color w:val="000000"/>
                <w:kern w:val="0"/>
                <w:sz w:val="15"/>
                <w:szCs w:val="15"/>
                <w:lang w:val="en-US" w:eastAsia="zh-CN"/>
              </w:rPr>
            </w:pPr>
            <w:r>
              <w:rPr>
                <w:rFonts w:hint="default" w:ascii="Times New Roman" w:hAnsi="Times New Roman" w:eastAsia="仿宋" w:cs="Times New Roman"/>
                <w:color w:val="auto"/>
                <w:kern w:val="0"/>
                <w:sz w:val="15"/>
                <w:szCs w:val="15"/>
                <w:lang w:val="en-US" w:eastAsia="zh-CN"/>
              </w:rPr>
              <w:t>0.00</w:t>
            </w:r>
          </w:p>
        </w:tc>
        <w:tc>
          <w:tcPr>
            <w:tcW w:w="911"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Times New Roman" w:hAnsi="Times New Roman" w:cs="Times New Roman"/>
                <w:highlight w:val="none"/>
                <w:lang w:val="en-US" w:eastAsia="zh-CN"/>
              </w:rPr>
            </w:pPr>
            <w:r>
              <w:rPr>
                <w:rFonts w:hint="default" w:ascii="Times New Roman" w:hAnsi="Times New Roman" w:eastAsia="仿宋" w:cs="Times New Roman"/>
                <w:color w:val="auto"/>
                <w:sz w:val="15"/>
                <w:szCs w:val="15"/>
                <w:highlight w:val="none"/>
                <w:lang w:val="en-US" w:eastAsia="zh-CN"/>
              </w:rPr>
              <w:t>989000.00</w:t>
            </w:r>
          </w:p>
        </w:tc>
        <w:tc>
          <w:tcPr>
            <w:tcW w:w="71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100%</w:t>
            </w:r>
          </w:p>
        </w:tc>
        <w:tc>
          <w:tcPr>
            <w:tcW w:w="669" w:type="dxa"/>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ind w:left="0" w:leftChars="0" w:right="0" w:rightChars="0"/>
              <w:jc w:val="center"/>
              <w:textAlignment w:val="auto"/>
              <w:outlineLvl w:val="9"/>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0.00</w:t>
            </w:r>
          </w:p>
        </w:tc>
        <w:tc>
          <w:tcPr>
            <w:tcW w:w="635"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exact"/>
              <w:jc w:val="both"/>
              <w:textAlignment w:val="auto"/>
              <w:outlineLvl w:val="9"/>
              <w:rPr>
                <w:rFonts w:hint="default" w:ascii="Times New Roman" w:hAnsi="Times New Roman" w:eastAsia="仿宋" w:cs="Times New Roman"/>
                <w:color w:val="000000"/>
                <w:kern w:val="0"/>
                <w:sz w:val="15"/>
                <w:szCs w:val="15"/>
                <w:lang w:val="en-US" w:eastAsia="zh-CN"/>
              </w:rPr>
            </w:pPr>
            <w:r>
              <w:rPr>
                <w:rFonts w:hint="default" w:ascii="Times New Roman" w:hAnsi="Times New Roman" w:eastAsia="仿宋" w:cs="Times New Roman"/>
                <w:color w:val="000000"/>
                <w:kern w:val="0"/>
                <w:sz w:val="15"/>
                <w:szCs w:val="15"/>
                <w:lang w:val="en-US" w:eastAsia="zh-CN"/>
              </w:rPr>
              <w:t>1354428.20元（该项目质保金98.028万元，扣除质保金本次可支付进度款1354428.20元）</w:t>
            </w:r>
          </w:p>
        </w:tc>
        <w:tc>
          <w:tcPr>
            <w:tcW w:w="634" w:type="dxa"/>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jc w:val="both"/>
              <w:textAlignment w:val="auto"/>
              <w:outlineLvl w:val="9"/>
              <w:rPr>
                <w:rFonts w:hint="default" w:ascii="Times New Roman" w:hAnsi="Times New Roman" w:eastAsia="仿宋" w:cs="Times New Roman"/>
                <w:color w:val="000000"/>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0" w:hRule="atLeast"/>
        </w:trPr>
        <w:tc>
          <w:tcPr>
            <w:tcW w:w="675"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b w:val="0"/>
                <w:bCs w:val="0"/>
                <w:color w:val="auto"/>
                <w:kern w:val="0"/>
                <w:sz w:val="15"/>
                <w:szCs w:val="15"/>
                <w:lang w:val="en-US" w:eastAsia="zh-CN"/>
              </w:rPr>
              <w:t>县域网货共享车间建设</w:t>
            </w:r>
          </w:p>
        </w:tc>
        <w:tc>
          <w:tcPr>
            <w:tcW w:w="483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bCs/>
                <w:color w:val="auto"/>
                <w:kern w:val="0"/>
                <w:sz w:val="15"/>
                <w:szCs w:val="15"/>
                <w:lang w:val="en-US" w:eastAsia="zh-CN"/>
              </w:rPr>
            </w:pPr>
            <w:r>
              <w:rPr>
                <w:rFonts w:hint="default" w:ascii="Times New Roman" w:hAnsi="Times New Roman" w:eastAsia="仿宋" w:cs="Times New Roman"/>
                <w:b w:val="0"/>
                <w:bCs w:val="0"/>
                <w:color w:val="auto"/>
                <w:kern w:val="0"/>
                <w:sz w:val="15"/>
                <w:szCs w:val="15"/>
                <w:lang w:val="en-US" w:eastAsia="zh-CN"/>
              </w:rPr>
              <w:t>1.共享车间：在县域内选取合适的场地（不少于 800 ㎡），建设彭阳县农产品网货共享中心（含农副产品、乡村旅游等特色产品及服务等）分级、包装、预冷等初加工和商品化预处理集散中心，分设网货研发中心、检测中心、分拣中心、预冷中心、包装中心等，配备冷库、流水线、分拣打包设备等。2.共享加工车间：室内、外提升改造、给排水系统、电路系统、通风系统、环保系统、室外大字、蔬菜分级分拣线1套、水果分级分拣线1条、菌类分级分拣线1条、打包机9台、封口机9台、真空包装机3台、电子秤9台、打码机3台。消毒更衣间装置1套、货架30组。冷库60 ㎡。县域农产品认证认可提升3项。3.网货设计中心：办公电脑3台、美工专用电脑2台、笔记本电脑1台、彩色墨仓式激光打印机1台、黑白激光一体机3台、办公桌椅6套、会议桌椅1套、摄影室1间、单反照相机1台、投影仪幕布1套、货架6组、立式冷柜2组、千兆路由器1台、千兆交换机1台、无线AP2台、网络综合布线点6个、机柜3台。</w:t>
            </w:r>
          </w:p>
        </w:tc>
        <w:tc>
          <w:tcPr>
            <w:tcW w:w="600"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2990000.00</w:t>
            </w:r>
          </w:p>
        </w:tc>
        <w:tc>
          <w:tcPr>
            <w:tcW w:w="727"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2990000.00</w:t>
            </w:r>
          </w:p>
        </w:tc>
        <w:tc>
          <w:tcPr>
            <w:tcW w:w="542"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p>
        </w:tc>
        <w:tc>
          <w:tcPr>
            <w:tcW w:w="365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无</w:t>
            </w:r>
          </w:p>
        </w:tc>
        <w:tc>
          <w:tcPr>
            <w:tcW w:w="72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Times New Roman" w:hAnsi="Times New Roman" w:eastAsia="仿宋" w:cs="Times New Roman"/>
                <w:sz w:val="15"/>
                <w:szCs w:val="15"/>
                <w:lang w:val="en-US" w:eastAsia="zh-CN"/>
              </w:rPr>
            </w:pPr>
            <w:r>
              <w:rPr>
                <w:rFonts w:hint="default" w:ascii="Times New Roman" w:hAnsi="Times New Roman" w:eastAsia="仿宋" w:cs="Times New Roman"/>
                <w:color w:val="auto"/>
                <w:sz w:val="15"/>
                <w:szCs w:val="15"/>
                <w:lang w:val="en-US" w:eastAsia="zh-CN"/>
              </w:rPr>
              <w:t>0.00</w:t>
            </w:r>
          </w:p>
        </w:tc>
        <w:tc>
          <w:tcPr>
            <w:tcW w:w="73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Times New Roman" w:hAnsi="Times New Roman" w:eastAsia="仿宋" w:cs="Times New Roman"/>
                <w:color w:val="000000"/>
                <w:kern w:val="0"/>
                <w:sz w:val="15"/>
                <w:szCs w:val="15"/>
                <w:lang w:val="en-US" w:eastAsia="zh-CN"/>
              </w:rPr>
            </w:pPr>
            <w:r>
              <w:rPr>
                <w:rFonts w:hint="default" w:ascii="Times New Roman" w:hAnsi="Times New Roman" w:eastAsia="仿宋" w:cs="Times New Roman"/>
                <w:color w:val="auto"/>
                <w:sz w:val="15"/>
                <w:szCs w:val="15"/>
                <w:lang w:val="en-US" w:eastAsia="zh-CN"/>
              </w:rPr>
              <w:t>0.00</w:t>
            </w:r>
          </w:p>
        </w:tc>
        <w:tc>
          <w:tcPr>
            <w:tcW w:w="911"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Times New Roman" w:hAnsi="Times New Roman" w:eastAsia="仿宋" w:cs="Times New Roman"/>
                <w:b w:val="0"/>
                <w:bCs w:val="0"/>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2990000.00</w:t>
            </w:r>
          </w:p>
        </w:tc>
        <w:tc>
          <w:tcPr>
            <w:tcW w:w="71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100%</w:t>
            </w:r>
          </w:p>
        </w:tc>
        <w:tc>
          <w:tcPr>
            <w:tcW w:w="66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0.00</w:t>
            </w:r>
          </w:p>
        </w:tc>
        <w:tc>
          <w:tcPr>
            <w:tcW w:w="635" w:type="dxa"/>
            <w:vMerge w:val="continue"/>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c>
          <w:tcPr>
            <w:tcW w:w="634"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75"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b w:val="0"/>
                <w:bCs w:val="0"/>
                <w:color w:val="auto"/>
                <w:kern w:val="0"/>
                <w:sz w:val="15"/>
                <w:szCs w:val="15"/>
                <w:lang w:val="en-US" w:eastAsia="zh-CN"/>
              </w:rPr>
              <w:t>打造彭阳农产品线上线下电商节</w:t>
            </w:r>
          </w:p>
        </w:tc>
        <w:tc>
          <w:tcPr>
            <w:tcW w:w="483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val="0"/>
                <w:bCs w:val="0"/>
                <w:color w:val="auto"/>
                <w:kern w:val="0"/>
                <w:sz w:val="15"/>
                <w:szCs w:val="15"/>
                <w:lang w:val="en-US" w:eastAsia="zh-CN"/>
              </w:rPr>
            </w:pPr>
            <w:r>
              <w:rPr>
                <w:rFonts w:hint="default" w:ascii="Times New Roman" w:hAnsi="Times New Roman" w:eastAsia="仿宋" w:cs="Times New Roman"/>
                <w:color w:val="auto"/>
                <w:kern w:val="0"/>
                <w:sz w:val="15"/>
                <w:szCs w:val="15"/>
                <w:lang w:val="en-US" w:eastAsia="zh-CN"/>
              </w:rPr>
              <w:t>以“红梅杏、生态鸡、黄芪”等特色农产品为基础，通过开展宣传推广、提前预热、开园活动、基地采摘、网红直播、销售竞赛、组团展销等一系列活动，打造本地农产品电商节，拓宽农产品销售渠道，提高市场知名度。活动次数：每年1次； 活动场地：在本地选择合适的活动场地，室内面积不少于100 ㎡，室外面积不少于300㎡，产品展台不少于10组； 参与主体：不少于20家。 网红主播：粉丝100万以上的网红，或者粉丝50万以上的美食、旅游类网红。 活动组织：包含活动策划、场地布置、产品展示、网红直播、视频剪辑、媒体宣传等流程。</w:t>
            </w:r>
          </w:p>
        </w:tc>
        <w:tc>
          <w:tcPr>
            <w:tcW w:w="600"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val="0"/>
                <w:bCs w:val="0"/>
                <w:kern w:val="0"/>
                <w:sz w:val="15"/>
                <w:szCs w:val="15"/>
                <w:lang w:val="en-US" w:eastAsia="zh-CN"/>
              </w:rPr>
            </w:pPr>
            <w:r>
              <w:rPr>
                <w:rFonts w:hint="default" w:ascii="Times New Roman" w:hAnsi="Times New Roman" w:eastAsia="仿宋" w:cs="Times New Roman"/>
                <w:b w:val="0"/>
                <w:bCs w:val="0"/>
                <w:color w:val="auto"/>
                <w:kern w:val="0"/>
                <w:sz w:val="15"/>
                <w:szCs w:val="15"/>
                <w:lang w:val="en-US" w:eastAsia="zh-CN"/>
              </w:rPr>
              <w:t>374600.00</w:t>
            </w:r>
          </w:p>
        </w:tc>
        <w:tc>
          <w:tcPr>
            <w:tcW w:w="727"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sz w:val="15"/>
                <w:szCs w:val="15"/>
                <w:lang w:val="en-US" w:eastAsia="zh-CN"/>
              </w:rPr>
              <w:t>217300.00</w:t>
            </w:r>
          </w:p>
        </w:tc>
        <w:tc>
          <w:tcPr>
            <w:tcW w:w="542"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p>
        </w:tc>
        <w:tc>
          <w:tcPr>
            <w:tcW w:w="365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1.在2021年12月11日--2021年12月12日举办了“聚惠双12”彭阳农特产品线上好物节，组织彭阳县14家电商企业参与活动，活动期间各企业在各电商平台售卖彭阳农特产品当天总成交金额达355841.4元。为销售额高的7家企业兑现奖金累计16007元。2.1月10日-2月23日，开展2022年彭阳县网上年货节暨“彭阳韵味·喜乐新年”活动，搭建直播平台，组织本地电商达人进行直播，活动期间共组织企业32家，实际参与26家，年货节期间共实现销售额1111.82万元，其中线上销售576.42万元，同城线上下单28369单。3.2022年3月28日举办彭阳县“梯田花海·醉美彭阳”短视频创意大赛，截止4月10在快手、抖音、视频号3个平台共发布作品343条，累计点赞118925次，筛选优秀作品6个颁发荣誉证书及奖金。</w:t>
            </w:r>
          </w:p>
        </w:tc>
        <w:tc>
          <w:tcPr>
            <w:tcW w:w="726"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sz w:val="15"/>
                <w:szCs w:val="15"/>
                <w:lang w:val="en-US" w:eastAsia="zh-CN"/>
              </w:rPr>
            </w:pPr>
            <w:r>
              <w:rPr>
                <w:rFonts w:hint="default" w:ascii="Times New Roman" w:hAnsi="Times New Roman" w:eastAsia="仿宋" w:cs="Times New Roman"/>
                <w:color w:val="auto"/>
                <w:kern w:val="0"/>
                <w:sz w:val="15"/>
                <w:szCs w:val="15"/>
                <w:lang w:val="en-US" w:eastAsia="zh-CN"/>
              </w:rPr>
              <w:t>157300.00</w:t>
            </w:r>
          </w:p>
        </w:tc>
        <w:tc>
          <w:tcPr>
            <w:tcW w:w="73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lang w:val="en-US" w:eastAsia="zh-CN"/>
              </w:rPr>
            </w:pPr>
            <w:r>
              <w:rPr>
                <w:rFonts w:hint="default" w:ascii="Times New Roman" w:hAnsi="Times New Roman" w:eastAsia="仿宋" w:cs="Times New Roman"/>
                <w:color w:val="auto"/>
                <w:kern w:val="0"/>
                <w:sz w:val="15"/>
                <w:szCs w:val="15"/>
                <w:lang w:val="en-US" w:eastAsia="zh-CN"/>
              </w:rPr>
              <w:t>157300.00</w:t>
            </w:r>
          </w:p>
        </w:tc>
        <w:tc>
          <w:tcPr>
            <w:tcW w:w="911"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b w:val="0"/>
                <w:bCs w:val="0"/>
                <w:color w:val="auto"/>
                <w:kern w:val="0"/>
                <w:sz w:val="15"/>
                <w:szCs w:val="15"/>
                <w:lang w:val="en-US" w:eastAsia="zh-CN"/>
              </w:rPr>
              <w:t>374600.00</w:t>
            </w:r>
          </w:p>
        </w:tc>
        <w:tc>
          <w:tcPr>
            <w:tcW w:w="71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100%</w:t>
            </w:r>
          </w:p>
        </w:tc>
        <w:tc>
          <w:tcPr>
            <w:tcW w:w="66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0.00</w:t>
            </w:r>
          </w:p>
        </w:tc>
        <w:tc>
          <w:tcPr>
            <w:tcW w:w="635" w:type="dxa"/>
            <w:vMerge w:val="continue"/>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c>
          <w:tcPr>
            <w:tcW w:w="634"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8" w:hRule="atLeast"/>
        </w:trPr>
        <w:tc>
          <w:tcPr>
            <w:tcW w:w="675"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b w:val="0"/>
                <w:bCs w:val="0"/>
                <w:color w:val="auto"/>
                <w:kern w:val="0"/>
                <w:sz w:val="15"/>
                <w:szCs w:val="15"/>
                <w:lang w:val="en-US" w:eastAsia="zh-CN"/>
              </w:rPr>
              <w:t>培育县域农村电商生态体系</w:t>
            </w:r>
          </w:p>
        </w:tc>
        <w:tc>
          <w:tcPr>
            <w:tcW w:w="483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bCs/>
                <w:color w:val="auto"/>
                <w:kern w:val="0"/>
                <w:sz w:val="15"/>
                <w:szCs w:val="15"/>
                <w:lang w:val="en-US" w:eastAsia="zh-CN"/>
              </w:rPr>
            </w:pPr>
            <w:r>
              <w:rPr>
                <w:rFonts w:hint="default" w:ascii="Times New Roman" w:hAnsi="Times New Roman" w:eastAsia="仿宋" w:cs="Times New Roman"/>
                <w:b w:val="0"/>
                <w:bCs w:val="0"/>
                <w:color w:val="auto"/>
                <w:kern w:val="0"/>
                <w:sz w:val="15"/>
                <w:szCs w:val="15"/>
                <w:lang w:val="en-US" w:eastAsia="zh-CN"/>
              </w:rPr>
              <w:t>支持当地骨干农产品生产企业、产业化龙头企业、农民合作社等，围绕彭阳红梅杏、生态鸡、小杂粮、冷凉蔬菜、中药材、胡麻油、果脯、黄酒、食用菌等彭阳特色产品，以品牌打造、包装设计、网络营销为主题，开展各类电商创新创业大赛；发现、培育、壮大10家明星电商企业和3个名优电商产品。积极引导大型企业参与我县农村电子商务，取长补短，合作共赢，完善全县农村电商生态体系。支持小微电商企业开展社群营销，大力推动农产品进城市、进社区。</w:t>
            </w:r>
          </w:p>
        </w:tc>
        <w:tc>
          <w:tcPr>
            <w:tcW w:w="600"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595000.00</w:t>
            </w:r>
          </w:p>
        </w:tc>
        <w:tc>
          <w:tcPr>
            <w:tcW w:w="727"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500000.00</w:t>
            </w:r>
          </w:p>
        </w:tc>
        <w:tc>
          <w:tcPr>
            <w:tcW w:w="542"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p>
        </w:tc>
        <w:tc>
          <w:tcPr>
            <w:tcW w:w="365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highlight w:val="none"/>
                <w:lang w:val="en-US" w:eastAsia="zh-CN"/>
              </w:rPr>
              <w:t>1.为宁夏东昂农业科技有限公司东昂苹果、彭阳县力杰生态养殖有限公司乔家猪肉系列产品申报中国名牌产品战略优质委员会和中国品牌调查中心的中国名优产品认证。认证费用共计36000元。2.为彭阳县益斌园农畜综合开发有限公司和彭阳县孟塬小石沟农业发展有限公司申请诚信供应商企业证书，认证费用共计60000元。3.2月11日开始，开展首届云耕彭阳创新创业暨彭阳公共品牌网货包装设计大赛，围绕彭阳红梅杏、生态鸡、小杂粮等特色产品设计包装标签，面向全国范围内征集作品，截止3月20日，累计收到全国各地设计师34人报名，提交作品39份，比赛结束后按照方案要求邀请筑梦导师团成员参与评选，共选出优秀作品8人，颁发荣誉证书及奖金。</w:t>
            </w:r>
          </w:p>
        </w:tc>
        <w:tc>
          <w:tcPr>
            <w:tcW w:w="72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sz w:val="15"/>
                <w:szCs w:val="15"/>
                <w:lang w:val="en-US" w:eastAsia="zh-CN"/>
              </w:rPr>
            </w:pPr>
            <w:r>
              <w:rPr>
                <w:rFonts w:hint="default" w:ascii="Times New Roman" w:hAnsi="Times New Roman" w:eastAsia="仿宋" w:cs="Times New Roman"/>
                <w:color w:val="auto"/>
                <w:sz w:val="15"/>
                <w:szCs w:val="15"/>
                <w:lang w:val="en-US" w:eastAsia="zh-CN"/>
              </w:rPr>
              <w:t>95000.00</w:t>
            </w:r>
          </w:p>
        </w:tc>
        <w:tc>
          <w:tcPr>
            <w:tcW w:w="73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lang w:val="en-US" w:eastAsia="zh-CN"/>
              </w:rPr>
            </w:pPr>
            <w:r>
              <w:rPr>
                <w:rFonts w:hint="default" w:ascii="Times New Roman" w:hAnsi="Times New Roman" w:eastAsia="仿宋" w:cs="Times New Roman"/>
                <w:color w:val="auto"/>
                <w:sz w:val="15"/>
                <w:szCs w:val="15"/>
                <w:lang w:val="en-US" w:eastAsia="zh-CN"/>
              </w:rPr>
              <w:t>95000.00</w:t>
            </w:r>
          </w:p>
        </w:tc>
        <w:tc>
          <w:tcPr>
            <w:tcW w:w="911"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lang w:val="en-US" w:eastAsia="zh-CN"/>
              </w:rPr>
              <w:t>595000.00</w:t>
            </w:r>
          </w:p>
        </w:tc>
        <w:tc>
          <w:tcPr>
            <w:tcW w:w="71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100%</w:t>
            </w:r>
          </w:p>
        </w:tc>
        <w:tc>
          <w:tcPr>
            <w:tcW w:w="66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0.00</w:t>
            </w:r>
          </w:p>
        </w:tc>
        <w:tc>
          <w:tcPr>
            <w:tcW w:w="635" w:type="dxa"/>
            <w:vMerge w:val="continue"/>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c>
          <w:tcPr>
            <w:tcW w:w="634"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trPr>
        <w:tc>
          <w:tcPr>
            <w:tcW w:w="675"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bCs/>
                <w:kern w:val="0"/>
                <w:sz w:val="15"/>
                <w:szCs w:val="15"/>
                <w:lang w:val="en-US" w:eastAsia="zh-CN"/>
              </w:rPr>
            </w:pPr>
            <w:r>
              <w:rPr>
                <w:rFonts w:hint="default" w:ascii="Times New Roman" w:hAnsi="Times New Roman" w:eastAsia="仿宋" w:cs="Times New Roman"/>
                <w:b w:val="0"/>
                <w:bCs w:val="0"/>
                <w:color w:val="auto"/>
                <w:kern w:val="0"/>
                <w:sz w:val="15"/>
                <w:szCs w:val="15"/>
                <w:lang w:val="en-US" w:eastAsia="zh-CN"/>
              </w:rPr>
              <w:t>打造县域公共品牌集群</w:t>
            </w:r>
          </w:p>
        </w:tc>
        <w:tc>
          <w:tcPr>
            <w:tcW w:w="483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val="0"/>
                <w:bCs w:val="0"/>
                <w:color w:val="auto"/>
                <w:kern w:val="0"/>
                <w:sz w:val="15"/>
                <w:szCs w:val="15"/>
                <w:lang w:val="en-US" w:eastAsia="zh-CN"/>
              </w:rPr>
            </w:pPr>
            <w:r>
              <w:rPr>
                <w:rFonts w:hint="default" w:ascii="Times New Roman" w:hAnsi="Times New Roman" w:eastAsia="仿宋" w:cs="Times New Roman"/>
                <w:b w:val="0"/>
                <w:bCs w:val="0"/>
                <w:color w:val="auto"/>
                <w:kern w:val="0"/>
                <w:sz w:val="15"/>
                <w:szCs w:val="15"/>
                <w:lang w:val="en-US" w:eastAsia="zh-CN"/>
              </w:rPr>
              <w:t>对全县开展的农产品电商促销活动可授权使用“云耕彭阳”公共品牌，并按照1/3（电商服务站1/2）的比例配套包装盒。</w:t>
            </w:r>
          </w:p>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bCs/>
                <w:color w:val="auto"/>
                <w:kern w:val="0"/>
                <w:sz w:val="15"/>
                <w:szCs w:val="15"/>
                <w:lang w:val="en-US" w:eastAsia="zh-CN"/>
              </w:rPr>
            </w:pPr>
            <w:r>
              <w:rPr>
                <w:rFonts w:hint="default" w:ascii="Times New Roman" w:hAnsi="Times New Roman" w:eastAsia="仿宋" w:cs="Times New Roman"/>
                <w:b w:val="0"/>
                <w:bCs w:val="0"/>
                <w:color w:val="auto"/>
                <w:kern w:val="0"/>
                <w:sz w:val="15"/>
                <w:szCs w:val="15"/>
                <w:lang w:val="en-US" w:eastAsia="zh-CN"/>
              </w:rPr>
              <w:t>外包装数量：不少于8个单品，每个单品不少于3000个；内包装标签：不少于16个单品，每个单品不少于3000个。</w:t>
            </w:r>
          </w:p>
        </w:tc>
        <w:tc>
          <w:tcPr>
            <w:tcW w:w="600"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282000.00</w:t>
            </w:r>
          </w:p>
        </w:tc>
        <w:tc>
          <w:tcPr>
            <w:tcW w:w="727"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282000.00</w:t>
            </w:r>
          </w:p>
        </w:tc>
        <w:tc>
          <w:tcPr>
            <w:tcW w:w="542"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p>
        </w:tc>
        <w:tc>
          <w:tcPr>
            <w:tcW w:w="365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无</w:t>
            </w:r>
          </w:p>
        </w:tc>
        <w:tc>
          <w:tcPr>
            <w:tcW w:w="72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sz w:val="15"/>
                <w:szCs w:val="15"/>
                <w:lang w:val="en-US" w:eastAsia="zh-CN"/>
              </w:rPr>
            </w:pPr>
          </w:p>
        </w:tc>
        <w:tc>
          <w:tcPr>
            <w:tcW w:w="73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lang w:val="en-US" w:eastAsia="zh-CN"/>
              </w:rPr>
            </w:pPr>
          </w:p>
        </w:tc>
        <w:tc>
          <w:tcPr>
            <w:tcW w:w="911"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p>
        </w:tc>
        <w:tc>
          <w:tcPr>
            <w:tcW w:w="71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100%</w:t>
            </w:r>
          </w:p>
        </w:tc>
        <w:tc>
          <w:tcPr>
            <w:tcW w:w="66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0.00</w:t>
            </w:r>
          </w:p>
        </w:tc>
        <w:tc>
          <w:tcPr>
            <w:tcW w:w="635" w:type="dxa"/>
            <w:vMerge w:val="continue"/>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c>
          <w:tcPr>
            <w:tcW w:w="634"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75"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bCs/>
                <w:kern w:val="0"/>
                <w:sz w:val="15"/>
                <w:szCs w:val="15"/>
                <w:lang w:val="en-US" w:eastAsia="zh-CN"/>
              </w:rPr>
            </w:pPr>
            <w:r>
              <w:rPr>
                <w:rFonts w:hint="default" w:ascii="Times New Roman" w:hAnsi="Times New Roman" w:eastAsia="仿宋" w:cs="Times New Roman"/>
                <w:b w:val="0"/>
                <w:bCs w:val="0"/>
                <w:color w:val="auto"/>
                <w:kern w:val="0"/>
                <w:sz w:val="15"/>
                <w:szCs w:val="15"/>
                <w:lang w:val="en-US" w:eastAsia="zh-CN"/>
              </w:rPr>
              <w:t>积极打造特色产品</w:t>
            </w:r>
          </w:p>
        </w:tc>
        <w:tc>
          <w:tcPr>
            <w:tcW w:w="483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val="0"/>
                <w:bCs w:val="0"/>
                <w:color w:val="auto"/>
                <w:kern w:val="0"/>
                <w:sz w:val="15"/>
                <w:szCs w:val="15"/>
                <w:lang w:val="en-US" w:eastAsia="zh-CN"/>
              </w:rPr>
            </w:pPr>
            <w:r>
              <w:rPr>
                <w:rFonts w:hint="default" w:ascii="Times New Roman" w:hAnsi="Times New Roman" w:eastAsia="仿宋" w:cs="Times New Roman"/>
                <w:b w:val="0"/>
                <w:bCs w:val="0"/>
                <w:color w:val="auto"/>
                <w:kern w:val="0"/>
                <w:sz w:val="15"/>
                <w:szCs w:val="15"/>
                <w:lang w:val="en-US" w:eastAsia="zh-CN"/>
              </w:rPr>
              <w:t>加大县域公共品牌宣传推广力度，支持企业开展农产品地理标识和质量体系认证，打造“云耕彭阳”县域公共品牌，培育一批市场认可度高的企业品牌和农产品品牌。积极打造1-2款在全国有影响力的特色产品。</w:t>
            </w:r>
          </w:p>
        </w:tc>
        <w:tc>
          <w:tcPr>
            <w:tcW w:w="600"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149800.00</w:t>
            </w:r>
          </w:p>
        </w:tc>
        <w:tc>
          <w:tcPr>
            <w:tcW w:w="727"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120000.00</w:t>
            </w:r>
          </w:p>
        </w:tc>
        <w:tc>
          <w:tcPr>
            <w:tcW w:w="542"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p>
        </w:tc>
        <w:tc>
          <w:tcPr>
            <w:tcW w:w="365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1.为宁夏东昂农业科技有限公司东昂苹果、彭阳县力杰生态养殖有限公司乔家猪申报中国名牌产品战略优质委员会和中国品牌调查中心的知名网货品牌认证。认证费32000元。</w:t>
            </w:r>
          </w:p>
        </w:tc>
        <w:tc>
          <w:tcPr>
            <w:tcW w:w="72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sz w:val="15"/>
                <w:szCs w:val="15"/>
                <w:lang w:val="en-US" w:eastAsia="zh-CN"/>
              </w:rPr>
            </w:pPr>
            <w:r>
              <w:rPr>
                <w:rFonts w:hint="default" w:ascii="Times New Roman" w:hAnsi="Times New Roman" w:eastAsia="仿宋" w:cs="Times New Roman"/>
                <w:color w:val="auto"/>
                <w:sz w:val="15"/>
                <w:szCs w:val="15"/>
                <w:lang w:val="en-US" w:eastAsia="zh-CN"/>
              </w:rPr>
              <w:t>29800.00</w:t>
            </w:r>
          </w:p>
        </w:tc>
        <w:tc>
          <w:tcPr>
            <w:tcW w:w="73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lang w:val="en-US" w:eastAsia="zh-CN"/>
              </w:rPr>
            </w:pPr>
            <w:r>
              <w:rPr>
                <w:rFonts w:hint="default" w:ascii="Times New Roman" w:hAnsi="Times New Roman" w:eastAsia="仿宋" w:cs="Times New Roman"/>
                <w:color w:val="auto"/>
                <w:sz w:val="15"/>
                <w:szCs w:val="15"/>
                <w:lang w:val="en-US" w:eastAsia="zh-CN"/>
              </w:rPr>
              <w:t>29800.00</w:t>
            </w:r>
          </w:p>
        </w:tc>
        <w:tc>
          <w:tcPr>
            <w:tcW w:w="911"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lang w:val="en-US" w:eastAsia="zh-CN"/>
              </w:rPr>
              <w:t>149800.00</w:t>
            </w:r>
          </w:p>
        </w:tc>
        <w:tc>
          <w:tcPr>
            <w:tcW w:w="71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100%</w:t>
            </w:r>
          </w:p>
        </w:tc>
        <w:tc>
          <w:tcPr>
            <w:tcW w:w="66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0.00</w:t>
            </w:r>
          </w:p>
        </w:tc>
        <w:tc>
          <w:tcPr>
            <w:tcW w:w="635" w:type="dxa"/>
            <w:vMerge w:val="continue"/>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c>
          <w:tcPr>
            <w:tcW w:w="634"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8" w:hRule="atLeast"/>
        </w:trPr>
        <w:tc>
          <w:tcPr>
            <w:tcW w:w="675"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bCs/>
                <w:kern w:val="0"/>
                <w:sz w:val="15"/>
                <w:szCs w:val="15"/>
                <w:lang w:val="en-US" w:eastAsia="zh-CN"/>
              </w:rPr>
            </w:pPr>
            <w:r>
              <w:rPr>
                <w:rFonts w:hint="default" w:ascii="Times New Roman" w:hAnsi="Times New Roman" w:eastAsia="仿宋" w:cs="Times New Roman"/>
                <w:b w:val="0"/>
                <w:bCs w:val="0"/>
                <w:color w:val="auto"/>
                <w:kern w:val="0"/>
                <w:sz w:val="15"/>
                <w:szCs w:val="15"/>
                <w:lang w:val="en-US" w:eastAsia="zh-CN"/>
              </w:rPr>
              <w:t>积极进行产销对接</w:t>
            </w:r>
          </w:p>
        </w:tc>
        <w:tc>
          <w:tcPr>
            <w:tcW w:w="483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val="0"/>
                <w:bCs w:val="0"/>
                <w:color w:val="auto"/>
                <w:kern w:val="0"/>
                <w:sz w:val="15"/>
                <w:szCs w:val="15"/>
                <w:lang w:val="en-US" w:eastAsia="zh-CN"/>
              </w:rPr>
            </w:pPr>
            <w:r>
              <w:rPr>
                <w:rFonts w:hint="default" w:ascii="Times New Roman" w:hAnsi="Times New Roman" w:eastAsia="仿宋" w:cs="Times New Roman"/>
                <w:b w:val="0"/>
                <w:bCs w:val="0"/>
                <w:color w:val="auto"/>
                <w:kern w:val="0"/>
                <w:sz w:val="15"/>
                <w:szCs w:val="15"/>
                <w:lang w:val="en-US" w:eastAsia="zh-CN"/>
              </w:rPr>
              <w:t>积极对接区内外产销供需信息，精心组织企业和本地农特产品外出展销和洽谈合作，拓宽农产品销售渠道；对公共服务中心进行升级改造，完善功能分区，提升服务能力；根据本县企业和产品的现状和实际需求，统筹推进电商产品研制、质量检测、品牌推广、品质控制，包装制作，引进直播、网红进行产品营销，成熟一个推广一个；对入驻电商服务中心所有企业捆绑成一个大客户，对接金融、物流、培训、旅游、便民服务等增值化服务，探索市场化可持续运营机制，一站式解决县域电商发展中的服务需求。优先支持贫困村、贫困户发展电商，尤其在教育培训、物流下乡进村、农产品上行、产品包装等政策方面给予重点倾斜，发展“电商企业+基地+贫困户”的订单农业。做好产品标准化、品牌和质量保障，对接商务部电商扶贫频道等平台，加大对贫困地区农产品上行和产销对接的支持力度。深化闽宁协作，支持扶贫车间建设，围绕打造东西部扶贫协作示范基地，促进林果、生态鸡、小杂粮、中药材等优势产业通过电商发展壮大，帮助农民增收致富。农村电商扶贫销售工作被省级媒体宣传报道的总次数不少于2次；发展“电商企业+基地+贫困户”的订单不少于3个品类；每年组织彭阳县农产品参加商务部门主办的省内外展览会议不少于2次。</w:t>
            </w:r>
          </w:p>
        </w:tc>
        <w:tc>
          <w:tcPr>
            <w:tcW w:w="600"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884000.00</w:t>
            </w:r>
          </w:p>
        </w:tc>
        <w:tc>
          <w:tcPr>
            <w:tcW w:w="727"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370000.00</w:t>
            </w:r>
          </w:p>
        </w:tc>
        <w:tc>
          <w:tcPr>
            <w:tcW w:w="542"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p>
        </w:tc>
        <w:tc>
          <w:tcPr>
            <w:tcW w:w="365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1.根据本县企业和产品现状以及实际需求，统筹推进电商产品研制：完成红梅杏包装盒规格、材质研制。质量检测：委托第三方对三泰亚麻籽油、顺盈商贸食用醋进行质检出具质检报告；品牌推广：在2021网上丝绸之路大会第五届中国-阿拉伯国家博览会上进行煌甫谧艾益康品牌推广；品质控制：根据县域产业土豆、红梅杏规范标准及品质，前期调研县域土豆、红梅杏销售大户，制订土豆、红梅杏分级分选品质规格。完成五孔窑醋快递包装盒设计印刷包装制作；引进徐亮、曹妙藏、虎素珍、张利等直播网红进行产品营销，支持本地农特产品上行。2.对县域红梅杏产业13家合作社、7家电商企业共计20家市场主体进行线上店铺开设，共开设店铺34个，其中淘宝5个、拼多多2个，抖音9个、微信小店17个、微信小程序商店1个；目前已按照各主体需求进行店铺装修，上架产品进行预售，完成所有建设优化正式投入使用。3.5月18日组织对红梅杏产业各主体在彭阳县供销合作社联合社进行集中指导培训服务。4.发展“电商企业+基地+贫困户”的订单农业。与彭阳县金凯杏子营销农民专业合作社、宁夏宁璎珞商贸有限公司、彭阳县云升电子商务有限公司等基地签订红梅杏订单农业；与宁夏东昂农业科技有限公司签订辣椒、西红柿、苹果收购订单农业。5.深化闽宁协作，支持扶贫车间建设：为煌甫谧扶贫车间进行电商化设计装饰；为彭阳县草庙乡农产品包装扶贫车间设计红梅杏包装；帮助宁夏季稷丰农业有限公司进行闽宁优选馆装修、上架林果（红梅杏、果脯）、生态鸡、小杂粮、中药材等优势产品。</w:t>
            </w:r>
            <w:r>
              <w:rPr>
                <w:rFonts w:hint="default" w:ascii="Times New Roman" w:hAnsi="Times New Roman" w:eastAsia="仿宋" w:cs="Times New Roman"/>
                <w:b w:val="0"/>
                <w:bCs w:val="0"/>
                <w:color w:val="auto"/>
                <w:kern w:val="0"/>
                <w:sz w:val="15"/>
                <w:szCs w:val="15"/>
                <w:highlight w:val="none"/>
                <w:lang w:val="en-US" w:eastAsia="zh-CN"/>
              </w:rPr>
              <w:t>（该部分内容后期还需进行红梅杏网店运营指导，暂扣5%。）</w:t>
            </w:r>
          </w:p>
        </w:tc>
        <w:tc>
          <w:tcPr>
            <w:tcW w:w="72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sz w:val="15"/>
                <w:szCs w:val="15"/>
                <w:lang w:val="en-US" w:eastAsia="zh-CN"/>
              </w:rPr>
            </w:pPr>
            <w:r>
              <w:rPr>
                <w:rFonts w:hint="default" w:ascii="Times New Roman" w:hAnsi="Times New Roman" w:eastAsia="仿宋" w:cs="Times New Roman"/>
                <w:color w:val="auto"/>
                <w:sz w:val="15"/>
                <w:szCs w:val="15"/>
                <w:lang w:val="en-US" w:eastAsia="zh-CN"/>
              </w:rPr>
              <w:t>514000.00</w:t>
            </w:r>
          </w:p>
        </w:tc>
        <w:tc>
          <w:tcPr>
            <w:tcW w:w="73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lang w:val="en-US" w:eastAsia="zh-CN"/>
              </w:rPr>
            </w:pPr>
            <w:r>
              <w:rPr>
                <w:rFonts w:hint="default" w:ascii="Times New Roman" w:hAnsi="Times New Roman" w:eastAsia="仿宋" w:cs="Times New Roman"/>
                <w:color w:val="auto"/>
                <w:kern w:val="0"/>
                <w:sz w:val="15"/>
                <w:szCs w:val="15"/>
                <w:lang w:val="en-US" w:eastAsia="zh-CN"/>
              </w:rPr>
              <w:t>489000.00</w:t>
            </w:r>
          </w:p>
        </w:tc>
        <w:tc>
          <w:tcPr>
            <w:tcW w:w="911"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859000.00</w:t>
            </w:r>
          </w:p>
        </w:tc>
        <w:tc>
          <w:tcPr>
            <w:tcW w:w="71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97.2%</w:t>
            </w:r>
          </w:p>
        </w:tc>
        <w:tc>
          <w:tcPr>
            <w:tcW w:w="66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val="0"/>
                <w:bCs w:val="0"/>
                <w:color w:val="auto"/>
                <w:kern w:val="0"/>
                <w:sz w:val="15"/>
                <w:szCs w:val="15"/>
                <w:highlight w:val="none"/>
                <w:lang w:val="en-US" w:eastAsia="zh-CN"/>
              </w:rPr>
            </w:pPr>
            <w:r>
              <w:rPr>
                <w:rFonts w:hint="default" w:ascii="Times New Roman" w:hAnsi="Times New Roman" w:eastAsia="仿宋" w:cs="Times New Roman"/>
                <w:b w:val="0"/>
                <w:bCs w:val="0"/>
                <w:color w:val="auto"/>
                <w:kern w:val="0"/>
                <w:sz w:val="15"/>
                <w:szCs w:val="15"/>
                <w:highlight w:val="none"/>
                <w:lang w:val="en-US" w:eastAsia="zh-CN"/>
              </w:rPr>
              <w:t>25000.00</w:t>
            </w:r>
          </w:p>
        </w:tc>
        <w:tc>
          <w:tcPr>
            <w:tcW w:w="635" w:type="dxa"/>
            <w:vMerge w:val="continue"/>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c>
          <w:tcPr>
            <w:tcW w:w="634"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75"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bCs/>
                <w:kern w:val="0"/>
                <w:sz w:val="15"/>
                <w:szCs w:val="15"/>
                <w:lang w:val="en-US" w:eastAsia="zh-CN"/>
              </w:rPr>
            </w:pPr>
            <w:r>
              <w:rPr>
                <w:rFonts w:hint="default" w:ascii="Times New Roman" w:hAnsi="Times New Roman" w:eastAsia="仿宋" w:cs="Times New Roman"/>
                <w:b w:val="0"/>
                <w:bCs w:val="0"/>
                <w:color w:val="auto"/>
                <w:kern w:val="0"/>
                <w:sz w:val="15"/>
                <w:szCs w:val="15"/>
                <w:lang w:val="en-US" w:eastAsia="zh-CN"/>
              </w:rPr>
              <w:t>打造农村电商示范村站</w:t>
            </w:r>
          </w:p>
        </w:tc>
        <w:tc>
          <w:tcPr>
            <w:tcW w:w="483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val="0"/>
                <w:bCs w:val="0"/>
                <w:color w:val="auto"/>
                <w:kern w:val="0"/>
                <w:sz w:val="15"/>
                <w:szCs w:val="15"/>
                <w:lang w:val="en-US" w:eastAsia="zh-CN"/>
              </w:rPr>
            </w:pPr>
            <w:r>
              <w:rPr>
                <w:rFonts w:hint="default" w:ascii="Times New Roman" w:hAnsi="Times New Roman" w:eastAsia="仿宋" w:cs="Times New Roman"/>
                <w:b w:val="0"/>
                <w:bCs w:val="0"/>
                <w:color w:val="auto"/>
                <w:kern w:val="0"/>
                <w:sz w:val="15"/>
                <w:szCs w:val="15"/>
                <w:lang w:val="en-US" w:eastAsia="zh-CN"/>
              </w:rPr>
              <w:t>打造农村电商示范村站。结合地方产业发展条件，发掘、培育有独特资源、文化和品牌优势的网货产品，提升和打造有产业特色的电商示范村站。全县电商服务站年终考核合格率达70%以上，优秀率占合格率10%。</w:t>
            </w:r>
          </w:p>
        </w:tc>
        <w:tc>
          <w:tcPr>
            <w:tcW w:w="600"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99800.00</w:t>
            </w:r>
          </w:p>
        </w:tc>
        <w:tc>
          <w:tcPr>
            <w:tcW w:w="727"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30000.00</w:t>
            </w:r>
          </w:p>
        </w:tc>
        <w:tc>
          <w:tcPr>
            <w:tcW w:w="542"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p>
        </w:tc>
        <w:tc>
          <w:tcPr>
            <w:tcW w:w="365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highlight w:val="none"/>
                <w:lang w:val="en-US" w:eastAsia="zh-CN"/>
              </w:rPr>
              <w:t>截止2022年4月18日，完成126个村站辅导服务，实地了解村站运营、基础设施等情况，了解代存代缴，代办网络开通、代收发快递等便民服务、仓储配送等物流服务、农资电商服务等相关内容并做好统计给出相关意见。其中按需为9个村站负责人开通9快手小店，为5家村站对接美团优选社区团购；帮助村站设计品牌logo60余款，设计包装40余款。为重点打造村站小石沟电商服务站规划提升村级服务站9大产区布局图，服务窗口设置、直播间设计等，出具平面图、效果图等；为冯庄乡上湾村电商服务站进行彭阳辣椒包装设计，网店装修，主图拍摄，编写拍摄脚本，视频拍摄，进行短视频拍摄培训。为王洼镇团庄村电商服务站进行淘宝店铺装修，设计整套详情页，视频拍摄宣传，海报制作，帮助设计车间制度牌和展架，进行产品包装设计等。为王洼镇王洼村电商服务站开通微信视频号小店，培训店铺运营方法，设计装修店铺，上架产品，组织为村民进行社群团购营销培训讲解。为小岔乡小岔村电商服务站扶贫车间进行宣传视频拍摄，帮助村民开设店铺，为扶贫车间员工培训通过直播与短视频形式进行手工艺品售卖。（该部分工作需后续持续加强，确保终期及各级绩效评级验收时电商服务站合格率及优秀率符合验收要求。）</w:t>
            </w:r>
          </w:p>
        </w:tc>
        <w:tc>
          <w:tcPr>
            <w:tcW w:w="72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sz w:val="15"/>
                <w:szCs w:val="15"/>
                <w:lang w:val="en-US" w:eastAsia="zh-CN"/>
              </w:rPr>
            </w:pPr>
            <w:r>
              <w:rPr>
                <w:rFonts w:hint="default" w:ascii="Times New Roman" w:hAnsi="Times New Roman" w:eastAsia="仿宋" w:cs="Times New Roman"/>
                <w:color w:val="auto"/>
                <w:sz w:val="15"/>
                <w:szCs w:val="15"/>
                <w:lang w:val="en-US" w:eastAsia="zh-CN"/>
              </w:rPr>
              <w:t>69800.00</w:t>
            </w:r>
          </w:p>
        </w:tc>
        <w:tc>
          <w:tcPr>
            <w:tcW w:w="73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lang w:val="en-US" w:eastAsia="zh-CN"/>
              </w:rPr>
            </w:pPr>
            <w:r>
              <w:rPr>
                <w:rFonts w:hint="default" w:ascii="Times New Roman" w:hAnsi="Times New Roman" w:eastAsia="仿宋" w:cs="Times New Roman"/>
                <w:color w:val="auto"/>
                <w:sz w:val="15"/>
                <w:szCs w:val="15"/>
                <w:lang w:val="en-US" w:eastAsia="zh-CN"/>
              </w:rPr>
              <w:t>69800.00</w:t>
            </w:r>
          </w:p>
        </w:tc>
        <w:tc>
          <w:tcPr>
            <w:tcW w:w="911"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lang w:val="en-US" w:eastAsia="zh-CN"/>
              </w:rPr>
              <w:t>99800.00</w:t>
            </w:r>
          </w:p>
        </w:tc>
        <w:tc>
          <w:tcPr>
            <w:tcW w:w="71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100%</w:t>
            </w:r>
          </w:p>
        </w:tc>
        <w:tc>
          <w:tcPr>
            <w:tcW w:w="66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0.00</w:t>
            </w:r>
          </w:p>
        </w:tc>
        <w:tc>
          <w:tcPr>
            <w:tcW w:w="635" w:type="dxa"/>
            <w:vMerge w:val="continue"/>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c>
          <w:tcPr>
            <w:tcW w:w="634"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75"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bCs/>
                <w:color w:val="auto"/>
                <w:kern w:val="0"/>
                <w:sz w:val="15"/>
                <w:szCs w:val="15"/>
                <w:lang w:val="en-US" w:eastAsia="zh-CN"/>
              </w:rPr>
            </w:pPr>
            <w:r>
              <w:rPr>
                <w:rFonts w:hint="default" w:ascii="Times New Roman" w:hAnsi="Times New Roman" w:eastAsia="仿宋" w:cs="Times New Roman"/>
                <w:b w:val="0"/>
                <w:bCs w:val="0"/>
                <w:color w:val="auto"/>
                <w:kern w:val="0"/>
                <w:sz w:val="15"/>
                <w:szCs w:val="15"/>
                <w:lang w:val="en-US" w:eastAsia="zh-CN"/>
              </w:rPr>
              <w:t>建设彭阳电商旅游小镇彭阳精品O2O展销中心</w:t>
            </w:r>
          </w:p>
        </w:tc>
        <w:tc>
          <w:tcPr>
            <w:tcW w:w="483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val="0"/>
                <w:bCs w:val="0"/>
                <w:color w:val="auto"/>
                <w:kern w:val="0"/>
                <w:sz w:val="15"/>
                <w:szCs w:val="15"/>
                <w:lang w:val="en-US" w:eastAsia="zh-CN"/>
              </w:rPr>
            </w:pPr>
            <w:r>
              <w:rPr>
                <w:rFonts w:hint="default" w:ascii="Times New Roman" w:hAnsi="Times New Roman" w:eastAsia="仿宋" w:cs="Times New Roman"/>
                <w:b w:val="0"/>
                <w:bCs w:val="0"/>
                <w:color w:val="auto"/>
                <w:kern w:val="0"/>
                <w:sz w:val="15"/>
                <w:szCs w:val="15"/>
                <w:lang w:val="en-US" w:eastAsia="zh-CN"/>
              </w:rPr>
              <w:t>围绕打造全域旅游、休闲旅游、文化旅游，推动旅游资源和电商协同发展，打造“吃住行、游乐购”服务一体化功能，建设彭阳电商旅游小镇彭阳精品 O2O展销中心，实现线上线下宣传推广。  采购电视，1台，50寸。</w:t>
            </w:r>
          </w:p>
        </w:tc>
        <w:tc>
          <w:tcPr>
            <w:tcW w:w="600"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auto"/>
                <w:kern w:val="0"/>
                <w:sz w:val="15"/>
                <w:szCs w:val="15"/>
                <w:lang w:val="en-US" w:eastAsia="zh-CN"/>
              </w:rPr>
            </w:pPr>
            <w:r>
              <w:rPr>
                <w:rFonts w:hint="default" w:ascii="Times New Roman" w:hAnsi="Times New Roman" w:eastAsia="仿宋" w:cs="Times New Roman"/>
                <w:color w:val="auto"/>
                <w:kern w:val="0"/>
                <w:sz w:val="15"/>
                <w:szCs w:val="15"/>
                <w:lang w:val="en-US" w:eastAsia="zh-CN"/>
              </w:rPr>
              <w:t>897000.00</w:t>
            </w:r>
          </w:p>
        </w:tc>
        <w:tc>
          <w:tcPr>
            <w:tcW w:w="727"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auto"/>
                <w:kern w:val="0"/>
                <w:sz w:val="15"/>
                <w:szCs w:val="15"/>
                <w:lang w:val="en-US" w:eastAsia="zh-CN"/>
              </w:rPr>
            </w:pPr>
            <w:r>
              <w:rPr>
                <w:rFonts w:hint="default" w:ascii="Times New Roman" w:hAnsi="Times New Roman" w:eastAsia="仿宋" w:cs="Times New Roman"/>
                <w:color w:val="auto"/>
                <w:kern w:val="0"/>
                <w:sz w:val="15"/>
                <w:szCs w:val="15"/>
                <w:lang w:val="en-US" w:eastAsia="zh-CN"/>
              </w:rPr>
              <w:t>784591.8</w:t>
            </w:r>
          </w:p>
        </w:tc>
        <w:tc>
          <w:tcPr>
            <w:tcW w:w="542"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auto"/>
                <w:kern w:val="0"/>
                <w:sz w:val="15"/>
                <w:szCs w:val="15"/>
                <w:lang w:val="en-US" w:eastAsia="zh-CN"/>
              </w:rPr>
            </w:pPr>
          </w:p>
        </w:tc>
        <w:tc>
          <w:tcPr>
            <w:tcW w:w="365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auto"/>
                <w:kern w:val="0"/>
                <w:sz w:val="15"/>
                <w:szCs w:val="15"/>
                <w:lang w:val="en-US" w:eastAsia="zh-CN"/>
              </w:rPr>
            </w:pPr>
            <w:r>
              <w:rPr>
                <w:rFonts w:hint="default" w:ascii="Times New Roman" w:hAnsi="Times New Roman" w:eastAsia="仿宋" w:cs="Times New Roman"/>
                <w:color w:val="auto"/>
                <w:kern w:val="0"/>
                <w:sz w:val="15"/>
                <w:szCs w:val="15"/>
                <w:lang w:val="en-US" w:eastAsia="zh-CN"/>
              </w:rPr>
              <w:t>采购海信Hisense55寸电视1台6999元，2021年全年运营费用108005.02元，云耕彭阳小程序年费17000元。</w:t>
            </w:r>
          </w:p>
        </w:tc>
        <w:tc>
          <w:tcPr>
            <w:tcW w:w="72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auto"/>
                <w:sz w:val="15"/>
                <w:szCs w:val="15"/>
                <w:lang w:val="en-US" w:eastAsia="zh-CN"/>
              </w:rPr>
            </w:pPr>
            <w:r>
              <w:rPr>
                <w:rFonts w:hint="default" w:ascii="Times New Roman" w:hAnsi="Times New Roman" w:eastAsia="仿宋" w:cs="Times New Roman"/>
                <w:color w:val="auto"/>
                <w:sz w:val="15"/>
                <w:szCs w:val="15"/>
                <w:lang w:val="en-US" w:eastAsia="zh-CN"/>
              </w:rPr>
              <w:t>112408.20</w:t>
            </w:r>
          </w:p>
        </w:tc>
        <w:tc>
          <w:tcPr>
            <w:tcW w:w="73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auto"/>
                <w:kern w:val="0"/>
                <w:sz w:val="15"/>
                <w:szCs w:val="15"/>
                <w:lang w:val="en-US" w:eastAsia="zh-CN"/>
              </w:rPr>
            </w:pPr>
            <w:r>
              <w:rPr>
                <w:rFonts w:hint="default" w:ascii="Times New Roman" w:hAnsi="Times New Roman" w:eastAsia="仿宋" w:cs="Times New Roman"/>
                <w:color w:val="auto"/>
                <w:sz w:val="15"/>
                <w:szCs w:val="15"/>
                <w:lang w:val="en-US" w:eastAsia="zh-CN"/>
              </w:rPr>
              <w:t>112408.20</w:t>
            </w:r>
          </w:p>
        </w:tc>
        <w:tc>
          <w:tcPr>
            <w:tcW w:w="911"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auto"/>
                <w:kern w:val="0"/>
                <w:sz w:val="15"/>
                <w:szCs w:val="15"/>
                <w:highlight w:val="none"/>
                <w:lang w:val="en-US" w:eastAsia="zh-CN"/>
              </w:rPr>
            </w:pPr>
            <w:r>
              <w:rPr>
                <w:rFonts w:hint="default" w:ascii="Times New Roman" w:hAnsi="Times New Roman" w:eastAsia="仿宋" w:cs="Times New Roman"/>
                <w:color w:val="auto"/>
                <w:kern w:val="0"/>
                <w:sz w:val="15"/>
                <w:szCs w:val="15"/>
                <w:lang w:val="en-US" w:eastAsia="zh-CN"/>
              </w:rPr>
              <w:t>897000.00</w:t>
            </w:r>
          </w:p>
        </w:tc>
        <w:tc>
          <w:tcPr>
            <w:tcW w:w="71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auto"/>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100%</w:t>
            </w:r>
          </w:p>
        </w:tc>
        <w:tc>
          <w:tcPr>
            <w:tcW w:w="66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auto"/>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0.00</w:t>
            </w:r>
          </w:p>
        </w:tc>
        <w:tc>
          <w:tcPr>
            <w:tcW w:w="635" w:type="dxa"/>
            <w:vMerge w:val="continue"/>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auto"/>
                <w:kern w:val="0"/>
                <w:sz w:val="15"/>
                <w:szCs w:val="15"/>
                <w:lang w:val="en-US" w:eastAsia="zh-CN"/>
              </w:rPr>
            </w:pPr>
          </w:p>
        </w:tc>
        <w:tc>
          <w:tcPr>
            <w:tcW w:w="634"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FF"/>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675" w:type="dxa"/>
            <w:vMerge w:val="restart"/>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val="0"/>
                <w:bCs w:val="0"/>
                <w:color w:val="auto"/>
                <w:kern w:val="0"/>
                <w:sz w:val="15"/>
                <w:szCs w:val="15"/>
                <w:lang w:val="en-US" w:eastAsia="zh-CN"/>
              </w:rPr>
            </w:pPr>
            <w:r>
              <w:rPr>
                <w:rFonts w:hint="default" w:ascii="Times New Roman" w:hAnsi="Times New Roman" w:eastAsia="仿宋" w:cs="Times New Roman"/>
                <w:b w:val="0"/>
                <w:bCs w:val="0"/>
                <w:color w:val="auto"/>
                <w:kern w:val="0"/>
                <w:sz w:val="15"/>
                <w:szCs w:val="15"/>
                <w:lang w:val="en-US" w:eastAsia="zh-CN"/>
              </w:rPr>
              <w:t>积极开展电商培训工作</w:t>
            </w:r>
          </w:p>
        </w:tc>
        <w:tc>
          <w:tcPr>
            <w:tcW w:w="4830"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bidi="zh-CN"/>
              </w:rPr>
            </w:pPr>
            <w:r>
              <w:rPr>
                <w:rFonts w:hint="default" w:ascii="Times New Roman" w:hAnsi="Times New Roman" w:eastAsia="仿宋" w:cs="Times New Roman"/>
                <w:color w:val="auto"/>
                <w:kern w:val="0"/>
                <w:sz w:val="15"/>
                <w:szCs w:val="15"/>
                <w:lang w:val="en-US" w:eastAsia="zh-CN"/>
              </w:rPr>
              <w:t xml:space="preserve">遴选本地农村电商带头人、优秀企业家、电商专业技术人员等会经营、懂管理、技术精的电商人才，建设一支“不走的县域农村电商筑梦导师团队”，筑梦导师团队应有导师10人以上，组织管理机构健全，有一定比例具备电子商务中级、高级资质的电商人才，入驻县级电商运营中心，通过培训、策划、指导、组织对接会、举办创业大赛和电商节庆活动等方式，创建农村电商实训基地，指导培育30家电商企业和60个电商服务站运营。导师团协助公共服务中心开展产品研发、品牌推广、数据采集，实现“一个网、一个屏、一张图、一张表”实时在线整体展现我县电商成效。 </w:t>
            </w:r>
          </w:p>
        </w:tc>
        <w:tc>
          <w:tcPr>
            <w:tcW w:w="60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val="0"/>
                <w:bCs w:val="0"/>
                <w:color w:val="auto"/>
                <w:kern w:val="0"/>
                <w:sz w:val="15"/>
                <w:szCs w:val="15"/>
                <w:lang w:val="en-US" w:eastAsia="zh-CN" w:bidi="ar"/>
              </w:rPr>
            </w:pPr>
            <w:r>
              <w:rPr>
                <w:rFonts w:hint="default" w:ascii="Times New Roman" w:hAnsi="Times New Roman" w:eastAsia="仿宋" w:cs="Times New Roman"/>
                <w:b w:val="0"/>
                <w:bCs w:val="0"/>
                <w:color w:val="auto"/>
                <w:kern w:val="0"/>
                <w:sz w:val="15"/>
                <w:szCs w:val="15"/>
                <w:lang w:val="en-US" w:eastAsia="zh-CN"/>
              </w:rPr>
              <w:t>749800.00</w:t>
            </w:r>
          </w:p>
        </w:tc>
        <w:tc>
          <w:tcPr>
            <w:tcW w:w="72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sz w:val="15"/>
                <w:szCs w:val="15"/>
                <w:lang w:val="en-US" w:eastAsia="zh-CN" w:bidi="zh-CN"/>
              </w:rPr>
            </w:pPr>
            <w:r>
              <w:rPr>
                <w:rFonts w:hint="default" w:ascii="Times New Roman" w:hAnsi="Times New Roman" w:eastAsia="仿宋" w:cs="Times New Roman"/>
                <w:color w:val="auto"/>
                <w:sz w:val="15"/>
                <w:szCs w:val="15"/>
                <w:lang w:val="en-US" w:eastAsia="zh-CN"/>
              </w:rPr>
              <w:t>150000.0</w:t>
            </w:r>
          </w:p>
        </w:tc>
        <w:tc>
          <w:tcPr>
            <w:tcW w:w="542"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p>
        </w:tc>
        <w:tc>
          <w:tcPr>
            <w:tcW w:w="365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1.遴选本地6人参加筑梦导师集中培训，其中3人取得国家电子商务师T1证书，2人取得高级电子商务师证书，1人取得电子商务初级讲师证；聘请本地电商带头人、电商从业者4人共同组成彭阳县筑梦导师团。2.组织指导培育30家电商企业，帮助完成包装设计、详情页设计、主图设计共计300余款，短视频拍摄共计24个。辅导63个电商服务站运营，帮助设计包装33款，开通微信小店3个，快手小店2个，展板设计11款，帮助村站设计品牌logo63款，撰写短视频拍摄脚本63次累计服务220余次，组织开展沙龙活动3场。组织筑梦导师线上集中学习30余次。3.筑梦导师团协助公共服务中心开展产品研发、品牌推广、数据采集，统计全县电商企业、电商从业者、电商培训人员、公共品牌数据库、物流上下行、各村站产业、百亩以上瓜果菜产业等数据统一在彭阳县农村电商大数据平台展现。初步实现“一个网、一个屏、一张图、一张表”。</w:t>
            </w:r>
            <w:r>
              <w:rPr>
                <w:rFonts w:hint="default" w:ascii="Times New Roman" w:hAnsi="Times New Roman" w:eastAsia="仿宋" w:cs="Times New Roman"/>
                <w:color w:val="auto"/>
                <w:kern w:val="0"/>
                <w:sz w:val="15"/>
                <w:szCs w:val="15"/>
                <w:highlight w:val="none"/>
                <w:lang w:val="en-US" w:eastAsia="zh-CN"/>
              </w:rPr>
              <w:t>（后续需持续优化和运营好“一个网、一个屏、一张图、一张表”。）</w:t>
            </w:r>
          </w:p>
        </w:tc>
        <w:tc>
          <w:tcPr>
            <w:tcW w:w="72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sz w:val="15"/>
                <w:szCs w:val="15"/>
                <w:lang w:val="en-US" w:eastAsia="zh-CN"/>
              </w:rPr>
            </w:pPr>
            <w:r>
              <w:rPr>
                <w:rFonts w:hint="default" w:ascii="Times New Roman" w:hAnsi="Times New Roman" w:eastAsia="仿宋" w:cs="Times New Roman"/>
                <w:color w:val="auto"/>
                <w:sz w:val="15"/>
                <w:szCs w:val="15"/>
                <w:lang w:val="en-US" w:eastAsia="zh-CN"/>
              </w:rPr>
              <w:t>599800.00</w:t>
            </w:r>
          </w:p>
        </w:tc>
        <w:tc>
          <w:tcPr>
            <w:tcW w:w="73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lang w:val="en-US" w:eastAsia="zh-CN"/>
              </w:rPr>
            </w:pPr>
            <w:r>
              <w:rPr>
                <w:rFonts w:hint="default" w:ascii="Times New Roman" w:hAnsi="Times New Roman" w:eastAsia="仿宋" w:cs="Times New Roman"/>
                <w:color w:val="auto"/>
                <w:sz w:val="15"/>
                <w:szCs w:val="15"/>
                <w:lang w:val="en-US" w:eastAsia="zh-CN"/>
              </w:rPr>
              <w:t>599800.00</w:t>
            </w:r>
          </w:p>
        </w:tc>
        <w:tc>
          <w:tcPr>
            <w:tcW w:w="911"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b w:val="0"/>
                <w:bCs w:val="0"/>
                <w:color w:val="auto"/>
                <w:kern w:val="0"/>
                <w:sz w:val="15"/>
                <w:szCs w:val="15"/>
                <w:lang w:val="en-US" w:eastAsia="zh-CN"/>
              </w:rPr>
              <w:t>749800.00</w:t>
            </w:r>
          </w:p>
        </w:tc>
        <w:tc>
          <w:tcPr>
            <w:tcW w:w="71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100%</w:t>
            </w:r>
          </w:p>
        </w:tc>
        <w:tc>
          <w:tcPr>
            <w:tcW w:w="66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0.00</w:t>
            </w:r>
          </w:p>
        </w:tc>
        <w:tc>
          <w:tcPr>
            <w:tcW w:w="635" w:type="dxa"/>
            <w:vMerge w:val="continue"/>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c>
          <w:tcPr>
            <w:tcW w:w="634"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675" w:type="dxa"/>
            <w:vMerge w:val="continue"/>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val="0"/>
                <w:bCs w:val="0"/>
                <w:color w:val="auto"/>
                <w:kern w:val="0"/>
                <w:sz w:val="15"/>
                <w:szCs w:val="15"/>
                <w:lang w:val="en-US" w:eastAsia="zh-CN"/>
              </w:rPr>
            </w:pPr>
          </w:p>
        </w:tc>
        <w:tc>
          <w:tcPr>
            <w:tcW w:w="4830" w:type="dxa"/>
            <w:vAlign w:val="center"/>
          </w:tcPr>
          <w:p>
            <w:pPr>
              <w:keepNext w:val="0"/>
              <w:keepLines w:val="0"/>
              <w:widowControl/>
              <w:suppressLineNumbers w:val="0"/>
              <w:spacing w:line="240" w:lineRule="auto"/>
              <w:ind w:left="0" w:leftChars="0" w:right="0" w:rightChars="0"/>
              <w:jc w:val="both"/>
              <w:rPr>
                <w:rFonts w:hint="default" w:ascii="Times New Roman" w:hAnsi="Times New Roman" w:eastAsia="仿宋" w:cs="Times New Roman"/>
                <w:b w:val="0"/>
                <w:bCs w:val="0"/>
                <w:color w:val="auto"/>
                <w:kern w:val="0"/>
                <w:sz w:val="15"/>
                <w:szCs w:val="15"/>
                <w:lang w:val="en-US" w:eastAsia="zh-CN" w:bidi="ar"/>
              </w:rPr>
            </w:pPr>
            <w:r>
              <w:rPr>
                <w:rFonts w:hint="default" w:ascii="Times New Roman" w:hAnsi="Times New Roman" w:eastAsia="仿宋" w:cs="Times New Roman"/>
                <w:b w:val="0"/>
                <w:bCs w:val="0"/>
                <w:color w:val="auto"/>
                <w:kern w:val="0"/>
                <w:sz w:val="15"/>
                <w:szCs w:val="15"/>
                <w:lang w:val="en-US" w:eastAsia="zh-CN"/>
              </w:rPr>
              <w:t>探索“培训机构+运营中心+实体企业”的电商人才合作孵化模式，县属企业推荐有电商经验的人员入驻电商公共服务中心开展为期3个月的委托培养，签订合同，以销售本企业产品作为实战课程，边学习边就业，学成后在本企业稳定就业2年以上，计划培训人数30人。</w:t>
            </w:r>
          </w:p>
        </w:tc>
        <w:tc>
          <w:tcPr>
            <w:tcW w:w="600"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bidi="zh-CN"/>
              </w:rPr>
            </w:pPr>
            <w:r>
              <w:rPr>
                <w:rFonts w:hint="default" w:ascii="Times New Roman" w:hAnsi="Times New Roman" w:eastAsia="仿宋" w:cs="Times New Roman"/>
                <w:color w:val="auto"/>
                <w:kern w:val="0"/>
                <w:sz w:val="15"/>
                <w:szCs w:val="15"/>
                <w:lang w:val="en-US" w:eastAsia="zh-CN"/>
              </w:rPr>
              <w:t>749800.00</w:t>
            </w:r>
          </w:p>
        </w:tc>
        <w:tc>
          <w:tcPr>
            <w:tcW w:w="72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auto"/>
                <w:sz w:val="15"/>
                <w:szCs w:val="15"/>
                <w:lang w:val="en-US" w:eastAsia="zh-CN" w:bidi="zh-CN"/>
              </w:rPr>
            </w:pPr>
            <w:r>
              <w:rPr>
                <w:rFonts w:hint="default" w:ascii="Times New Roman" w:hAnsi="Times New Roman" w:eastAsia="仿宋" w:cs="Times New Roman"/>
                <w:color w:val="auto"/>
                <w:sz w:val="15"/>
                <w:szCs w:val="15"/>
                <w:lang w:val="en-US" w:eastAsia="zh-CN"/>
              </w:rPr>
              <w:t>589200.0</w:t>
            </w:r>
          </w:p>
        </w:tc>
        <w:tc>
          <w:tcPr>
            <w:tcW w:w="542"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p>
        </w:tc>
        <w:tc>
          <w:tcPr>
            <w:tcW w:w="365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bCs w:val="0"/>
                <w:color w:val="auto"/>
                <w:spacing w:val="0"/>
                <w:kern w:val="0"/>
                <w:sz w:val="15"/>
                <w:szCs w:val="15"/>
                <w:lang w:val="en-US" w:eastAsia="zh-CN" w:bidi="zh-CN"/>
              </w:rPr>
              <w:t>通过《新媒体电商直播创新思维逻辑》、《直播团队的搭建及主播技能提升》、《直播电商的发展及直播平台的选择》、《如何设计一堂快速变现的直播课》、《直播复盘-聊聊直播那些事》5期线上课程对签订委托培养的30人次进行后续跟踪服务，进行人均电话回访4次，微信线上沟通辅导3次，提高就业转化率,回访发现目前仅有20人实现就业，重新签订10人培养协议，正在开展培养。本次申请金额验收不通过。</w:t>
            </w:r>
          </w:p>
        </w:tc>
        <w:tc>
          <w:tcPr>
            <w:tcW w:w="72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sz w:val="15"/>
                <w:szCs w:val="15"/>
                <w:lang w:val="en-US" w:eastAsia="zh-CN"/>
              </w:rPr>
            </w:pPr>
            <w:r>
              <w:rPr>
                <w:rFonts w:hint="default" w:ascii="Times New Roman" w:hAnsi="Times New Roman" w:eastAsia="仿宋" w:cs="Times New Roman"/>
                <w:color w:val="auto"/>
                <w:sz w:val="15"/>
                <w:szCs w:val="15"/>
                <w:lang w:val="en-US" w:eastAsia="zh-CN"/>
              </w:rPr>
              <w:t>160600.00</w:t>
            </w:r>
          </w:p>
        </w:tc>
        <w:tc>
          <w:tcPr>
            <w:tcW w:w="73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lang w:val="en-US" w:eastAsia="zh-CN"/>
              </w:rPr>
            </w:pPr>
            <w:r>
              <w:rPr>
                <w:rFonts w:hint="default" w:ascii="Times New Roman" w:hAnsi="Times New Roman" w:eastAsia="仿宋" w:cs="Times New Roman"/>
                <w:color w:val="auto"/>
                <w:kern w:val="0"/>
                <w:sz w:val="15"/>
                <w:szCs w:val="15"/>
                <w:lang w:val="en-US" w:eastAsia="zh-CN"/>
              </w:rPr>
              <w:t>0.00</w:t>
            </w:r>
          </w:p>
        </w:tc>
        <w:tc>
          <w:tcPr>
            <w:tcW w:w="911"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sz w:val="15"/>
                <w:szCs w:val="15"/>
                <w:lang w:val="en-US" w:eastAsia="zh-CN"/>
              </w:rPr>
              <w:t>589200.0</w:t>
            </w:r>
          </w:p>
        </w:tc>
        <w:tc>
          <w:tcPr>
            <w:tcW w:w="71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78.58%</w:t>
            </w:r>
          </w:p>
        </w:tc>
        <w:tc>
          <w:tcPr>
            <w:tcW w:w="66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160600.00</w:t>
            </w:r>
          </w:p>
        </w:tc>
        <w:tc>
          <w:tcPr>
            <w:tcW w:w="635" w:type="dxa"/>
            <w:vMerge w:val="continue"/>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c>
          <w:tcPr>
            <w:tcW w:w="634"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675" w:type="dxa"/>
            <w:vMerge w:val="continue"/>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val="0"/>
                <w:bCs w:val="0"/>
                <w:color w:val="auto"/>
                <w:kern w:val="0"/>
                <w:sz w:val="15"/>
                <w:szCs w:val="15"/>
                <w:lang w:val="en-US" w:eastAsia="zh-CN"/>
              </w:rPr>
            </w:pPr>
          </w:p>
        </w:tc>
        <w:tc>
          <w:tcPr>
            <w:tcW w:w="4830" w:type="dxa"/>
            <w:vAlign w:val="center"/>
          </w:tcPr>
          <w:p>
            <w:pPr>
              <w:keepNext w:val="0"/>
              <w:keepLines w:val="0"/>
              <w:widowControl/>
              <w:suppressLineNumbers w:val="0"/>
              <w:spacing w:line="240" w:lineRule="auto"/>
              <w:ind w:left="0" w:leftChars="0" w:right="0" w:rightChars="0"/>
              <w:jc w:val="both"/>
              <w:rPr>
                <w:rFonts w:hint="default" w:ascii="Times New Roman" w:hAnsi="Times New Roman" w:eastAsia="仿宋" w:cs="Times New Roman"/>
                <w:b w:val="0"/>
                <w:bCs w:val="0"/>
                <w:color w:val="auto"/>
                <w:kern w:val="0"/>
                <w:sz w:val="15"/>
                <w:szCs w:val="15"/>
                <w:lang w:val="en-US" w:eastAsia="zh-CN" w:bidi="ar"/>
              </w:rPr>
            </w:pPr>
            <w:r>
              <w:rPr>
                <w:rFonts w:hint="default" w:ascii="Times New Roman" w:hAnsi="Times New Roman" w:eastAsia="仿宋" w:cs="Times New Roman"/>
                <w:b w:val="0"/>
                <w:bCs w:val="0"/>
                <w:color w:val="auto"/>
                <w:kern w:val="0"/>
                <w:sz w:val="15"/>
                <w:szCs w:val="15"/>
                <w:lang w:val="en-US" w:eastAsia="zh-CN"/>
              </w:rPr>
              <w:t>针对农产品生产销售企业、电商企业、专业合作社、电商服务站、创业青年、基层党政干部等群体采取集中理论学习和外出培训等方式，重点围绕店铺装修、产品设计、详情页制作、农产品上行、直播技巧等开展实战能力提升培训，培训人数100人。</w:t>
            </w:r>
          </w:p>
        </w:tc>
        <w:tc>
          <w:tcPr>
            <w:tcW w:w="600" w:type="dxa"/>
            <w:vAlign w:val="center"/>
          </w:tcPr>
          <w:p>
            <w:pPr>
              <w:keepNext w:val="0"/>
              <w:keepLines w:val="0"/>
              <w:widowControl/>
              <w:suppressLineNumbers w:val="0"/>
              <w:spacing w:line="240" w:lineRule="auto"/>
              <w:ind w:left="0" w:leftChars="0" w:right="0" w:rightChars="0"/>
              <w:jc w:val="both"/>
              <w:rPr>
                <w:rFonts w:hint="default" w:ascii="Times New Roman" w:hAnsi="Times New Roman" w:eastAsia="仿宋" w:cs="Times New Roman"/>
                <w:b w:val="0"/>
                <w:bCs w:val="0"/>
                <w:color w:val="auto"/>
                <w:kern w:val="0"/>
                <w:sz w:val="15"/>
                <w:szCs w:val="15"/>
                <w:lang w:val="en-US" w:eastAsia="zh-CN" w:bidi="ar"/>
              </w:rPr>
            </w:pPr>
            <w:r>
              <w:rPr>
                <w:rFonts w:hint="default" w:ascii="Times New Roman" w:hAnsi="Times New Roman" w:eastAsia="仿宋" w:cs="Times New Roman"/>
                <w:b w:val="0"/>
                <w:bCs w:val="0"/>
                <w:color w:val="auto"/>
                <w:kern w:val="0"/>
                <w:sz w:val="15"/>
                <w:szCs w:val="15"/>
                <w:lang w:val="en-US" w:eastAsia="zh-CN"/>
              </w:rPr>
              <w:t>596000.00</w:t>
            </w:r>
          </w:p>
        </w:tc>
        <w:tc>
          <w:tcPr>
            <w:tcW w:w="72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sz w:val="15"/>
                <w:szCs w:val="15"/>
                <w:lang w:val="en-US" w:eastAsia="zh-CN" w:bidi="zh-CN"/>
              </w:rPr>
            </w:pPr>
            <w:r>
              <w:rPr>
                <w:rFonts w:hint="default" w:ascii="Times New Roman" w:hAnsi="Times New Roman" w:eastAsia="仿宋" w:cs="Times New Roman"/>
                <w:color w:val="auto"/>
                <w:sz w:val="15"/>
                <w:szCs w:val="15"/>
                <w:lang w:val="en-US" w:eastAsia="zh-CN"/>
              </w:rPr>
              <w:t>0</w:t>
            </w:r>
          </w:p>
        </w:tc>
        <w:tc>
          <w:tcPr>
            <w:tcW w:w="542"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p>
        </w:tc>
        <w:tc>
          <w:tcPr>
            <w:tcW w:w="365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组织彭阳县农产品生产销售企业、电商企业、专业合作社、电商服务站、创业青年、基层党政干部等群体108人次参加2022彭阳县直播电商训练营，邀请国家级电商实训专家汪银与吴中林进行为期7天的授课与直播带货大赛指导，所有参与学员及团队均在2小时内开单破零，取得良好的培训效果，实际参与培训合格人员80人。</w:t>
            </w:r>
          </w:p>
        </w:tc>
        <w:tc>
          <w:tcPr>
            <w:tcW w:w="72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sz w:val="15"/>
                <w:szCs w:val="15"/>
                <w:lang w:val="en-US" w:eastAsia="zh-CN"/>
              </w:rPr>
            </w:pPr>
            <w:r>
              <w:rPr>
                <w:rFonts w:hint="default" w:ascii="Times New Roman" w:hAnsi="Times New Roman" w:eastAsia="仿宋" w:cs="Times New Roman"/>
                <w:color w:val="auto"/>
                <w:sz w:val="15"/>
                <w:szCs w:val="15"/>
                <w:lang w:val="en-US" w:eastAsia="zh-CN"/>
              </w:rPr>
              <w:t>596000.00</w:t>
            </w:r>
          </w:p>
        </w:tc>
        <w:tc>
          <w:tcPr>
            <w:tcW w:w="739" w:type="dxa"/>
            <w:vAlign w:val="center"/>
          </w:tcPr>
          <w:p>
            <w:pPr>
              <w:keepNext w:val="0"/>
              <w:keepLines w:val="0"/>
              <w:widowControl/>
              <w:suppressLineNumbers w:val="0"/>
              <w:ind w:left="0" w:leftChars="0" w:right="0" w:rightChars="0"/>
              <w:jc w:val="both"/>
              <w:textAlignment w:val="center"/>
              <w:rPr>
                <w:rFonts w:hint="default" w:ascii="Times New Roman" w:hAnsi="Times New Roman" w:eastAsia="仿宋" w:cs="Times New Roman"/>
                <w:color w:val="000000"/>
                <w:kern w:val="0"/>
                <w:sz w:val="15"/>
                <w:szCs w:val="15"/>
                <w:lang w:val="en-US" w:eastAsia="zh-CN"/>
              </w:rPr>
            </w:pPr>
            <w:r>
              <w:rPr>
                <w:rFonts w:hint="default" w:ascii="Times New Roman" w:hAnsi="Times New Roman" w:eastAsia="宋体" w:cs="Times New Roman"/>
                <w:i w:val="0"/>
                <w:color w:val="000000"/>
                <w:kern w:val="0"/>
                <w:sz w:val="15"/>
                <w:szCs w:val="15"/>
                <w:u w:val="none"/>
                <w:lang w:val="en-US" w:eastAsia="zh-CN" w:bidi="ar"/>
              </w:rPr>
              <w:t>476800</w:t>
            </w:r>
            <w:r>
              <w:rPr>
                <w:rFonts w:hint="default" w:ascii="Times New Roman" w:hAnsi="Times New Roman" w:cs="Times New Roman"/>
                <w:i w:val="0"/>
                <w:color w:val="000000"/>
                <w:kern w:val="0"/>
                <w:sz w:val="15"/>
                <w:szCs w:val="15"/>
                <w:u w:val="none"/>
                <w:lang w:val="en-US" w:eastAsia="zh-CN" w:bidi="ar"/>
              </w:rPr>
              <w:t>.00</w:t>
            </w:r>
          </w:p>
        </w:tc>
        <w:tc>
          <w:tcPr>
            <w:tcW w:w="911" w:type="dxa"/>
            <w:vAlign w:val="center"/>
          </w:tcPr>
          <w:p>
            <w:pPr>
              <w:keepNext w:val="0"/>
              <w:keepLines w:val="0"/>
              <w:widowControl/>
              <w:suppressLineNumbers w:val="0"/>
              <w:ind w:left="0" w:leftChars="0" w:right="0" w:rightChars="0"/>
              <w:jc w:val="center"/>
              <w:textAlignment w:val="center"/>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宋体" w:cs="Times New Roman"/>
                <w:i w:val="0"/>
                <w:color w:val="000000"/>
                <w:kern w:val="0"/>
                <w:sz w:val="15"/>
                <w:szCs w:val="15"/>
                <w:u w:val="none"/>
                <w:lang w:val="en-US" w:eastAsia="zh-CN" w:bidi="ar"/>
              </w:rPr>
              <w:t>476800</w:t>
            </w:r>
            <w:r>
              <w:rPr>
                <w:rFonts w:hint="default" w:ascii="Times New Roman" w:hAnsi="Times New Roman" w:cs="Times New Roman"/>
                <w:i w:val="0"/>
                <w:color w:val="000000"/>
                <w:kern w:val="0"/>
                <w:sz w:val="15"/>
                <w:szCs w:val="15"/>
                <w:u w:val="none"/>
                <w:lang w:val="en-US" w:eastAsia="zh-CN" w:bidi="ar"/>
              </w:rPr>
              <w:t>.00</w:t>
            </w:r>
          </w:p>
        </w:tc>
        <w:tc>
          <w:tcPr>
            <w:tcW w:w="716" w:type="dxa"/>
            <w:vAlign w:val="center"/>
          </w:tcPr>
          <w:p>
            <w:pPr>
              <w:ind w:left="0" w:leftChars="0" w:right="0" w:rightChars="0"/>
              <w:jc w:val="both"/>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80%</w:t>
            </w:r>
          </w:p>
        </w:tc>
        <w:tc>
          <w:tcPr>
            <w:tcW w:w="669" w:type="dxa"/>
            <w:vAlign w:val="center"/>
          </w:tcPr>
          <w:p>
            <w:pPr>
              <w:keepNext w:val="0"/>
              <w:keepLines w:val="0"/>
              <w:widowControl/>
              <w:suppressLineNumbers w:val="0"/>
              <w:ind w:left="0" w:leftChars="0" w:right="0" w:rightChars="0"/>
              <w:jc w:val="both"/>
              <w:textAlignment w:val="center"/>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cs="Times New Roman"/>
                <w:i w:val="0"/>
                <w:color w:val="000000"/>
                <w:kern w:val="0"/>
                <w:sz w:val="15"/>
                <w:szCs w:val="15"/>
                <w:u w:val="none"/>
                <w:lang w:val="en-US" w:eastAsia="zh-CN" w:bidi="ar"/>
              </w:rPr>
              <w:t>119200.00</w:t>
            </w:r>
          </w:p>
        </w:tc>
        <w:tc>
          <w:tcPr>
            <w:tcW w:w="635" w:type="dxa"/>
            <w:vMerge w:val="continue"/>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c>
          <w:tcPr>
            <w:tcW w:w="634"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2" w:hRule="atLeast"/>
        </w:trPr>
        <w:tc>
          <w:tcPr>
            <w:tcW w:w="675" w:type="dxa"/>
            <w:vMerge w:val="continue"/>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val="0"/>
                <w:bCs w:val="0"/>
                <w:color w:val="auto"/>
                <w:kern w:val="0"/>
                <w:sz w:val="15"/>
                <w:szCs w:val="15"/>
                <w:lang w:val="en-US" w:eastAsia="zh-CN"/>
              </w:rPr>
            </w:pPr>
          </w:p>
        </w:tc>
        <w:tc>
          <w:tcPr>
            <w:tcW w:w="4830" w:type="dxa"/>
            <w:vAlign w:val="center"/>
          </w:tcPr>
          <w:p>
            <w:pPr>
              <w:keepNext w:val="0"/>
              <w:keepLines w:val="0"/>
              <w:widowControl/>
              <w:suppressLineNumbers w:val="0"/>
              <w:spacing w:line="240" w:lineRule="auto"/>
              <w:ind w:left="0" w:leftChars="0" w:right="0" w:rightChars="0"/>
              <w:jc w:val="both"/>
              <w:rPr>
                <w:rFonts w:hint="default" w:ascii="Times New Roman" w:hAnsi="Times New Roman" w:eastAsia="仿宋" w:cs="Times New Roman"/>
                <w:b w:val="0"/>
                <w:bCs w:val="0"/>
                <w:color w:val="auto"/>
                <w:kern w:val="0"/>
                <w:sz w:val="15"/>
                <w:szCs w:val="15"/>
                <w:lang w:val="en-US" w:eastAsia="zh-CN" w:bidi="ar"/>
              </w:rPr>
            </w:pPr>
            <w:r>
              <w:rPr>
                <w:rFonts w:hint="default" w:ascii="Times New Roman" w:hAnsi="Times New Roman" w:eastAsia="仿宋" w:cs="Times New Roman"/>
                <w:b w:val="0"/>
                <w:bCs w:val="0"/>
                <w:color w:val="auto"/>
                <w:kern w:val="0"/>
                <w:sz w:val="15"/>
                <w:szCs w:val="15"/>
                <w:lang w:val="en-US" w:eastAsia="zh-CN"/>
              </w:rPr>
              <w:t>除在各大网络平台开设店铺销售农产品外，重视抖音、快手、微商等自媒体流量销售优势，提高各电商经营主体网上销售能力，拓宽农产品销售渠道。对贫困户、劳务移民、个体工商户、基层党政干部计划完成中级培训370人。培训标准参照《彭阳县党政机关培训费管理办法》（彭财规发〔2018〕372号）执行。</w:t>
            </w:r>
          </w:p>
        </w:tc>
        <w:tc>
          <w:tcPr>
            <w:tcW w:w="600"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val="0"/>
                <w:bCs w:val="0"/>
                <w:color w:val="auto"/>
                <w:spacing w:val="0"/>
                <w:kern w:val="0"/>
                <w:sz w:val="15"/>
                <w:szCs w:val="15"/>
                <w:lang w:val="en-US" w:eastAsia="zh-CN" w:bidi="ar"/>
              </w:rPr>
            </w:pPr>
            <w:r>
              <w:rPr>
                <w:rFonts w:hint="default" w:ascii="Times New Roman" w:hAnsi="Times New Roman" w:eastAsia="仿宋" w:cs="Times New Roman"/>
                <w:b w:val="0"/>
                <w:bCs w:val="0"/>
                <w:color w:val="auto"/>
                <w:spacing w:val="0"/>
                <w:kern w:val="0"/>
                <w:sz w:val="15"/>
                <w:szCs w:val="15"/>
                <w:lang w:val="en-US" w:eastAsia="zh-CN"/>
              </w:rPr>
              <w:t>298000.00</w:t>
            </w:r>
          </w:p>
        </w:tc>
        <w:tc>
          <w:tcPr>
            <w:tcW w:w="72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sz w:val="15"/>
                <w:szCs w:val="15"/>
                <w:lang w:val="en-US" w:eastAsia="zh-CN" w:bidi="zh-CN"/>
              </w:rPr>
            </w:pPr>
            <w:r>
              <w:rPr>
                <w:rFonts w:hint="default" w:ascii="Times New Roman" w:hAnsi="Times New Roman" w:eastAsia="仿宋" w:cs="Times New Roman"/>
                <w:color w:val="auto"/>
                <w:sz w:val="15"/>
                <w:szCs w:val="15"/>
                <w:lang w:val="en-US" w:eastAsia="zh-CN"/>
              </w:rPr>
              <w:t>298000.0</w:t>
            </w:r>
          </w:p>
        </w:tc>
        <w:tc>
          <w:tcPr>
            <w:tcW w:w="542"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p>
        </w:tc>
        <w:tc>
          <w:tcPr>
            <w:tcW w:w="365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无</w:t>
            </w:r>
          </w:p>
        </w:tc>
        <w:tc>
          <w:tcPr>
            <w:tcW w:w="72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sz w:val="15"/>
                <w:szCs w:val="15"/>
                <w:lang w:val="en-US" w:eastAsia="zh-CN"/>
              </w:rPr>
            </w:pPr>
            <w:r>
              <w:rPr>
                <w:rFonts w:hint="default" w:ascii="Times New Roman" w:hAnsi="Times New Roman" w:eastAsia="仿宋" w:cs="Times New Roman"/>
                <w:color w:val="auto"/>
                <w:sz w:val="15"/>
                <w:szCs w:val="15"/>
                <w:lang w:val="en-US" w:eastAsia="zh-CN"/>
              </w:rPr>
              <w:t>0.00</w:t>
            </w:r>
          </w:p>
        </w:tc>
        <w:tc>
          <w:tcPr>
            <w:tcW w:w="73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lang w:val="en-US" w:eastAsia="zh-CN"/>
              </w:rPr>
            </w:pPr>
          </w:p>
        </w:tc>
        <w:tc>
          <w:tcPr>
            <w:tcW w:w="911"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p>
        </w:tc>
        <w:tc>
          <w:tcPr>
            <w:tcW w:w="71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100%</w:t>
            </w:r>
          </w:p>
        </w:tc>
        <w:tc>
          <w:tcPr>
            <w:tcW w:w="66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0.00</w:t>
            </w:r>
          </w:p>
        </w:tc>
        <w:tc>
          <w:tcPr>
            <w:tcW w:w="635" w:type="dxa"/>
            <w:vMerge w:val="continue"/>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c>
          <w:tcPr>
            <w:tcW w:w="634"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675" w:type="dxa"/>
            <w:vMerge w:val="continue"/>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val="0"/>
                <w:bCs w:val="0"/>
                <w:color w:val="auto"/>
                <w:kern w:val="0"/>
                <w:sz w:val="15"/>
                <w:szCs w:val="15"/>
                <w:lang w:val="en-US" w:eastAsia="zh-CN"/>
              </w:rPr>
            </w:pPr>
          </w:p>
        </w:tc>
        <w:tc>
          <w:tcPr>
            <w:tcW w:w="4830" w:type="dxa"/>
            <w:vAlign w:val="center"/>
          </w:tcPr>
          <w:p>
            <w:pPr>
              <w:keepNext w:val="0"/>
              <w:keepLines w:val="0"/>
              <w:widowControl/>
              <w:suppressLineNumbers w:val="0"/>
              <w:spacing w:line="240" w:lineRule="auto"/>
              <w:ind w:left="0" w:leftChars="0" w:right="0" w:rightChars="0"/>
              <w:jc w:val="both"/>
              <w:rPr>
                <w:rFonts w:hint="default" w:ascii="Times New Roman" w:hAnsi="Times New Roman" w:eastAsia="仿宋" w:cs="Times New Roman"/>
                <w:b w:val="0"/>
                <w:bCs w:val="0"/>
                <w:color w:val="auto"/>
                <w:kern w:val="0"/>
                <w:sz w:val="15"/>
                <w:szCs w:val="15"/>
                <w:lang w:val="en-US" w:eastAsia="zh-CN" w:bidi="ar"/>
              </w:rPr>
            </w:pPr>
            <w:r>
              <w:rPr>
                <w:rFonts w:hint="default" w:ascii="Times New Roman" w:hAnsi="Times New Roman" w:eastAsia="仿宋" w:cs="Times New Roman"/>
                <w:b w:val="0"/>
                <w:bCs w:val="0"/>
                <w:color w:val="auto"/>
                <w:kern w:val="0"/>
                <w:sz w:val="15"/>
                <w:szCs w:val="15"/>
                <w:lang w:val="en-US" w:eastAsia="zh-CN"/>
              </w:rPr>
              <w:t>在县级政务平台上开设网络公开培训课程，实现普及型公益性培训。</w:t>
            </w:r>
          </w:p>
        </w:tc>
        <w:tc>
          <w:tcPr>
            <w:tcW w:w="600"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bidi="zh-CN"/>
              </w:rPr>
            </w:pPr>
            <w:r>
              <w:rPr>
                <w:rFonts w:hint="default" w:ascii="Times New Roman" w:hAnsi="Times New Roman" w:eastAsia="仿宋" w:cs="Times New Roman"/>
                <w:color w:val="auto"/>
                <w:kern w:val="0"/>
                <w:sz w:val="15"/>
                <w:szCs w:val="15"/>
                <w:lang w:val="en-US" w:eastAsia="zh-CN"/>
              </w:rPr>
              <w:t>148000.00</w:t>
            </w:r>
          </w:p>
        </w:tc>
        <w:tc>
          <w:tcPr>
            <w:tcW w:w="72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bidi="zh-CN"/>
              </w:rPr>
            </w:pPr>
            <w:r>
              <w:rPr>
                <w:rFonts w:hint="default" w:ascii="Times New Roman" w:hAnsi="Times New Roman" w:eastAsia="仿宋" w:cs="Times New Roman"/>
                <w:color w:val="auto"/>
                <w:kern w:val="0"/>
                <w:sz w:val="15"/>
                <w:szCs w:val="15"/>
                <w:lang w:val="en-US" w:eastAsia="zh-CN"/>
              </w:rPr>
              <w:t>148000.0</w:t>
            </w:r>
          </w:p>
        </w:tc>
        <w:tc>
          <w:tcPr>
            <w:tcW w:w="542"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p>
        </w:tc>
        <w:tc>
          <w:tcPr>
            <w:tcW w:w="365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无</w:t>
            </w:r>
          </w:p>
        </w:tc>
        <w:tc>
          <w:tcPr>
            <w:tcW w:w="72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sz w:val="15"/>
                <w:szCs w:val="15"/>
                <w:lang w:val="en-US" w:eastAsia="zh-CN"/>
              </w:rPr>
            </w:pPr>
            <w:r>
              <w:rPr>
                <w:rFonts w:hint="default" w:ascii="Times New Roman" w:hAnsi="Times New Roman" w:eastAsia="仿宋" w:cs="Times New Roman"/>
                <w:color w:val="auto"/>
                <w:sz w:val="15"/>
                <w:szCs w:val="15"/>
                <w:lang w:val="en-US" w:eastAsia="zh-CN"/>
              </w:rPr>
              <w:t>0.00</w:t>
            </w:r>
          </w:p>
        </w:tc>
        <w:tc>
          <w:tcPr>
            <w:tcW w:w="73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lang w:val="en-US" w:eastAsia="zh-CN"/>
              </w:rPr>
            </w:pPr>
          </w:p>
        </w:tc>
        <w:tc>
          <w:tcPr>
            <w:tcW w:w="911"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p>
        </w:tc>
        <w:tc>
          <w:tcPr>
            <w:tcW w:w="71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100%</w:t>
            </w:r>
          </w:p>
        </w:tc>
        <w:tc>
          <w:tcPr>
            <w:tcW w:w="66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0.00</w:t>
            </w:r>
          </w:p>
        </w:tc>
        <w:tc>
          <w:tcPr>
            <w:tcW w:w="635" w:type="dxa"/>
            <w:vMerge w:val="continue"/>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c>
          <w:tcPr>
            <w:tcW w:w="634"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75"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b/>
                <w:bCs/>
                <w:kern w:val="0"/>
                <w:sz w:val="15"/>
                <w:szCs w:val="15"/>
                <w:lang w:val="en-US" w:eastAsia="zh-CN"/>
              </w:rPr>
            </w:pPr>
            <w:r>
              <w:rPr>
                <w:rFonts w:hint="default" w:ascii="Times New Roman" w:hAnsi="Times New Roman" w:eastAsia="仿宋" w:cs="Times New Roman"/>
                <w:b/>
                <w:bCs/>
                <w:color w:val="auto"/>
                <w:kern w:val="0"/>
                <w:sz w:val="15"/>
                <w:szCs w:val="15"/>
                <w:lang w:val="en-US" w:eastAsia="zh-CN"/>
              </w:rPr>
              <w:t>总计</w:t>
            </w:r>
          </w:p>
        </w:tc>
        <w:tc>
          <w:tcPr>
            <w:tcW w:w="4830" w:type="dxa"/>
            <w:vAlign w:val="center"/>
          </w:tcPr>
          <w:p>
            <w:pPr>
              <w:keepNext w:val="0"/>
              <w:keepLines w:val="0"/>
              <w:widowControl/>
              <w:suppressLineNumbers w:val="0"/>
              <w:spacing w:line="240" w:lineRule="auto"/>
              <w:ind w:left="0" w:leftChars="0" w:right="0" w:rightChars="0"/>
              <w:jc w:val="both"/>
              <w:rPr>
                <w:rFonts w:hint="default" w:ascii="Times New Roman" w:hAnsi="Times New Roman" w:eastAsia="仿宋" w:cs="Times New Roman"/>
                <w:b w:val="0"/>
                <w:bCs w:val="0"/>
                <w:color w:val="auto"/>
                <w:kern w:val="0"/>
                <w:sz w:val="15"/>
                <w:szCs w:val="15"/>
                <w:lang w:val="en-US" w:eastAsia="zh-CN"/>
              </w:rPr>
            </w:pPr>
          </w:p>
        </w:tc>
        <w:tc>
          <w:tcPr>
            <w:tcW w:w="600"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t>9802800.00</w:t>
            </w:r>
          </w:p>
        </w:tc>
        <w:tc>
          <w:tcPr>
            <w:tcW w:w="727"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r>
              <w:rPr>
                <w:rFonts w:hint="default" w:ascii="Times New Roman" w:hAnsi="Times New Roman" w:eastAsia="仿宋" w:cs="Times New Roman"/>
                <w:color w:val="auto"/>
                <w:kern w:val="0"/>
                <w:sz w:val="15"/>
                <w:szCs w:val="15"/>
                <w:lang w:val="en-US" w:eastAsia="zh-CN"/>
              </w:rPr>
              <w:fldChar w:fldCharType="begin"/>
            </w:r>
            <w:r>
              <w:rPr>
                <w:rFonts w:hint="default" w:ascii="Times New Roman" w:hAnsi="Times New Roman" w:eastAsia="仿宋" w:cs="Times New Roman"/>
                <w:color w:val="auto"/>
                <w:kern w:val="0"/>
                <w:sz w:val="15"/>
                <w:szCs w:val="15"/>
                <w:lang w:val="en-US" w:eastAsia="zh-CN"/>
              </w:rPr>
              <w:instrText xml:space="preserve"> = sum(D3:D16) \* MERGEFORMAT </w:instrText>
            </w:r>
            <w:r>
              <w:rPr>
                <w:rFonts w:hint="default" w:ascii="Times New Roman" w:hAnsi="Times New Roman" w:eastAsia="仿宋" w:cs="Times New Roman"/>
                <w:color w:val="auto"/>
                <w:kern w:val="0"/>
                <w:sz w:val="15"/>
                <w:szCs w:val="15"/>
                <w:lang w:val="en-US" w:eastAsia="zh-CN"/>
              </w:rPr>
              <w:fldChar w:fldCharType="separate"/>
            </w:r>
            <w:r>
              <w:rPr>
                <w:rFonts w:hint="default" w:ascii="Times New Roman" w:hAnsi="Times New Roman" w:eastAsia="仿宋" w:cs="Times New Roman"/>
                <w:color w:val="auto"/>
                <w:kern w:val="0"/>
                <w:sz w:val="15"/>
                <w:szCs w:val="15"/>
                <w:lang w:val="en-US" w:eastAsia="zh-CN"/>
              </w:rPr>
              <w:t>7468091.8</w:t>
            </w:r>
            <w:r>
              <w:rPr>
                <w:rFonts w:hint="default" w:ascii="Times New Roman" w:hAnsi="Times New Roman" w:eastAsia="仿宋" w:cs="Times New Roman"/>
                <w:color w:val="auto"/>
                <w:kern w:val="0"/>
                <w:sz w:val="15"/>
                <w:szCs w:val="15"/>
                <w:lang w:val="en-US" w:eastAsia="zh-CN"/>
              </w:rPr>
              <w:fldChar w:fldCharType="end"/>
            </w:r>
          </w:p>
        </w:tc>
        <w:tc>
          <w:tcPr>
            <w:tcW w:w="542"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p>
        </w:tc>
        <w:tc>
          <w:tcPr>
            <w:tcW w:w="3658"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kern w:val="0"/>
                <w:sz w:val="15"/>
                <w:szCs w:val="15"/>
                <w:lang w:val="en-US" w:eastAsia="zh-CN"/>
              </w:rPr>
            </w:pPr>
          </w:p>
        </w:tc>
        <w:tc>
          <w:tcPr>
            <w:tcW w:w="72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sz w:val="15"/>
                <w:szCs w:val="15"/>
                <w:lang w:val="en-US" w:eastAsia="zh-CN"/>
              </w:rPr>
            </w:pPr>
            <w:r>
              <w:rPr>
                <w:rFonts w:hint="default" w:ascii="Times New Roman" w:hAnsi="Times New Roman" w:eastAsia="仿宋" w:cs="Times New Roman"/>
                <w:color w:val="auto"/>
                <w:sz w:val="15"/>
                <w:szCs w:val="15"/>
                <w:lang w:val="en-US" w:eastAsia="zh-CN"/>
              </w:rPr>
              <w:fldChar w:fldCharType="begin"/>
            </w:r>
            <w:r>
              <w:rPr>
                <w:rFonts w:hint="default" w:ascii="Times New Roman" w:hAnsi="Times New Roman" w:eastAsia="仿宋" w:cs="Times New Roman"/>
                <w:color w:val="auto"/>
                <w:sz w:val="15"/>
                <w:szCs w:val="15"/>
                <w:lang w:val="en-US" w:eastAsia="zh-CN"/>
              </w:rPr>
              <w:instrText xml:space="preserve"> = sum(G3:G16) \* MERGEFORMAT </w:instrText>
            </w:r>
            <w:r>
              <w:rPr>
                <w:rFonts w:hint="default" w:ascii="Times New Roman" w:hAnsi="Times New Roman" w:eastAsia="仿宋" w:cs="Times New Roman"/>
                <w:color w:val="auto"/>
                <w:sz w:val="15"/>
                <w:szCs w:val="15"/>
                <w:lang w:val="en-US" w:eastAsia="zh-CN"/>
              </w:rPr>
              <w:fldChar w:fldCharType="separate"/>
            </w:r>
            <w:r>
              <w:rPr>
                <w:rFonts w:hint="default" w:ascii="Times New Roman" w:hAnsi="Times New Roman" w:eastAsia="仿宋" w:cs="Times New Roman"/>
                <w:color w:val="auto"/>
                <w:sz w:val="15"/>
                <w:szCs w:val="15"/>
                <w:lang w:val="en-US" w:eastAsia="zh-CN"/>
              </w:rPr>
              <w:t>2334708.2</w:t>
            </w:r>
            <w:r>
              <w:rPr>
                <w:rFonts w:hint="default" w:ascii="Times New Roman" w:hAnsi="Times New Roman" w:eastAsia="仿宋" w:cs="Times New Roman"/>
                <w:color w:val="auto"/>
                <w:sz w:val="15"/>
                <w:szCs w:val="15"/>
                <w:lang w:val="en-US" w:eastAsia="zh-CN"/>
              </w:rPr>
              <w:fldChar w:fldCharType="end"/>
            </w:r>
          </w:p>
        </w:tc>
        <w:tc>
          <w:tcPr>
            <w:tcW w:w="73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lang w:val="en-US" w:eastAsia="zh-CN"/>
              </w:rPr>
            </w:pPr>
            <w:r>
              <w:rPr>
                <w:rFonts w:hint="default" w:ascii="Times New Roman" w:hAnsi="Times New Roman" w:eastAsia="仿宋" w:cs="Times New Roman"/>
                <w:color w:val="auto"/>
                <w:kern w:val="0"/>
                <w:sz w:val="15"/>
                <w:szCs w:val="15"/>
                <w:lang w:val="en-US" w:eastAsia="zh-CN"/>
              </w:rPr>
              <w:t>2029908.2</w:t>
            </w:r>
          </w:p>
        </w:tc>
        <w:tc>
          <w:tcPr>
            <w:tcW w:w="911"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sz w:val="15"/>
                <w:szCs w:val="15"/>
                <w:highlight w:val="none"/>
                <w:lang w:val="en-US" w:eastAsia="zh-CN" w:bidi="zh-CN"/>
              </w:rPr>
            </w:pPr>
            <w:r>
              <w:rPr>
                <w:rFonts w:hint="default" w:ascii="Times New Roman" w:hAnsi="Times New Roman" w:eastAsia="仿宋" w:cs="Times New Roman"/>
                <w:color w:val="auto"/>
                <w:sz w:val="15"/>
                <w:szCs w:val="15"/>
                <w:highlight w:val="none"/>
                <w:lang w:val="en-US" w:eastAsia="zh-CN" w:bidi="zh-CN"/>
              </w:rPr>
              <w:t>9498000.00</w:t>
            </w:r>
          </w:p>
        </w:tc>
        <w:tc>
          <w:tcPr>
            <w:tcW w:w="716"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96.9%</w:t>
            </w:r>
          </w:p>
        </w:tc>
        <w:tc>
          <w:tcPr>
            <w:tcW w:w="669"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eastAsia="仿宋" w:cs="Times New Roman"/>
                <w:color w:val="000000"/>
                <w:kern w:val="0"/>
                <w:sz w:val="15"/>
                <w:szCs w:val="15"/>
                <w:highlight w:val="none"/>
                <w:lang w:val="en-US" w:eastAsia="zh-CN"/>
              </w:rPr>
            </w:pPr>
            <w:r>
              <w:rPr>
                <w:rFonts w:hint="default" w:ascii="Times New Roman" w:hAnsi="Times New Roman" w:eastAsia="仿宋" w:cs="Times New Roman"/>
                <w:color w:val="auto"/>
                <w:kern w:val="0"/>
                <w:sz w:val="15"/>
                <w:szCs w:val="15"/>
                <w:highlight w:val="none"/>
                <w:lang w:val="en-US" w:eastAsia="zh-CN"/>
              </w:rPr>
              <w:t>304800.00</w:t>
            </w:r>
          </w:p>
        </w:tc>
        <w:tc>
          <w:tcPr>
            <w:tcW w:w="635"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r>
              <w:rPr>
                <w:rFonts w:hint="default" w:ascii="Times New Roman" w:hAnsi="Times New Roman" w:eastAsia="仿宋" w:cs="Times New Roman"/>
                <w:color w:val="000000"/>
                <w:kern w:val="0"/>
                <w:sz w:val="15"/>
                <w:szCs w:val="15"/>
                <w:lang w:val="en-US" w:eastAsia="zh-CN"/>
              </w:rPr>
              <w:t>1354428.20</w:t>
            </w:r>
          </w:p>
        </w:tc>
        <w:tc>
          <w:tcPr>
            <w:tcW w:w="634" w:type="dxa"/>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仿宋" w:cs="Times New Roman"/>
                <w:color w:val="000000"/>
                <w:kern w:val="0"/>
                <w:sz w:val="15"/>
                <w:szCs w:val="15"/>
                <w:lang w:val="en-US" w:eastAsia="zh-CN"/>
              </w:rPr>
            </w:pPr>
          </w:p>
        </w:tc>
      </w:tr>
    </w:tbl>
    <w:p>
      <w:pPr>
        <w:keepNext w:val="0"/>
        <w:keepLines w:val="0"/>
        <w:pageBreakBefore w:val="0"/>
        <w:kinsoku/>
        <w:wordWrap/>
        <w:overflowPunct/>
        <w:topLinePunct w:val="0"/>
        <w:autoSpaceDE w:val="0"/>
        <w:autoSpaceDN w:val="0"/>
        <w:bidi w:val="0"/>
        <w:adjustRightInd/>
        <w:snapToGrid/>
        <w:spacing w:line="240" w:lineRule="exact"/>
        <w:textAlignment w:val="auto"/>
        <w:rPr>
          <w:rFonts w:hint="eastAsia" w:ascii="仿宋" w:hAnsi="仿宋" w:eastAsia="仿宋" w:cs="仿宋"/>
          <w:sz w:val="15"/>
          <w:szCs w:val="15"/>
        </w:rPr>
      </w:pPr>
    </w:p>
    <w:p>
      <w:pPr>
        <w:pStyle w:val="2"/>
        <w:rPr>
          <w:rFonts w:hint="eastAsia" w:ascii="仿宋" w:hAnsi="仿宋" w:eastAsia="仿宋" w:cs="仿宋"/>
          <w:sz w:val="15"/>
          <w:szCs w:val="15"/>
        </w:rPr>
      </w:pPr>
    </w:p>
    <w:sectPr>
      <w:footerReference r:id="rId3" w:type="default"/>
      <w:pgSz w:w="16838" w:h="11906" w:orient="landscape"/>
      <w:pgMar w:top="1213" w:right="1803" w:bottom="986" w:left="1803"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AR+Hmm4AQAAUAMAAA4AAAAAAAAAAQAgAAAAHwEAAGRycy9lMm9Eb2MueG1sUEsFBgAAAAAGAAYA&#10;WQEAAEkFAAAAAA==&#10;">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B7C34"/>
    <w:rsid w:val="04892FD8"/>
    <w:rsid w:val="04E32A0A"/>
    <w:rsid w:val="0B6C5343"/>
    <w:rsid w:val="129C45AB"/>
    <w:rsid w:val="1341542D"/>
    <w:rsid w:val="1BAD3F04"/>
    <w:rsid w:val="1E5C2E94"/>
    <w:rsid w:val="1E9C622E"/>
    <w:rsid w:val="2015338C"/>
    <w:rsid w:val="20191334"/>
    <w:rsid w:val="21425C55"/>
    <w:rsid w:val="26AD19B4"/>
    <w:rsid w:val="28984012"/>
    <w:rsid w:val="292F0982"/>
    <w:rsid w:val="2A700A49"/>
    <w:rsid w:val="2C363018"/>
    <w:rsid w:val="2CC25BAE"/>
    <w:rsid w:val="2EB51D28"/>
    <w:rsid w:val="39F71049"/>
    <w:rsid w:val="3D383660"/>
    <w:rsid w:val="3FFA1ACC"/>
    <w:rsid w:val="45BF10FB"/>
    <w:rsid w:val="47776F7A"/>
    <w:rsid w:val="4BB77242"/>
    <w:rsid w:val="4DC67775"/>
    <w:rsid w:val="4E724CEA"/>
    <w:rsid w:val="4F2A67B6"/>
    <w:rsid w:val="5274706E"/>
    <w:rsid w:val="562F6F66"/>
    <w:rsid w:val="566E223B"/>
    <w:rsid w:val="580F5FFF"/>
    <w:rsid w:val="59742E07"/>
    <w:rsid w:val="5BE00AC6"/>
    <w:rsid w:val="613022D8"/>
    <w:rsid w:val="61D82C77"/>
    <w:rsid w:val="67250052"/>
    <w:rsid w:val="6CBE56FD"/>
    <w:rsid w:val="6EC7275F"/>
    <w:rsid w:val="6FCE2AFF"/>
    <w:rsid w:val="74E32A7D"/>
    <w:rsid w:val="765D6962"/>
    <w:rsid w:val="78FC2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ind w:left="782"/>
      <w:outlineLvl w:val="1"/>
    </w:pPr>
    <w:rPr>
      <w:rFonts w:ascii="宋体" w:hAnsi="宋体" w:eastAsia="宋体" w:cs="宋体"/>
      <w:b/>
      <w:bCs/>
      <w:sz w:val="24"/>
      <w:szCs w:val="24"/>
      <w:lang w:val="zh-CN" w:eastAsia="zh-CN" w:bidi="zh-CN"/>
    </w:rPr>
  </w:style>
  <w:style w:type="character" w:default="1" w:styleId="6">
    <w:name w:val="Default Paragraph Font"/>
    <w:qFormat/>
    <w:uiPriority w:val="0"/>
  </w:style>
  <w:style w:type="table" w:default="1" w:styleId="5">
    <w:name w:val="Normal Table"/>
    <w:qFormat/>
    <w:uiPriority w:val="0"/>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TOC 标题1"/>
    <w:basedOn w:val="3"/>
    <w:next w:val="1"/>
    <w:qFormat/>
    <w:uiPriority w:val="39"/>
    <w:pPr>
      <w:spacing w:before="480" w:after="0" w:line="276" w:lineRule="auto"/>
      <w:outlineLvl w:val="9"/>
    </w:pPr>
    <w:rPr>
      <w:rFonts w:ascii="仿宋" w:hAnsi="仿宋" w:eastAsia="仿宋"/>
      <w:color w:val="000000"/>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3780</Words>
  <Characters>4405</Characters>
  <Paragraphs>176</Paragraphs>
  <TotalTime>5</TotalTime>
  <ScaleCrop>false</ScaleCrop>
  <LinksUpToDate>false</LinksUpToDate>
  <CharactersWithSpaces>4473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2021-06-01T00:06:00Z</dcterms:created>
  <dc:creator>七月七日晴</dc:creator>
  <cp:lastModifiedBy>彭阳县发展和改革局</cp:lastModifiedBy>
  <cp:lastPrinted>2021-12-13T07:27:00Z</cp:lastPrinted>
  <dcterms:modified xsi:type="dcterms:W3CDTF">2022-06-09T08:36:19Z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AD69E3CA29D7452C9D9997FD17888D75</vt:lpwstr>
  </property>
  <property fmtid="{D5CDD505-2E9C-101B-9397-08002B2CF9AE}" pid="4" name="KSOSaveFontToCloudKey">
    <vt:lpwstr>585741432_btnclosed</vt:lpwstr>
  </property>
</Properties>
</file>