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40"/>
          <w:tab w:val="left" w:pos="2240"/>
          <w:tab w:val="center" w:pos="7046"/>
        </w:tabs>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i w:val="0"/>
          <w:color w:val="000000"/>
          <w:kern w:val="0"/>
          <w:sz w:val="28"/>
          <w:szCs w:val="28"/>
          <w:u w:val="none"/>
          <w:lang w:val="en-US" w:eastAsia="zh-CN" w:bidi="ar"/>
        </w:rPr>
      </w:pPr>
      <w:r>
        <w:rPr>
          <w:rFonts w:hint="eastAsia" w:ascii="方正小标宋简体" w:hAnsi="方正小标宋简体" w:eastAsia="方正小标宋简体" w:cs="方正小标宋简体"/>
          <w:i w:val="0"/>
          <w:color w:val="000000"/>
          <w:kern w:val="0"/>
          <w:sz w:val="28"/>
          <w:szCs w:val="28"/>
          <w:u w:val="none"/>
          <w:lang w:val="en-US" w:eastAsia="zh-CN" w:bidi="ar"/>
        </w:rPr>
        <w:t>彭阳县2016年电子商务进农村综合示范项目</w:t>
      </w:r>
      <w:r>
        <w:rPr>
          <w:rFonts w:hint="eastAsia" w:ascii="方正小标宋简体" w:hAnsi="方正小标宋简体" w:eastAsia="方正小标宋简体" w:cs="方正小标宋简体"/>
          <w:b/>
          <w:bCs/>
          <w:spacing w:val="-20"/>
          <w:sz w:val="28"/>
          <w:szCs w:val="28"/>
          <w:lang w:val="en-US" w:eastAsia="zh-CN"/>
        </w:rPr>
        <w:t>—</w:t>
      </w:r>
      <w:r>
        <w:rPr>
          <w:rFonts w:hint="eastAsia" w:ascii="方正小标宋简体" w:hAnsi="方正小标宋简体" w:eastAsia="方正小标宋简体" w:cs="方正小标宋简体"/>
          <w:b w:val="0"/>
          <w:bCs w:val="0"/>
          <w:spacing w:val="-20"/>
          <w:sz w:val="28"/>
          <w:szCs w:val="28"/>
          <w:lang w:val="en-US" w:eastAsia="zh-CN"/>
        </w:rPr>
        <w:t>农产品质量“溯源体系建设”</w:t>
      </w:r>
      <w:r>
        <w:rPr>
          <w:rFonts w:hint="eastAsia" w:ascii="方正小标宋简体" w:hAnsi="方正小标宋简体" w:eastAsia="方正小标宋简体" w:cs="方正小标宋简体"/>
          <w:i w:val="0"/>
          <w:color w:val="000000"/>
          <w:kern w:val="0"/>
          <w:sz w:val="28"/>
          <w:szCs w:val="28"/>
          <w:u w:val="none"/>
          <w:lang w:val="en-US" w:eastAsia="zh-CN" w:bidi="ar"/>
        </w:rPr>
        <w:t>项目尾款支付统计表</w:t>
      </w:r>
    </w:p>
    <w:p>
      <w:pPr>
        <w:keepNext w:val="0"/>
        <w:keepLines w:val="0"/>
        <w:pageBreakBefore w:val="0"/>
        <w:widowControl w:val="0"/>
        <w:tabs>
          <w:tab w:val="left" w:pos="940"/>
          <w:tab w:val="left" w:pos="2240"/>
          <w:tab w:val="center" w:pos="7046"/>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承办企业：西安优软网络科技有限公司彭阳分公司                                                              </w:t>
      </w:r>
      <w:bookmarkStart w:id="0" w:name="_GoBack"/>
      <w:r>
        <w:rPr>
          <w:rFonts w:hint="default" w:ascii="Times New Roman" w:hAnsi="Times New Roman" w:eastAsia="仿宋_GB2312" w:cs="Times New Roman"/>
          <w:i w:val="0"/>
          <w:color w:val="000000"/>
          <w:kern w:val="0"/>
          <w:sz w:val="21"/>
          <w:szCs w:val="21"/>
          <w:u w:val="none"/>
          <w:lang w:val="en-US" w:eastAsia="zh-CN" w:bidi="ar"/>
        </w:rPr>
        <w:t xml:space="preserve">时间：2022年6月10日     </w:t>
      </w:r>
      <w:bookmarkEnd w:id="0"/>
      <w:r>
        <w:rPr>
          <w:rFonts w:hint="eastAsia" w:ascii="仿宋_GB2312" w:hAnsi="仿宋_GB2312" w:eastAsia="仿宋_GB2312" w:cs="仿宋_GB2312"/>
          <w:i w:val="0"/>
          <w:color w:val="000000"/>
          <w:kern w:val="0"/>
          <w:sz w:val="21"/>
          <w:szCs w:val="21"/>
          <w:u w:val="none"/>
          <w:lang w:val="en-US" w:eastAsia="zh-CN" w:bidi="ar"/>
        </w:rPr>
        <w:t xml:space="preserve">                          </w:t>
      </w:r>
    </w:p>
    <w:tbl>
      <w:tblPr>
        <w:tblStyle w:val="5"/>
        <w:tblW w:w="15786" w:type="dxa"/>
        <w:tblInd w:w="-867" w:type="dxa"/>
        <w:shd w:val="clear" w:color="auto" w:fill="auto"/>
        <w:tblLayout w:type="fixed"/>
        <w:tblCellMar>
          <w:top w:w="0" w:type="dxa"/>
          <w:left w:w="108" w:type="dxa"/>
          <w:bottom w:w="0" w:type="dxa"/>
          <w:right w:w="108" w:type="dxa"/>
        </w:tblCellMar>
      </w:tblPr>
      <w:tblGrid>
        <w:gridCol w:w="390"/>
        <w:gridCol w:w="437"/>
        <w:gridCol w:w="5538"/>
        <w:gridCol w:w="812"/>
        <w:gridCol w:w="3488"/>
        <w:gridCol w:w="837"/>
        <w:gridCol w:w="875"/>
        <w:gridCol w:w="850"/>
        <w:gridCol w:w="775"/>
        <w:gridCol w:w="841"/>
        <w:gridCol w:w="943"/>
      </w:tblGrid>
      <w:tr>
        <w:tblPrEx>
          <w:tblLayout w:type="fixed"/>
          <w:tblCellMar>
            <w:top w:w="0" w:type="dxa"/>
            <w:left w:w="108" w:type="dxa"/>
            <w:bottom w:w="0" w:type="dxa"/>
            <w:right w:w="108" w:type="dxa"/>
          </w:tblCellMar>
        </w:tblPrEx>
        <w:trPr>
          <w:cantSplit/>
          <w:trHeight w:val="312" w:hRule="atLeast"/>
          <w:tblHeader/>
        </w:trPr>
        <w:tc>
          <w:tcPr>
            <w:tcW w:w="390"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序号</w:t>
            </w:r>
          </w:p>
        </w:tc>
        <w:tc>
          <w:tcPr>
            <w:tcW w:w="437" w:type="dxa"/>
            <w:vMerge w:val="restart"/>
            <w:tcBorders>
              <w:top w:val="single" w:color="000000" w:sz="8" w:space="0"/>
              <w:left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kern w:val="0"/>
                <w:sz w:val="18"/>
                <w:szCs w:val="18"/>
                <w:u w:val="none"/>
                <w:lang w:val="en-US" w:eastAsia="zh-CN" w:bidi="ar"/>
              </w:rPr>
            </w:pPr>
            <w:r>
              <w:rPr>
                <w:rFonts w:hint="default" w:ascii="Times New Roman" w:hAnsi="Times New Roman" w:eastAsia="仿宋_GB2312" w:cs="Times New Roman"/>
                <w:b/>
                <w:bCs/>
                <w:i w:val="0"/>
                <w:iCs w:val="0"/>
                <w:color w:val="000000"/>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名称</w:t>
            </w:r>
          </w:p>
        </w:tc>
        <w:tc>
          <w:tcPr>
            <w:tcW w:w="6350"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bCs/>
                <w:kern w:val="0"/>
                <w:sz w:val="15"/>
                <w:szCs w:val="15"/>
                <w:lang w:eastAsia="zh-CN"/>
              </w:rPr>
            </w:pPr>
            <w:r>
              <w:rPr>
                <w:rFonts w:hint="default" w:ascii="Times New Roman" w:hAnsi="Times New Roman" w:cs="Times New Roman" w:eastAsiaTheme="minorEastAsia"/>
                <w:b/>
                <w:bCs/>
                <w:kern w:val="0"/>
                <w:sz w:val="15"/>
                <w:szCs w:val="15"/>
                <w:lang w:eastAsia="zh-CN"/>
              </w:rPr>
              <w:t>招标</w:t>
            </w:r>
            <w:r>
              <w:rPr>
                <w:rFonts w:hint="default" w:ascii="Times New Roman" w:hAnsi="Times New Roman" w:cs="Times New Roman" w:eastAsiaTheme="minorEastAsia"/>
                <w:b/>
                <w:bCs/>
                <w:kern w:val="0"/>
                <w:sz w:val="15"/>
                <w:szCs w:val="15"/>
              </w:rPr>
              <w:t>服务内容及</w:t>
            </w:r>
            <w:r>
              <w:rPr>
                <w:rFonts w:hint="default" w:ascii="Times New Roman" w:hAnsi="Times New Roman" w:cs="Times New Roman" w:eastAsiaTheme="minorEastAsia"/>
                <w:b/>
                <w:bCs/>
                <w:kern w:val="0"/>
                <w:sz w:val="15"/>
                <w:szCs w:val="15"/>
                <w:lang w:eastAsia="zh-CN"/>
              </w:rPr>
              <w:t>中标价（元）</w:t>
            </w:r>
          </w:p>
        </w:tc>
        <w:tc>
          <w:tcPr>
            <w:tcW w:w="4325" w:type="dxa"/>
            <w:gridSpan w:val="2"/>
            <w:tcBorders>
              <w:top w:val="single" w:color="auto" w:sz="4" w:space="0"/>
              <w:left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b/>
                <w:bCs/>
                <w:kern w:val="0"/>
                <w:sz w:val="15"/>
                <w:szCs w:val="15"/>
                <w:lang w:eastAsia="zh-CN"/>
              </w:rPr>
            </w:pPr>
            <w:r>
              <w:rPr>
                <w:rFonts w:hint="eastAsia" w:ascii="Times New Roman" w:hAnsi="Times New Roman" w:cs="Times New Roman"/>
                <w:b/>
                <w:bCs/>
                <w:kern w:val="0"/>
                <w:sz w:val="15"/>
                <w:szCs w:val="15"/>
                <w:lang w:eastAsia="zh-CN"/>
              </w:rPr>
              <w:t>实际实施</w:t>
            </w:r>
            <w:r>
              <w:rPr>
                <w:rFonts w:hint="default" w:ascii="Times New Roman" w:hAnsi="Times New Roman" w:cs="Times New Roman" w:eastAsiaTheme="minorEastAsia"/>
                <w:b/>
                <w:bCs/>
                <w:kern w:val="0"/>
                <w:sz w:val="15"/>
                <w:szCs w:val="15"/>
                <w:lang w:eastAsia="zh-CN"/>
              </w:rPr>
              <w:t>验收内容及金额（元）</w:t>
            </w:r>
          </w:p>
        </w:tc>
        <w:tc>
          <w:tcPr>
            <w:tcW w:w="1725" w:type="dxa"/>
            <w:gridSpan w:val="2"/>
            <w:tcBorders>
              <w:top w:val="single" w:color="000000" w:sz="8"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kern w:val="0"/>
                <w:sz w:val="18"/>
                <w:szCs w:val="18"/>
                <w:u w:val="none"/>
                <w:lang w:val="en-US" w:eastAsia="zh-CN" w:bidi="ar"/>
              </w:rPr>
            </w:pPr>
            <w:r>
              <w:rPr>
                <w:rFonts w:hint="eastAsia" w:ascii="Times New Roman" w:hAnsi="Times New Roman" w:cs="Times New Roman"/>
                <w:b/>
                <w:bCs/>
                <w:kern w:val="0"/>
                <w:sz w:val="15"/>
                <w:szCs w:val="15"/>
                <w:lang w:val="en-US" w:eastAsia="zh-CN"/>
              </w:rPr>
              <w:t>资金支付</w:t>
            </w:r>
            <w:r>
              <w:rPr>
                <w:rFonts w:hint="default" w:ascii="Times New Roman" w:hAnsi="Times New Roman" w:cs="Times New Roman" w:eastAsiaTheme="minorEastAsia"/>
                <w:b/>
                <w:bCs/>
                <w:kern w:val="0"/>
                <w:sz w:val="15"/>
                <w:szCs w:val="15"/>
                <w:lang w:val="en-US" w:eastAsia="zh-CN"/>
              </w:rPr>
              <w:t>进度</w:t>
            </w:r>
            <w:r>
              <w:rPr>
                <w:rFonts w:hint="default" w:ascii="Times New Roman" w:hAnsi="Times New Roman" w:cs="Times New Roman" w:eastAsiaTheme="minorEastAsia"/>
                <w:b/>
                <w:bCs/>
                <w:kern w:val="0"/>
                <w:sz w:val="15"/>
                <w:szCs w:val="15"/>
                <w:lang w:eastAsia="zh-CN"/>
              </w:rPr>
              <w:t>（元）</w:t>
            </w:r>
          </w:p>
        </w:tc>
        <w:tc>
          <w:tcPr>
            <w:tcW w:w="2559" w:type="dxa"/>
            <w:gridSpan w:val="3"/>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b/>
                <w:bCs/>
                <w:i w:val="0"/>
                <w:iCs w:val="0"/>
                <w:color w:val="000000"/>
                <w:kern w:val="0"/>
                <w:sz w:val="18"/>
                <w:szCs w:val="18"/>
                <w:u w:val="none"/>
                <w:lang w:val="en-US" w:eastAsia="zh-CN" w:bidi="ar"/>
              </w:rPr>
            </w:pPr>
            <w:r>
              <w:rPr>
                <w:rFonts w:hint="eastAsia" w:ascii="Times New Roman" w:hAnsi="Times New Roman" w:eastAsia="仿宋_GB2312" w:cs="Times New Roman"/>
                <w:b/>
                <w:bCs/>
                <w:i w:val="0"/>
                <w:iCs w:val="0"/>
                <w:color w:val="000000"/>
                <w:kern w:val="0"/>
                <w:sz w:val="18"/>
                <w:szCs w:val="18"/>
                <w:u w:val="none"/>
                <w:lang w:val="en-US" w:eastAsia="zh-CN" w:bidi="ar"/>
              </w:rPr>
              <w:t>本次拟支付金额（元）</w:t>
            </w:r>
          </w:p>
        </w:tc>
      </w:tr>
      <w:tr>
        <w:tblPrEx>
          <w:tblLayout w:type="fixed"/>
          <w:tblCellMar>
            <w:top w:w="0" w:type="dxa"/>
            <w:left w:w="108" w:type="dxa"/>
            <w:bottom w:w="0" w:type="dxa"/>
            <w:right w:w="108" w:type="dxa"/>
          </w:tblCellMar>
        </w:tblPrEx>
        <w:trPr>
          <w:cantSplit/>
          <w:trHeight w:val="596" w:hRule="atLeast"/>
          <w:tblHeader/>
        </w:trPr>
        <w:tc>
          <w:tcPr>
            <w:tcW w:w="390"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rPr>
            </w:pPr>
          </w:p>
        </w:tc>
        <w:tc>
          <w:tcPr>
            <w:tcW w:w="437"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rPr>
            </w:pPr>
          </w:p>
        </w:tc>
        <w:tc>
          <w:tcPr>
            <w:tcW w:w="5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lang w:eastAsia="zh-CN"/>
              </w:rPr>
            </w:pPr>
            <w:r>
              <w:rPr>
                <w:rFonts w:hint="default" w:ascii="Times New Roman" w:hAnsi="Times New Roman" w:eastAsia="仿宋_GB2312" w:cs="Times New Roman"/>
                <w:b/>
                <w:bCs/>
                <w:i w:val="0"/>
                <w:iCs w:val="0"/>
                <w:color w:val="000000"/>
                <w:sz w:val="18"/>
                <w:szCs w:val="18"/>
                <w:u w:val="none"/>
                <w:lang w:eastAsia="zh-CN"/>
              </w:rPr>
              <w:t>内容</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lang w:eastAsia="zh-CN"/>
              </w:rPr>
            </w:pPr>
            <w:r>
              <w:rPr>
                <w:rFonts w:hint="default" w:ascii="Times New Roman" w:hAnsi="Times New Roman" w:eastAsia="仿宋_GB2312" w:cs="Times New Roman"/>
                <w:b/>
                <w:bCs/>
                <w:i w:val="0"/>
                <w:iCs w:val="0"/>
                <w:color w:val="000000"/>
                <w:sz w:val="18"/>
                <w:szCs w:val="18"/>
                <w:u w:val="none"/>
                <w:lang w:eastAsia="zh-CN"/>
              </w:rPr>
              <w:t>中标价</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lang w:eastAsia="zh-CN"/>
              </w:rPr>
            </w:pPr>
            <w:r>
              <w:rPr>
                <w:rFonts w:hint="default" w:ascii="Times New Roman" w:hAnsi="Times New Roman" w:eastAsia="仿宋_GB2312" w:cs="Times New Roman"/>
                <w:b/>
                <w:bCs/>
                <w:i w:val="0"/>
                <w:iCs w:val="0"/>
                <w:color w:val="000000"/>
                <w:sz w:val="18"/>
                <w:szCs w:val="18"/>
                <w:u w:val="none"/>
                <w:lang w:eastAsia="zh-CN"/>
              </w:rPr>
              <w:t>内容</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cs="Times New Roman" w:eastAsiaTheme="minorEastAsia"/>
                <w:b/>
                <w:bCs/>
                <w:kern w:val="0"/>
                <w:sz w:val="15"/>
                <w:szCs w:val="15"/>
                <w:lang w:eastAsia="zh-CN"/>
              </w:rPr>
              <w:t>验收通过金额</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eastAsia" w:ascii="Times New Roman" w:hAnsi="Times New Roman" w:eastAsia="仿宋_GB2312" w:cs="Times New Roman"/>
                <w:b/>
                <w:bCs/>
                <w:sz w:val="18"/>
                <w:szCs w:val="18"/>
                <w:vertAlign w:val="baseline"/>
                <w:lang w:val="en-US" w:eastAsia="zh-CN"/>
              </w:rPr>
              <w:t>已支付</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b/>
                <w:bCs/>
                <w:i w:val="0"/>
                <w:iCs w:val="0"/>
                <w:color w:val="000000"/>
                <w:sz w:val="18"/>
                <w:szCs w:val="18"/>
                <w:u w:val="none"/>
                <w:lang w:val="en-US" w:eastAsia="zh-CN"/>
              </w:rPr>
            </w:pPr>
            <w:r>
              <w:rPr>
                <w:rFonts w:hint="eastAsia" w:ascii="Times New Roman" w:hAnsi="Times New Roman" w:eastAsia="仿宋_GB2312" w:cs="Times New Roman"/>
                <w:b/>
                <w:bCs/>
                <w:i w:val="0"/>
                <w:iCs w:val="0"/>
                <w:color w:val="000000"/>
                <w:sz w:val="18"/>
                <w:szCs w:val="18"/>
                <w:u w:val="none"/>
                <w:lang w:val="en-US" w:eastAsia="zh-CN"/>
              </w:rPr>
              <w:t>未支付</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b/>
                <w:bCs/>
                <w:i w:val="0"/>
                <w:iCs w:val="0"/>
                <w:color w:val="000000"/>
                <w:sz w:val="18"/>
                <w:szCs w:val="18"/>
                <w:u w:val="none"/>
                <w:lang w:eastAsia="zh-CN"/>
              </w:rPr>
            </w:pPr>
            <w:r>
              <w:rPr>
                <w:rFonts w:hint="eastAsia" w:ascii="Times New Roman" w:hAnsi="Times New Roman" w:eastAsia="仿宋_GB2312" w:cs="Times New Roman"/>
                <w:b/>
                <w:bCs/>
                <w:i w:val="0"/>
                <w:iCs w:val="0"/>
                <w:color w:val="000000"/>
                <w:sz w:val="18"/>
                <w:szCs w:val="18"/>
                <w:u w:val="none"/>
                <w:lang w:eastAsia="zh-CN"/>
              </w:rPr>
              <w:t>金额</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b/>
                <w:bCs/>
                <w:i w:val="0"/>
                <w:iCs w:val="0"/>
                <w:color w:val="000000"/>
                <w:sz w:val="18"/>
                <w:szCs w:val="18"/>
                <w:u w:val="none"/>
                <w:lang w:eastAsia="zh-CN"/>
              </w:rPr>
            </w:pPr>
            <w:r>
              <w:rPr>
                <w:rFonts w:hint="eastAsia" w:ascii="Times New Roman" w:hAnsi="Times New Roman" w:eastAsia="仿宋_GB2312" w:cs="Times New Roman"/>
                <w:b/>
                <w:bCs/>
                <w:i w:val="0"/>
                <w:iCs w:val="0"/>
                <w:color w:val="000000"/>
                <w:sz w:val="18"/>
                <w:szCs w:val="18"/>
                <w:u w:val="none"/>
                <w:lang w:eastAsia="zh-CN"/>
              </w:rPr>
              <w:t>总支付进度</w:t>
            </w:r>
          </w:p>
        </w:tc>
        <w:tc>
          <w:tcPr>
            <w:tcW w:w="943" w:type="dxa"/>
            <w:tcBorders>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Times New Roman"/>
                <w:b/>
                <w:bCs/>
                <w:i w:val="0"/>
                <w:iCs w:val="0"/>
                <w:color w:val="000000"/>
                <w:sz w:val="18"/>
                <w:szCs w:val="18"/>
                <w:u w:val="none"/>
                <w:lang w:eastAsia="zh-CN"/>
              </w:rPr>
            </w:pPr>
            <w:r>
              <w:rPr>
                <w:rFonts w:hint="eastAsia" w:ascii="Times New Roman" w:hAnsi="Times New Roman" w:eastAsia="仿宋_GB2312" w:cs="Times New Roman"/>
                <w:b/>
                <w:bCs/>
                <w:i w:val="0"/>
                <w:iCs w:val="0"/>
                <w:color w:val="000000"/>
                <w:sz w:val="18"/>
                <w:szCs w:val="18"/>
                <w:u w:val="none"/>
                <w:lang w:eastAsia="zh-CN"/>
              </w:rPr>
              <w:t>剩余未支付金额</w:t>
            </w:r>
          </w:p>
        </w:tc>
      </w:tr>
      <w:tr>
        <w:tblPrEx>
          <w:tblLayout w:type="fixed"/>
          <w:tblCellMar>
            <w:top w:w="0" w:type="dxa"/>
            <w:left w:w="108" w:type="dxa"/>
            <w:bottom w:w="0" w:type="dxa"/>
            <w:right w:w="108" w:type="dxa"/>
          </w:tblCellMar>
        </w:tblPrEx>
        <w:trPr>
          <w:trHeight w:val="915" w:hRule="atLeast"/>
        </w:trPr>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农产品质量追溯系统</w:t>
            </w:r>
          </w:p>
        </w:tc>
        <w:tc>
          <w:tcPr>
            <w:tcW w:w="5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企业管理模块：提供入驻企业的资质审核、认证资料上传、账号与权限的分配功能，并提供企业对生产基地、产品信息的管理，企业可以根据需要自行上传其他企业认证资料、荣誉证书、商城链接等:2、生产作业模块：提供企业对农副产品种植、生产过程管理及食品的加工、生产过程的管理，支持根据产品类型及不同的溯源需求进行溯源关键控制点的自定义标准化配置，提供核心关键控制点的溯源信息的录入：提供对产品溯套质量追溯系统源批次信息的查看与编辑:3、物流系统模块：提供对产品包装入库、产品发货出库、产品调货等物流操作功能，并可对库存数据进行台账查询:4、标签管理模块：提供入驻系统的企业根据需要申请产品溯源标签、标签分配、标签的产品定义、溯源批次信息关联、标签查询、标签分配统计等功能:5、防伪溯源模块：提供标签防伪溯源的查询与统计功能，并可对重复查询的数据进行记录，方便进行品牌被复制的查询。</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365000</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开发建成了彭阳县农产品质量追溯系统一套，实现企业管理模块、生产作业模块、物流系统模块、标签管理模块、防伪溯源模块等信息采集、录入、查询、跟踪、更新等功能。将溯源体统的操作方法教授于本地企业进行操作。</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cs="Times New Roman"/>
                <w:sz w:val="18"/>
                <w:szCs w:val="18"/>
                <w:lang w:val="en-US" w:eastAsia="zh-CN"/>
              </w:rPr>
              <w:t>365000</w:t>
            </w:r>
          </w:p>
        </w:tc>
        <w:tc>
          <w:tcPr>
            <w:tcW w:w="8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kern w:val="0"/>
                <w:sz w:val="18"/>
                <w:szCs w:val="18"/>
                <w:u w:val="none"/>
                <w:lang w:val="en-US" w:eastAsia="zh-CN" w:bidi="ar"/>
              </w:rPr>
              <w:t>先后4次支付阶段性进度款共计742710元</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49290元</w:t>
            </w:r>
          </w:p>
        </w:tc>
        <w:tc>
          <w:tcPr>
            <w:tcW w:w="7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49290</w:t>
            </w:r>
          </w:p>
        </w:tc>
        <w:tc>
          <w:tcPr>
            <w:tcW w:w="84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792000(100%)</w:t>
            </w:r>
          </w:p>
        </w:tc>
        <w:tc>
          <w:tcPr>
            <w:tcW w:w="94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0.</w:t>
            </w:r>
          </w:p>
        </w:tc>
      </w:tr>
      <w:tr>
        <w:tblPrEx>
          <w:tblLayout w:type="fixed"/>
          <w:tblCellMar>
            <w:top w:w="0" w:type="dxa"/>
            <w:left w:w="108" w:type="dxa"/>
            <w:bottom w:w="0" w:type="dxa"/>
            <w:right w:w="108" w:type="dxa"/>
          </w:tblCellMar>
        </w:tblPrEx>
        <w:trPr>
          <w:trHeight w:val="615" w:hRule="atLeast"/>
        </w:trPr>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溯源标识</w:t>
            </w:r>
          </w:p>
        </w:tc>
        <w:tc>
          <w:tcPr>
            <w:tcW w:w="5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标签尺寸寸:20m*30mm(左右)：材质：艾利不干胶纸材：综合个性化防伪技术搭配原则：标识生产印制加工须在正规工厂溯源标识枚进行加工。24小时*365天400电话查询：嵌入式官网查询，手机扫码查询等综合方式。</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100000</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设计印刷红梅杏、月子鸡、月子蛋、食用醋、杏脯、亚麻籽油等30余款产品溯源码100万枚，为企业进行录入溯源使用，可实现嵌入式官网和扫码追溯查询。</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100000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lang w:val="en-US" w:eastAsia="zh-CN"/>
              </w:rPr>
            </w:pPr>
          </w:p>
        </w:tc>
        <w:tc>
          <w:tcPr>
            <w:tcW w:w="85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lang w:val="en-US" w:eastAsia="zh-CN"/>
              </w:rPr>
            </w:pPr>
          </w:p>
        </w:tc>
        <w:tc>
          <w:tcPr>
            <w:tcW w:w="77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c>
          <w:tcPr>
            <w:tcW w:w="84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c>
          <w:tcPr>
            <w:tcW w:w="943"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tblPrEx>
          <w:tblLayout w:type="fixed"/>
          <w:tblCellMar>
            <w:top w:w="0" w:type="dxa"/>
            <w:left w:w="108" w:type="dxa"/>
            <w:bottom w:w="0" w:type="dxa"/>
            <w:right w:w="108" w:type="dxa"/>
          </w:tblCellMar>
        </w:tblPrEx>
        <w:trPr>
          <w:trHeight w:val="615" w:hRule="atLeast"/>
        </w:trPr>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溯源一体机</w:t>
            </w:r>
          </w:p>
        </w:tc>
        <w:tc>
          <w:tcPr>
            <w:tcW w:w="5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产品溯源身份码查询功能；2、企业介绍、品牌宣传、媒体报道、最新新闻等宣传展示:3、支持多媒体素材的任意组合播放；4、支持远程控制:5、支持U盘更新播放列表:6、支持WIFI或3G无线网络传输，提供智能多媒体触摸屏查询平台应用，采用多点红外触摸技术，触摸体验度好、系统响应快为产品提供溯源查询应用，支持无线WIFI、移动网络设备和有网络等主流网络应用模式，提供定制化L0G0和宣传形象设移动网络设备和有计，也可作为政府和企业提供视频图文宣传展示使用。</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84000</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购买两台溯源一体机，安装了溯源系统，录入15家企业信息，实现溯源码查询、企业信息查询、品牌宣传展示、支持多媒体素材播放、支持远程控制、支持U盘播放等功能。</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84000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lang w:val="en-US" w:eastAsia="zh-CN"/>
              </w:rPr>
            </w:pPr>
          </w:p>
        </w:tc>
        <w:tc>
          <w:tcPr>
            <w:tcW w:w="85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lang w:val="en-US" w:eastAsia="zh-CN"/>
              </w:rPr>
            </w:pPr>
          </w:p>
        </w:tc>
        <w:tc>
          <w:tcPr>
            <w:tcW w:w="77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c>
          <w:tcPr>
            <w:tcW w:w="84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c>
          <w:tcPr>
            <w:tcW w:w="943"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tblPrEx>
          <w:tblLayout w:type="fixed"/>
          <w:tblCellMar>
            <w:top w:w="0" w:type="dxa"/>
            <w:left w:w="108" w:type="dxa"/>
            <w:bottom w:w="0" w:type="dxa"/>
            <w:right w:w="108" w:type="dxa"/>
          </w:tblCellMar>
        </w:tblPrEx>
        <w:trPr>
          <w:trHeight w:val="615" w:hRule="atLeast"/>
        </w:trPr>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180" w:firstLineChars="10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售后服务</w:t>
            </w:r>
          </w:p>
        </w:tc>
        <w:tc>
          <w:tcPr>
            <w:tcW w:w="5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一）信息采集环节服务:1。原材料信息采集环节：播种环节(及购买活畜)环节：联系实力比较雄厚的农作物种养合作社，借助乡镇和村一级的政府职能部门力量，对农产品的种质环节做好监控；生长期：在微信公众号上向农户科普化肥、农药、饲料兽药的使用技术，并监控实际使用情况；收获期：关注农产品的后续处理质量，严禁添加任何化学药剂和添加剂，确保产品的纯天然环保特性，提供给消费者真实的美味，根据需要进入加工环节。2。生产加工信息采集环节：①采集企业基础资质信息：营业执照、食品生产许可证、清真食品准营证、工人健康证等；②跟踪企业生产流程：原材料入厂一清洗分拣(动物检疫)一切割加工(屠宰分割)一成品入库一储存信息一批次4售后服务化验报告一出厂及销售方向一网店直购。(二)培训服务:1。项种养户培训：由合作社进行组织种养大户，为农户在手机端安装APP，同时对他们进行电脑端、手机端信息录入培训。2。走访彭阳县所有的农产品加工企业，根据各企业的实际生产流程和质量要求，有针对性地设计质量溯源模块进行开发，开发完成后，派遣工作组入驻工厂，对各企业的质量安全和信息、电商工作人员进行信息录入培训。3。针对县内各农产品经销大户、标准化菜市场及大中型商超等商贸流通企业、各生产企业销售人员、电商工作人员，进行引导顾客扫描二维码查询溯源体系的使用培训。(三)导购服务:1。采集企业的电商销售信息，顾客扫描后可一键直达淘宝店(淘口令)、微店、京东、其他第三方网络销售平台等一键购买。针对日常亲友间的品尝分享场景尤其适用。2。采集企业的传统销售渠道信息，顾客扫码后即可浏览该商品所有的上架卖场。(四)跟踪督导服务:1。对于未及时更新溯源信息及信息批次数量不符的企业和合作社、个人，进行回访，帮助其完善信息。2。定期上传生产企业的批次质检报告，使消费者放心购买并食用。</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 w:cs="Times New Roman"/>
                <w:sz w:val="18"/>
                <w:szCs w:val="18"/>
                <w:vertAlign w:val="baseline"/>
                <w:lang w:val="en-US" w:eastAsia="zh-CN"/>
              </w:rPr>
              <w:t>243000</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对15家企业进行了信息采集，采包含营业执照、企业基本情况、包装、生产许可证、批次质检报告等；2.公众号发布科普内容农药使用、兽药、饲料等使用方式宣传15条；3.对企业与服务站人员进行溯源体系的培训使用，开展培训2场，培训人员49人；4.采集了15家企业线上线下销售渠道，并录入追溯系统，通过扫码可一键直达京东、淘宝、拼多多、832等平台进行购买，可扫码一键查询企业线下销售渠道信息；5.回访15家企业溯源使用情况，对指出不足的地方进行补足，定期采集更新上传企业信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cs="Times New Roman"/>
                <w:sz w:val="18"/>
                <w:szCs w:val="18"/>
                <w:vertAlign w:val="baseline"/>
                <w:lang w:val="en-US" w:eastAsia="zh-CN"/>
              </w:rPr>
              <w:t>243000</w:t>
            </w:r>
          </w:p>
        </w:tc>
        <w:tc>
          <w:tcPr>
            <w:tcW w:w="8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lang w:val="en-US" w:eastAsia="zh-CN"/>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lang w:val="en-US" w:eastAsia="zh-CN"/>
              </w:rPr>
            </w:pPr>
          </w:p>
        </w:tc>
        <w:tc>
          <w:tcPr>
            <w:tcW w:w="7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c>
          <w:tcPr>
            <w:tcW w:w="84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c>
          <w:tcPr>
            <w:tcW w:w="94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tblPrEx>
          <w:tblLayout w:type="fixed"/>
          <w:tblCellMar>
            <w:top w:w="0" w:type="dxa"/>
            <w:left w:w="108" w:type="dxa"/>
            <w:bottom w:w="0" w:type="dxa"/>
            <w:right w:w="108" w:type="dxa"/>
          </w:tblCellMar>
        </w:tblPrEx>
        <w:trPr>
          <w:trHeight w:val="451" w:hRule="atLeast"/>
        </w:trPr>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合计</w:t>
            </w:r>
          </w:p>
        </w:tc>
        <w:tc>
          <w:tcPr>
            <w:tcW w:w="5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792000</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sz w:val="18"/>
                <w:szCs w:val="18"/>
                <w:u w:val="none"/>
                <w:lang w:val="en-US" w:eastAsia="zh-CN"/>
              </w:rPr>
              <w:t>792000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kern w:val="0"/>
                <w:sz w:val="18"/>
                <w:szCs w:val="18"/>
                <w:u w:val="none"/>
                <w:lang w:val="en-US" w:eastAsia="zh-CN" w:bidi="ar"/>
              </w:rPr>
              <w:t>742710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49290</w:t>
            </w:r>
          </w:p>
        </w:tc>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49290</w:t>
            </w:r>
          </w:p>
        </w:tc>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792000(100%)</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0</w:t>
            </w:r>
          </w:p>
        </w:tc>
      </w:tr>
    </w:tbl>
    <w:p>
      <w:pPr>
        <w:keepNext w:val="0"/>
        <w:keepLines w:val="0"/>
        <w:pageBreakBefore w:val="0"/>
        <w:widowControl w:val="0"/>
        <w:tabs>
          <w:tab w:val="left" w:pos="940"/>
        </w:tabs>
        <w:kinsoku/>
        <w:wordWrap/>
        <w:overflowPunct/>
        <w:topLinePunct w:val="0"/>
        <w:autoSpaceDE/>
        <w:autoSpaceDN/>
        <w:bidi w:val="0"/>
        <w:adjustRightInd/>
        <w:snapToGrid/>
        <w:spacing w:line="240" w:lineRule="auto"/>
        <w:jc w:val="both"/>
        <w:textAlignment w:val="auto"/>
        <w:rPr>
          <w:rFonts w:hint="eastAsia" w:ascii="宋体" w:hAnsi="宋体" w:eastAsia="宋体" w:cs="宋体"/>
          <w:b/>
          <w:bCs/>
          <w:spacing w:val="-20"/>
          <w:sz w:val="44"/>
          <w:szCs w:val="44"/>
          <w:lang w:val="en-US" w:eastAsia="zh-CN"/>
        </w:rPr>
      </w:pPr>
    </w:p>
    <w:sectPr>
      <w:headerReference r:id="rId3" w:type="default"/>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149EF"/>
    <w:rsid w:val="01003CC7"/>
    <w:rsid w:val="0A200FFD"/>
    <w:rsid w:val="0B5F3A0C"/>
    <w:rsid w:val="0C2B2415"/>
    <w:rsid w:val="0CFC218E"/>
    <w:rsid w:val="0E1B606F"/>
    <w:rsid w:val="0FC362AB"/>
    <w:rsid w:val="11470933"/>
    <w:rsid w:val="157C5E05"/>
    <w:rsid w:val="1947014D"/>
    <w:rsid w:val="19BF3A05"/>
    <w:rsid w:val="1B226E7C"/>
    <w:rsid w:val="1C6D112C"/>
    <w:rsid w:val="1ED97B4B"/>
    <w:rsid w:val="20824FF2"/>
    <w:rsid w:val="20BB14A4"/>
    <w:rsid w:val="216F0C4B"/>
    <w:rsid w:val="24F95828"/>
    <w:rsid w:val="2774471F"/>
    <w:rsid w:val="27ED331F"/>
    <w:rsid w:val="293435D9"/>
    <w:rsid w:val="2FF641A7"/>
    <w:rsid w:val="3194784C"/>
    <w:rsid w:val="33B02C05"/>
    <w:rsid w:val="34A2289F"/>
    <w:rsid w:val="391438D0"/>
    <w:rsid w:val="39905930"/>
    <w:rsid w:val="3BD55FC7"/>
    <w:rsid w:val="3DDE5C10"/>
    <w:rsid w:val="42A46257"/>
    <w:rsid w:val="44AE221E"/>
    <w:rsid w:val="468C3B03"/>
    <w:rsid w:val="468F5111"/>
    <w:rsid w:val="47E149EF"/>
    <w:rsid w:val="48747E36"/>
    <w:rsid w:val="48C75968"/>
    <w:rsid w:val="4A5B754D"/>
    <w:rsid w:val="4AE53540"/>
    <w:rsid w:val="4E0C61D4"/>
    <w:rsid w:val="51433C5A"/>
    <w:rsid w:val="521E06A6"/>
    <w:rsid w:val="55002EE9"/>
    <w:rsid w:val="554E4F40"/>
    <w:rsid w:val="576014CF"/>
    <w:rsid w:val="5AC5608B"/>
    <w:rsid w:val="5CC627F0"/>
    <w:rsid w:val="5D903BD2"/>
    <w:rsid w:val="5D91611C"/>
    <w:rsid w:val="61747A6C"/>
    <w:rsid w:val="64044D98"/>
    <w:rsid w:val="66865861"/>
    <w:rsid w:val="688B6C57"/>
    <w:rsid w:val="6A674F39"/>
    <w:rsid w:val="6AB55B1C"/>
    <w:rsid w:val="6B65228D"/>
    <w:rsid w:val="6C13551E"/>
    <w:rsid w:val="6C6006FC"/>
    <w:rsid w:val="6D596752"/>
    <w:rsid w:val="702F7954"/>
    <w:rsid w:val="719F6162"/>
    <w:rsid w:val="72847645"/>
    <w:rsid w:val="75E76410"/>
    <w:rsid w:val="76DC0FAE"/>
    <w:rsid w:val="79682370"/>
    <w:rsid w:val="79FA4E24"/>
    <w:rsid w:val="7BF62A3A"/>
    <w:rsid w:val="7C497D3F"/>
    <w:rsid w:val="7D973E81"/>
    <w:rsid w:val="7DCC659E"/>
    <w:rsid w:val="7E542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2019-11-11T09:18:00Z</dcterms:created>
  <dc:creator>   清欢渡</dc:creator>
  <cp:lastModifiedBy>彭阳县发展和改革局</cp:lastModifiedBy>
  <cp:lastPrinted>2022-06-10T01:09:08Z</cp:lastPrinted>
  <dcterms:modified xsi:type="dcterms:W3CDTF">2022-06-10T01:09:49Z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7A615391CAB64F5693FD1770CB734F47</vt:lpwstr>
  </property>
</Properties>
</file>