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522210"/>
            <wp:effectExtent l="0" t="0" r="4445" b="2540"/>
            <wp:docPr id="2" name="图片 2" descr="自治区人民政府关于彭阳县2021年第二批次城镇建设用地的批复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自治区人民政府关于彭阳县2021年第二批次城镇建设用地的批复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522210"/>
            <wp:effectExtent l="0" t="0" r="4445" b="2540"/>
            <wp:docPr id="1" name="图片 1" descr="自治区人民政府关于彭阳县2021年第二批次城镇建设用地的批复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自治区人民政府关于彭阳县2021年第二批次城镇建设用地的批复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CF4CA3"/>
    <w:rsid w:val="1CCF4CA3"/>
    <w:rsid w:val="35E84521"/>
    <w:rsid w:val="3BC77BB5"/>
    <w:rsid w:val="45004A02"/>
    <w:rsid w:val="5ADC7B1B"/>
    <w:rsid w:val="7D84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2022-02-08T08:46:00Z</dcterms:created>
  <dc:creator>彭阳局信息员</dc:creator>
  <cp:lastModifiedBy>彭阳局信息员</cp:lastModifiedBy>
  <dcterms:modified xsi:type="dcterms:W3CDTF">2022-02-08T08:49:55Z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