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国标黑体" w:hAnsi="国标黑体" w:eastAsia="国标黑体" w:cs="国标黑体"/>
          <w:sz w:val="32"/>
          <w:szCs w:val="32"/>
          <w:lang w:val="en-US" w:eastAsia="zh-CN"/>
        </w:rPr>
      </w:pPr>
      <w:bookmarkStart w:id="3" w:name="_GoBack"/>
      <w:bookmarkEnd w:id="3"/>
      <w:r>
        <w:rPr>
          <w:rFonts w:hint="eastAsia" w:ascii="国标黑体" w:hAnsi="国标黑体" w:eastAsia="国标黑体" w:cs="国标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sz w:val="44"/>
          <w:szCs w:val="44"/>
          <w:lang w:val="en-US" w:eastAsia="zh-CN"/>
        </w:rPr>
        <w:t>彭阳县</w:t>
      </w:r>
      <w:r>
        <w:rPr>
          <w:rFonts w:hint="eastAsia" w:ascii="方正小标宋简体" w:hAnsi="方正小标宋简体" w:eastAsia="方正小标宋简体" w:cs="方正小标宋简体"/>
          <w:sz w:val="44"/>
          <w:szCs w:val="44"/>
        </w:rPr>
        <w:t>2025年度涉企行政检查计划清单</w:t>
      </w:r>
    </w:p>
    <w:tbl>
      <w:tblPr>
        <w:tblStyle w:val="9"/>
        <w:tblW w:w="14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113"/>
        <w:gridCol w:w="2355"/>
        <w:gridCol w:w="2885"/>
        <w:gridCol w:w="1255"/>
        <w:gridCol w:w="1416"/>
        <w:gridCol w:w="3024"/>
        <w:gridCol w:w="13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2" w:hRule="atLeast"/>
        </w:trPr>
        <w:tc>
          <w:tcPr>
            <w:tcW w:w="5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序号</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行政检查主体</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检查事项</w:t>
            </w:r>
          </w:p>
        </w:tc>
        <w:tc>
          <w:tcPr>
            <w:tcW w:w="28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检查依据</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检查对象范围</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检查比例</w:t>
            </w:r>
          </w:p>
        </w:tc>
        <w:tc>
          <w:tcPr>
            <w:tcW w:w="302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检查频次</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检查时间</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bCs/>
                <w:color w:val="auto"/>
                <w:sz w:val="24"/>
                <w:szCs w:val="24"/>
                <w:u w:val="none"/>
                <w:vertAlign w:val="baseline"/>
                <w:lang w:val="en-US" w:eastAsia="zh-CN"/>
              </w:rPr>
            </w:pPr>
            <w:r>
              <w:rPr>
                <w:rFonts w:hint="eastAsia" w:ascii="仿宋" w:hAnsi="仿宋" w:eastAsia="仿宋" w:cs="仿宋"/>
                <w:b/>
                <w:bCs/>
                <w:color w:val="auto"/>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5" w:hRule="atLeast"/>
        </w:trPr>
        <w:tc>
          <w:tcPr>
            <w:tcW w:w="580"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 w:cs="Times New Roman"/>
                <w:b w:val="0"/>
                <w:bCs w:val="0"/>
                <w:sz w:val="15"/>
                <w:szCs w:val="15"/>
                <w:u w:val="none"/>
                <w:vertAlign w:val="baseline"/>
                <w:lang w:val="en-US" w:eastAsia="zh-CN"/>
              </w:rPr>
            </w:pPr>
            <w:r>
              <w:rPr>
                <w:rFonts w:hint="default" w:ascii="Times New Roman" w:hAnsi="Times New Roman" w:eastAsia="仿宋" w:cs="Times New Roman"/>
                <w:sz w:val="24"/>
                <w:szCs w:val="24"/>
                <w:u w:val="none"/>
                <w:lang w:val="en-US" w:eastAsia="zh-CN"/>
              </w:rPr>
              <w:t>1</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sz w:val="24"/>
                <w:szCs w:val="24"/>
                <w:u w:val="none"/>
                <w:lang w:val="en-US" w:eastAsia="zh-CN"/>
              </w:rPr>
              <w:t>彭阳县应急管理局</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b w:val="0"/>
                <w:bCs w:val="0"/>
                <w:sz w:val="24"/>
                <w:szCs w:val="24"/>
                <w:u w:val="none"/>
                <w:vertAlign w:val="baseline"/>
                <w:lang w:val="en-US" w:eastAsia="zh-CN"/>
              </w:rPr>
            </w:pPr>
            <w:r>
              <w:rPr>
                <w:rFonts w:hint="default" w:ascii="Times New Roman" w:hAnsi="Times New Roman" w:eastAsia="仿宋" w:cs="Times New Roman"/>
                <w:i w:val="0"/>
                <w:color w:val="000000"/>
                <w:kern w:val="0"/>
                <w:sz w:val="24"/>
                <w:szCs w:val="24"/>
                <w:highlight w:val="none"/>
                <w:u w:val="none"/>
                <w:lang w:val="en-US" w:eastAsia="zh-CN" w:bidi="ar"/>
              </w:rPr>
              <w:t>对生产经营单位执行有关安全生产的法律、法规和国家标准或者行业标准情况、事故隐患排查治理情况、安全培训及其持证上岗的情况进行监督检查</w:t>
            </w:r>
          </w:p>
        </w:tc>
        <w:tc>
          <w:tcPr>
            <w:tcW w:w="28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w:t>
            </w:r>
            <w:bookmarkStart w:id="0" w:name="OLE_LINK21"/>
            <w:r>
              <w:rPr>
                <w:rFonts w:hint="default" w:ascii="Times New Roman" w:hAnsi="Times New Roman" w:eastAsia="仿宋" w:cs="Times New Roman"/>
                <w:i w:val="0"/>
                <w:color w:val="000000"/>
                <w:kern w:val="0"/>
                <w:sz w:val="24"/>
                <w:szCs w:val="24"/>
                <w:highlight w:val="none"/>
                <w:u w:val="none"/>
                <w:lang w:val="en-US" w:eastAsia="zh-CN" w:bidi="ar"/>
              </w:rPr>
              <w:t>中华人民共和国安全生产法</w:t>
            </w:r>
            <w:bookmarkEnd w:id="0"/>
            <w:r>
              <w:rPr>
                <w:rFonts w:hint="default" w:ascii="Times New Roman" w:hAnsi="Times New Roman" w:eastAsia="仿宋" w:cs="Times New Roman"/>
                <w:i w:val="0"/>
                <w:color w:val="000000"/>
                <w:kern w:val="0"/>
                <w:sz w:val="24"/>
                <w:szCs w:val="24"/>
                <w:highlight w:val="none"/>
                <w:u w:val="none"/>
                <w:lang w:val="en-US" w:eastAsia="zh-CN" w:bidi="ar"/>
              </w:rPr>
              <w:t>》《危险化学品安全管理条例》《</w:t>
            </w:r>
            <w:bookmarkStart w:id="1" w:name="OLE_LINK22"/>
            <w:r>
              <w:rPr>
                <w:rFonts w:hint="default" w:ascii="Times New Roman" w:hAnsi="Times New Roman" w:eastAsia="仿宋" w:cs="Times New Roman"/>
                <w:i w:val="0"/>
                <w:color w:val="000000"/>
                <w:kern w:val="0"/>
                <w:sz w:val="24"/>
                <w:szCs w:val="24"/>
                <w:highlight w:val="none"/>
                <w:u w:val="none"/>
                <w:lang w:val="en-US" w:eastAsia="zh-CN" w:bidi="ar"/>
              </w:rPr>
              <w:t>安全生产事故隐患排查治理暂行规定</w:t>
            </w:r>
            <w:bookmarkEnd w:id="1"/>
            <w:r>
              <w:rPr>
                <w:rFonts w:hint="default" w:ascii="Times New Roman" w:hAnsi="Times New Roman" w:eastAsia="仿宋" w:cs="Times New Roman"/>
                <w:i w:val="0"/>
                <w:color w:val="000000"/>
                <w:kern w:val="0"/>
                <w:sz w:val="24"/>
                <w:szCs w:val="24"/>
                <w:highlight w:val="none"/>
                <w:u w:val="none"/>
                <w:lang w:val="en-US" w:eastAsia="zh-CN" w:bidi="ar"/>
              </w:rPr>
              <w:t>》《</w:t>
            </w:r>
            <w:bookmarkStart w:id="2" w:name="OLE_LINK23"/>
            <w:r>
              <w:rPr>
                <w:rFonts w:hint="default" w:ascii="Times New Roman" w:hAnsi="Times New Roman" w:eastAsia="仿宋" w:cs="Times New Roman"/>
                <w:i w:val="0"/>
                <w:color w:val="000000"/>
                <w:kern w:val="0"/>
                <w:sz w:val="24"/>
                <w:szCs w:val="24"/>
                <w:highlight w:val="none"/>
                <w:u w:val="none"/>
                <w:lang w:val="en-US" w:eastAsia="zh-CN" w:bidi="ar"/>
              </w:rPr>
              <w:t>生产经营单位安全培训规定</w:t>
            </w:r>
            <w:bookmarkEnd w:id="2"/>
            <w:r>
              <w:rPr>
                <w:rFonts w:hint="default" w:ascii="Times New Roman" w:hAnsi="Times New Roman" w:eastAsia="仿宋" w:cs="Times New Roman"/>
                <w:i w:val="0"/>
                <w:color w:val="000000"/>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b w:val="0"/>
                <w:bCs w:val="0"/>
                <w:sz w:val="24"/>
                <w:szCs w:val="24"/>
                <w:u w:val="none"/>
                <w:vertAlign w:val="baseline"/>
                <w:lang w:val="en-US" w:eastAsia="zh-CN"/>
              </w:rPr>
            </w:pP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b w:val="0"/>
                <w:bCs w:val="0"/>
                <w:sz w:val="24"/>
                <w:szCs w:val="24"/>
                <w:u w:val="none"/>
                <w:vertAlign w:val="baseline"/>
                <w:lang w:val="en-US" w:eastAsia="zh-CN"/>
              </w:rPr>
              <w:t>全县危险化学品企业、加油站</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b w:val="0"/>
                <w:bCs w:val="0"/>
                <w:snapToGrid/>
                <w:color w:val="000000"/>
                <w:spacing w:val="0"/>
                <w:kern w:val="0"/>
                <w:sz w:val="24"/>
                <w:szCs w:val="24"/>
                <w:lang w:val="en-US" w:eastAsia="zh-CN" w:bidi="ar"/>
              </w:rPr>
              <w:t>按照我局执法计划重点检查的企业检查，比例100%。</w:t>
            </w:r>
          </w:p>
        </w:tc>
        <w:tc>
          <w:tcPr>
            <w:tcW w:w="3024"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auto"/>
                <w:kern w:val="0"/>
                <w:sz w:val="15"/>
                <w:szCs w:val="15"/>
                <w:u w:val="none"/>
                <w:lang w:val="en-US" w:eastAsia="zh-CN" w:bidi="ar"/>
              </w:rPr>
            </w:pPr>
            <w:r>
              <w:rPr>
                <w:rFonts w:hint="default" w:ascii="Times New Roman" w:hAnsi="Times New Roman" w:eastAsia="仿宋" w:cs="Times New Roman"/>
                <w:b w:val="0"/>
                <w:bCs w:val="0"/>
                <w:snapToGrid/>
                <w:color w:val="000000"/>
                <w:spacing w:val="0"/>
                <w:kern w:val="0"/>
                <w:sz w:val="24"/>
                <w:szCs w:val="24"/>
                <w:lang w:val="en-US" w:eastAsia="zh-CN" w:bidi="ar"/>
              </w:rPr>
              <w:t>对高危行业领域安全生产标准化一级企业年度内累计执法检查不超过2次，标准化二级企业累计不超过4次，标准化三级企业累计不超过8次，未进行标准化定级的企业年度内累计执法检查不超过12次。执法检查不超过1次，标准化二级企业累计不超过2次，标准化三级企业累计不超过4次，未进行标准化定级的企业年度内累计执法检查不超过6次。</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auto"/>
                <w:kern w:val="0"/>
                <w:sz w:val="15"/>
                <w:szCs w:val="15"/>
                <w:u w:val="none"/>
                <w:lang w:val="en-US" w:eastAsia="zh-CN" w:bidi="ar"/>
              </w:rPr>
            </w:pPr>
            <w:r>
              <w:rPr>
                <w:rFonts w:hint="default" w:ascii="Times New Roman" w:hAnsi="Times New Roman" w:eastAsia="仿宋" w:cs="Times New Roman"/>
                <w:b w:val="0"/>
                <w:bCs w:val="0"/>
                <w:snapToGrid/>
                <w:color w:val="000000"/>
                <w:spacing w:val="0"/>
                <w:kern w:val="0"/>
                <w:sz w:val="24"/>
                <w:szCs w:val="24"/>
                <w:lang w:val="en-US" w:eastAsia="zh-CN" w:bidi="ar"/>
              </w:rPr>
              <w:t>2025年1月份到12月份</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 w:cs="Times New Roman"/>
                <w:sz w:val="15"/>
                <w:szCs w:val="15"/>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58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2</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彭阳县应急管理局</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对生产经营单位执行有关安全生产的法律、法规和国家标准或者行业标准情况、事故隐患排查治理情况、安全培训及其持证上岗的情况进行监督检查</w:t>
            </w:r>
          </w:p>
        </w:tc>
        <w:tc>
          <w:tcPr>
            <w:tcW w:w="288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《烟花爆竹生产经营单位重大事故隐患判定标准》《烟花爆竹安全管理条例》</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对烟花爆竹（零售）店的安全生产进行监督检查</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按照我局执法计划重点检查的企业检查，比例100%。</w:t>
            </w:r>
          </w:p>
        </w:tc>
        <w:tc>
          <w:tcPr>
            <w:tcW w:w="302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2次/一年</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2025年1月份到12月份</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58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3</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彭阳县应急管理局</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对生产经营单位执行有关安全生产的法律、法规和国家标准或者行业标准情况、事故隐患排查治理情况、安全培训及其持证上岗的情况进行监督检查</w:t>
            </w:r>
          </w:p>
        </w:tc>
        <w:tc>
          <w:tcPr>
            <w:tcW w:w="28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_GB2312" w:cs="Times New Roman"/>
                <w:sz w:val="24"/>
                <w:szCs w:val="24"/>
                <w:vertAlign w:val="baseline"/>
                <w:lang w:val="en-US" w:eastAsia="zh-CN"/>
              </w:rPr>
              <w:t>《中华人民共和国安全生产法》《宁夏回族自治区安全生产条例》《工贸企业重大事故隐患判定标准》《特种设备事故隐患分类分级》</w:t>
            </w:r>
            <w:r>
              <w:rPr>
                <w:rFonts w:hint="default" w:ascii="Times New Roman" w:hAnsi="Times New Roman" w:eastAsia="仿宋" w:cs="Times New Roman"/>
                <w:i w:val="0"/>
                <w:color w:val="000000"/>
                <w:kern w:val="0"/>
                <w:sz w:val="24"/>
                <w:szCs w:val="24"/>
                <w:highlight w:val="none"/>
                <w:u w:val="none"/>
                <w:lang w:val="en-US" w:eastAsia="zh-CN" w:bidi="ar"/>
              </w:rPr>
              <w:t>《生产经营单位安全培训规定》</w:t>
            </w:r>
            <w:r>
              <w:rPr>
                <w:rFonts w:hint="default" w:ascii="Times New Roman" w:hAnsi="Times New Roman" w:eastAsia="仿宋_GB2312" w:cs="Times New Roman"/>
                <w:sz w:val="24"/>
                <w:szCs w:val="24"/>
                <w:vertAlign w:val="baseline"/>
                <w:lang w:val="en-US" w:eastAsia="zh-CN"/>
              </w:rPr>
              <w:t>《重大火灾隐患判定方法》</w:t>
            </w:r>
            <w:r>
              <w:rPr>
                <w:rFonts w:hint="default" w:ascii="Times New Roman" w:hAnsi="Times New Roman" w:eastAsia="仿宋_GB2312" w:cs="Times New Roman"/>
                <w:sz w:val="24"/>
              </w:rPr>
              <w:t>（GB</w:t>
            </w:r>
            <w:r>
              <w:rPr>
                <w:rFonts w:hint="default" w:ascii="Times New Roman" w:hAnsi="Times New Roman" w:eastAsia="仿宋_GB2312" w:cs="Times New Roman"/>
                <w:spacing w:val="58"/>
                <w:sz w:val="24"/>
              </w:rPr>
              <w:t xml:space="preserve"> </w:t>
            </w:r>
            <w:r>
              <w:rPr>
                <w:rFonts w:hint="default" w:ascii="Times New Roman" w:hAnsi="Times New Roman" w:eastAsia="仿宋_GB2312" w:cs="Times New Roman"/>
                <w:sz w:val="24"/>
              </w:rPr>
              <w:t>35181-</w:t>
            </w:r>
            <w:r>
              <w:rPr>
                <w:rFonts w:hint="default" w:ascii="Times New Roman" w:hAnsi="Times New Roman" w:eastAsia="仿宋_GB2312" w:cs="Times New Roman"/>
                <w:spacing w:val="-2"/>
                <w:sz w:val="24"/>
              </w:rPr>
              <w:t>2017）</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对建材等工贸企业的安全生产进行监督检查</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按照我局执法计划重点检查的企业检查，比例100%。</w:t>
            </w:r>
          </w:p>
        </w:tc>
        <w:tc>
          <w:tcPr>
            <w:tcW w:w="302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对高危行业领域安全生产标准化一级企业年度内累计执法检查不超过2次，标准化二级企业累计不超过4次，标准化三级企业累计不超过8次，未进行标准化定级的企业年度内累计执法检查不超过12次。执法检查不超过1次，标准化二级企业累计不超过2次，标准化三级企业累计不超过4次，未进行标准化定级的企业年度内累计执法检查不超过6次。</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2025年1月份到12月份</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 w:cs="Times New Roman"/>
                <w:i w:val="0"/>
                <w:color w:val="000000"/>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 w:hAnsi="仿宋" w:eastAsia="仿宋" w:cs="仿宋"/>
          <w:i w:val="0"/>
          <w:color w:val="000000"/>
          <w:kern w:val="0"/>
          <w:sz w:val="24"/>
          <w:szCs w:val="24"/>
          <w:highlight w:val="none"/>
          <w:u w:val="none"/>
          <w:lang w:val="en-US" w:eastAsia="zh-CN" w:bidi="ar"/>
        </w:rPr>
      </w:pPr>
    </w:p>
    <w:sectPr>
      <w:headerReference r:id="rId3" w:type="default"/>
      <w:footerReference r:id="rId4" w:type="default"/>
      <w:pgSz w:w="16838" w:h="11906" w:orient="landscape"/>
      <w:pgMar w:top="1803" w:right="1157" w:bottom="1803" w:left="1157"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64D0A"/>
    <w:rsid w:val="02201357"/>
    <w:rsid w:val="04C61DE8"/>
    <w:rsid w:val="04D4178F"/>
    <w:rsid w:val="054E529C"/>
    <w:rsid w:val="0606759D"/>
    <w:rsid w:val="09CD1D6E"/>
    <w:rsid w:val="0B6570E8"/>
    <w:rsid w:val="0E63560C"/>
    <w:rsid w:val="0EB474E7"/>
    <w:rsid w:val="13E30537"/>
    <w:rsid w:val="156309CB"/>
    <w:rsid w:val="1A687CA2"/>
    <w:rsid w:val="24DB02A4"/>
    <w:rsid w:val="29867F21"/>
    <w:rsid w:val="2A7E3662"/>
    <w:rsid w:val="2CDB7DBE"/>
    <w:rsid w:val="2D895177"/>
    <w:rsid w:val="306A0EEB"/>
    <w:rsid w:val="30F26ACC"/>
    <w:rsid w:val="31DD0BF4"/>
    <w:rsid w:val="37161F56"/>
    <w:rsid w:val="39B45D2E"/>
    <w:rsid w:val="39E24F4F"/>
    <w:rsid w:val="3AB70B7E"/>
    <w:rsid w:val="3DA154F4"/>
    <w:rsid w:val="3E443EFD"/>
    <w:rsid w:val="3F3B9A91"/>
    <w:rsid w:val="3FDF6A12"/>
    <w:rsid w:val="43472EA6"/>
    <w:rsid w:val="44281251"/>
    <w:rsid w:val="444D24EA"/>
    <w:rsid w:val="466EFFB6"/>
    <w:rsid w:val="47F928AE"/>
    <w:rsid w:val="49773CCB"/>
    <w:rsid w:val="4D3911BC"/>
    <w:rsid w:val="4D917024"/>
    <w:rsid w:val="51723C67"/>
    <w:rsid w:val="54EC7B63"/>
    <w:rsid w:val="55463C85"/>
    <w:rsid w:val="57737AE5"/>
    <w:rsid w:val="5E8819C0"/>
    <w:rsid w:val="5E945F79"/>
    <w:rsid w:val="60564D0A"/>
    <w:rsid w:val="60CD18BC"/>
    <w:rsid w:val="617E1912"/>
    <w:rsid w:val="62FE2151"/>
    <w:rsid w:val="63A63C83"/>
    <w:rsid w:val="67EF367B"/>
    <w:rsid w:val="6A282DC8"/>
    <w:rsid w:val="6AF26293"/>
    <w:rsid w:val="6D0E350B"/>
    <w:rsid w:val="702003EB"/>
    <w:rsid w:val="74F93E44"/>
    <w:rsid w:val="75386610"/>
    <w:rsid w:val="7E01395F"/>
    <w:rsid w:val="7E1E6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hint="eastAsia"/>
    </w:rPr>
  </w:style>
  <w:style w:type="paragraph" w:styleId="3">
    <w:name w:val="Body Text Indent"/>
    <w:basedOn w:val="1"/>
    <w:qFormat/>
    <w:uiPriority w:val="0"/>
    <w:pPr>
      <w:spacing w:after="120" w:afterLines="0"/>
      <w:ind w:left="420" w:leftChars="200"/>
    </w:pPr>
    <w:rPr>
      <w:rFonts w:hint="eastAsia"/>
    </w:rPr>
  </w:style>
  <w:style w:type="paragraph" w:styleId="4">
    <w:name w:val="Plain Text"/>
    <w:basedOn w:val="1"/>
    <w:qFormat/>
    <w:uiPriority w:val="0"/>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customStyle="1" w:styleId="11">
    <w:name w:val="Table Text"/>
    <w:basedOn w:val="1"/>
    <w:semiHidden/>
    <w:qFormat/>
    <w:uiPriority w:val="0"/>
    <w:rPr>
      <w:rFonts w:ascii="FangSong_GB2312" w:hAnsi="FangSong_GB2312" w:eastAsia="FangSong_GB2312" w:cs="FangSong_GB2312"/>
      <w:sz w:val="20"/>
      <w:szCs w:val="20"/>
      <w:lang w:val="en-US" w:eastAsia="en-US" w:bidi="ar-SA"/>
    </w:rPr>
  </w:style>
  <w:style w:type="character" w:customStyle="1" w:styleId="12">
    <w:name w:val="font91"/>
    <w:basedOn w:val="7"/>
    <w:qFormat/>
    <w:uiPriority w:val="0"/>
    <w:rPr>
      <w:rFonts w:hint="eastAsia" w:ascii="等线" w:hAnsi="等线" w:eastAsia="等线" w:cs="等线"/>
      <w:color w:val="000000"/>
      <w:sz w:val="22"/>
      <w:szCs w:val="22"/>
      <w:u w:val="none"/>
    </w:rPr>
  </w:style>
  <w:style w:type="character" w:customStyle="1" w:styleId="13">
    <w:name w:val="font11"/>
    <w:basedOn w:val="7"/>
    <w:qFormat/>
    <w:uiPriority w:val="0"/>
    <w:rPr>
      <w:rFonts w:hint="eastAsia" w:ascii="等线" w:hAnsi="等线" w:eastAsia="等线" w:cs="等线"/>
      <w:color w:val="3366FF"/>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12613</Words>
  <Characters>13474</Characters>
  <Lines>0</Lines>
  <Paragraphs>0</Paragraphs>
  <TotalTime>7</TotalTime>
  <ScaleCrop>false</ScaleCrop>
  <LinksUpToDate>false</LinksUpToDate>
  <CharactersWithSpaces>13618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2025-05-13T08:51:00Z</dcterms:created>
  <dc:creator>贺兰县司法局</dc:creator>
  <cp:lastModifiedBy>Administrator</cp:lastModifiedBy>
  <cp:lastPrinted>2025-05-20T10:06:00Z</cp:lastPrinted>
  <dcterms:modified xsi:type="dcterms:W3CDTF">2025-06-10T10:00:43Z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eyJoZGlkIjoiMDljYzUzMWQ4OWI0YzBkYjYzMDRhZTY5ZjZkYmFmYTgiLCJ1c2VySWQiOiI2Nzk0OTQ4MjIifQ==</vt:lpwstr>
  </property>
  <property fmtid="{D5CDD505-2E9C-101B-9397-08002B2CF9AE}" pid="4" name="ICV">
    <vt:lpwstr>1388849AD71EC7DD06E547688AF72965</vt:lpwstr>
  </property>
</Properties>
</file>