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194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629BB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24</w:t>
      </w:r>
      <w:r>
        <w:rPr>
          <w:rFonts w:hint="eastAsia" w:ascii="方正小标宋简体" w:hAnsi="方正小标宋简体" w:eastAsia="方正小标宋简体" w:cs="方正小标宋简体"/>
          <w:b w:val="0"/>
          <w:bCs w:val="0"/>
          <w:sz w:val="44"/>
          <w:szCs w:val="44"/>
        </w:rPr>
        <w:t>年彭阳县建</w:t>
      </w:r>
      <w:r>
        <w:rPr>
          <w:rFonts w:hint="eastAsia" w:ascii="方正小标宋简体" w:hAnsi="方正小标宋简体" w:eastAsia="方正小标宋简体" w:cs="方正小标宋简体"/>
          <w:b w:val="0"/>
          <w:bCs w:val="0"/>
          <w:sz w:val="44"/>
          <w:szCs w:val="44"/>
          <w:lang w:eastAsia="zh-CN"/>
        </w:rPr>
        <w:t>筑</w:t>
      </w:r>
      <w:r>
        <w:rPr>
          <w:rFonts w:hint="eastAsia" w:ascii="方正小标宋简体" w:hAnsi="方正小标宋简体" w:eastAsia="方正小标宋简体" w:cs="方正小标宋简体"/>
          <w:b w:val="0"/>
          <w:bCs w:val="0"/>
          <w:sz w:val="44"/>
          <w:szCs w:val="44"/>
        </w:rPr>
        <w:t>工程</w:t>
      </w:r>
      <w:r>
        <w:rPr>
          <w:rFonts w:hint="eastAsia" w:ascii="方正小标宋简体" w:hAnsi="方正小标宋简体" w:eastAsia="方正小标宋简体" w:cs="方正小标宋简体"/>
          <w:b w:val="0"/>
          <w:bCs w:val="0"/>
          <w:sz w:val="44"/>
          <w:szCs w:val="44"/>
          <w:lang w:eastAsia="zh-CN"/>
        </w:rPr>
        <w:t>综合执法</w:t>
      </w:r>
      <w:r>
        <w:rPr>
          <w:rFonts w:hint="eastAsia" w:ascii="方正小标宋简体" w:hAnsi="方正小标宋简体" w:eastAsia="方正小标宋简体" w:cs="方正小标宋简体"/>
          <w:b w:val="0"/>
          <w:bCs w:val="0"/>
          <w:sz w:val="44"/>
          <w:szCs w:val="44"/>
        </w:rPr>
        <w:t>暨春季开复工质量安全检查</w:t>
      </w:r>
    </w:p>
    <w:p w14:paraId="567F2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各方责任主体不良行为和行政处罚统计表</w:t>
      </w:r>
    </w:p>
    <w:tbl>
      <w:tblPr>
        <w:tblStyle w:val="5"/>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06"/>
        <w:gridCol w:w="2182"/>
        <w:gridCol w:w="3518"/>
        <w:gridCol w:w="3178"/>
        <w:gridCol w:w="2822"/>
        <w:gridCol w:w="2162"/>
      </w:tblGrid>
      <w:tr w14:paraId="637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82" w:type="dxa"/>
            <w:vAlign w:val="center"/>
          </w:tcPr>
          <w:p w14:paraId="0D851991">
            <w:pPr>
              <w:spacing w:line="28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rPr>
              <w:t>序号</w:t>
            </w:r>
          </w:p>
        </w:tc>
        <w:tc>
          <w:tcPr>
            <w:tcW w:w="1406" w:type="dxa"/>
            <w:vAlign w:val="center"/>
          </w:tcPr>
          <w:p w14:paraId="56DAAD5F">
            <w:pPr>
              <w:spacing w:line="40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rPr>
              <w:t>单位名称</w:t>
            </w:r>
          </w:p>
        </w:tc>
        <w:tc>
          <w:tcPr>
            <w:tcW w:w="2182" w:type="dxa"/>
            <w:vAlign w:val="center"/>
          </w:tcPr>
          <w:p w14:paraId="0044D5EA">
            <w:pPr>
              <w:spacing w:line="40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rPr>
              <w:t>工程项目</w:t>
            </w:r>
          </w:p>
        </w:tc>
        <w:tc>
          <w:tcPr>
            <w:tcW w:w="3518" w:type="dxa"/>
            <w:vAlign w:val="center"/>
          </w:tcPr>
          <w:p w14:paraId="3CB6B993">
            <w:pPr>
              <w:spacing w:line="40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rPr>
              <w:t>违法事实</w:t>
            </w:r>
          </w:p>
        </w:tc>
        <w:tc>
          <w:tcPr>
            <w:tcW w:w="3178" w:type="dxa"/>
            <w:vAlign w:val="center"/>
          </w:tcPr>
          <w:p w14:paraId="0B47A62C">
            <w:pPr>
              <w:spacing w:line="40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rPr>
              <w:t>处罚依据</w:t>
            </w:r>
          </w:p>
        </w:tc>
        <w:tc>
          <w:tcPr>
            <w:tcW w:w="2822" w:type="dxa"/>
            <w:vAlign w:val="center"/>
          </w:tcPr>
          <w:p w14:paraId="2F22E4CC">
            <w:pPr>
              <w:spacing w:line="40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rPr>
              <w:t>处罚情况</w:t>
            </w:r>
          </w:p>
        </w:tc>
        <w:tc>
          <w:tcPr>
            <w:tcW w:w="2162" w:type="dxa"/>
            <w:vAlign w:val="center"/>
          </w:tcPr>
          <w:p w14:paraId="5A5BDBF5">
            <w:pPr>
              <w:spacing w:line="40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备注</w:t>
            </w:r>
          </w:p>
        </w:tc>
      </w:tr>
      <w:tr w14:paraId="1DE7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750" w:type="dxa"/>
            <w:gridSpan w:val="7"/>
            <w:vAlign w:val="center"/>
          </w:tcPr>
          <w:p w14:paraId="4D0B897A">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监理单位</w:t>
            </w:r>
          </w:p>
        </w:tc>
      </w:tr>
      <w:tr w14:paraId="2DB8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2" w:type="dxa"/>
            <w:vAlign w:val="center"/>
          </w:tcPr>
          <w:p w14:paraId="6B9344A7">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w:t>
            </w:r>
          </w:p>
        </w:tc>
        <w:tc>
          <w:tcPr>
            <w:tcW w:w="1406" w:type="dxa"/>
            <w:vAlign w:val="center"/>
          </w:tcPr>
          <w:p w14:paraId="5E319301">
            <w:pPr>
              <w:spacing w:line="320" w:lineRule="exact"/>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宁夏固原六盘山建设工程监理有限公司</w:t>
            </w:r>
          </w:p>
        </w:tc>
        <w:tc>
          <w:tcPr>
            <w:tcW w:w="2182" w:type="dxa"/>
            <w:vAlign w:val="center"/>
          </w:tcPr>
          <w:p w14:paraId="68146060">
            <w:pPr>
              <w:spacing w:line="320" w:lineRule="exact"/>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彭阳县县城防洪排涝工程施工二标段</w:t>
            </w:r>
          </w:p>
        </w:tc>
        <w:tc>
          <w:tcPr>
            <w:tcW w:w="3518" w:type="dxa"/>
            <w:vAlign w:val="center"/>
          </w:tcPr>
          <w:p w14:paraId="53C338A6">
            <w:pPr>
              <w:spacing w:line="320" w:lineRule="exact"/>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监理单位未对施工现场的重大质量安全隐患及时下发停工通知单</w:t>
            </w:r>
          </w:p>
        </w:tc>
        <w:tc>
          <w:tcPr>
            <w:tcW w:w="3178" w:type="dxa"/>
            <w:vAlign w:val="center"/>
          </w:tcPr>
          <w:p w14:paraId="3F624577">
            <w:pPr>
              <w:spacing w:line="320" w:lineRule="exact"/>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《宁夏施工企业和监理企业不良行为认定标准》E1-3-06</w:t>
            </w:r>
          </w:p>
        </w:tc>
        <w:tc>
          <w:tcPr>
            <w:tcW w:w="2822" w:type="dxa"/>
            <w:vAlign w:val="center"/>
          </w:tcPr>
          <w:p w14:paraId="7398F733">
            <w:pPr>
              <w:spacing w:line="320" w:lineRule="exact"/>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扣除监理企业信用分300。（由宁夏回族自治区住房和城乡建设厅扣除）</w:t>
            </w:r>
          </w:p>
        </w:tc>
        <w:tc>
          <w:tcPr>
            <w:tcW w:w="2162" w:type="dxa"/>
            <w:vAlign w:val="center"/>
          </w:tcPr>
          <w:p w14:paraId="082BC817">
            <w:pPr>
              <w:spacing w:line="320" w:lineRule="exact"/>
              <w:jc w:val="both"/>
              <w:rPr>
                <w:rFonts w:hint="eastAsia" w:ascii="仿宋_GB2312" w:hAnsi="仿宋_GB2312" w:eastAsia="仿宋_GB2312" w:cs="仿宋_GB2312"/>
                <w:sz w:val="24"/>
                <w:lang w:val="en-US" w:eastAsia="zh-CN"/>
              </w:rPr>
            </w:pPr>
          </w:p>
        </w:tc>
      </w:tr>
      <w:tr w14:paraId="0590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50" w:type="dxa"/>
            <w:gridSpan w:val="7"/>
            <w:vAlign w:val="center"/>
          </w:tcPr>
          <w:p w14:paraId="164DF464">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施工单位</w:t>
            </w:r>
          </w:p>
        </w:tc>
      </w:tr>
      <w:tr w14:paraId="6E5C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2" w:type="dxa"/>
            <w:vAlign w:val="center"/>
          </w:tcPr>
          <w:p w14:paraId="0EAF682C">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406" w:type="dxa"/>
            <w:vAlign w:val="center"/>
          </w:tcPr>
          <w:p w14:paraId="42F7EEDD">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宁夏宁程建设工程有限公司</w:t>
            </w:r>
          </w:p>
        </w:tc>
        <w:tc>
          <w:tcPr>
            <w:tcW w:w="2182" w:type="dxa"/>
            <w:vAlign w:val="center"/>
          </w:tcPr>
          <w:p w14:paraId="415CB087">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彭阳县县城防洪排涝工程施工二标段</w:t>
            </w:r>
          </w:p>
        </w:tc>
        <w:tc>
          <w:tcPr>
            <w:tcW w:w="3518" w:type="dxa"/>
            <w:vAlign w:val="center"/>
          </w:tcPr>
          <w:p w14:paraId="27C4C779">
            <w:pPr>
              <w:numPr>
                <w:ilvl w:val="0"/>
                <w:numId w:val="0"/>
              </w:numPr>
              <w:spacing w:line="320" w:lineRule="exact"/>
              <w:ind w:leftChars="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1.施工单位在工程建设过程中未按照工程设计图纸和危大工程专项施工方案施工；施工现场未建立安全风险辨识、评估、公告警示、分级管控体系，重大危险源未登记、建档。</w:t>
            </w:r>
          </w:p>
          <w:p w14:paraId="3CC607EC">
            <w:pPr>
              <w:numPr>
                <w:ilvl w:val="0"/>
                <w:numId w:val="0"/>
              </w:num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2.施工单位派驻现场的技术负责人祁刚、质量负责人骆伟、虎忠宁、施工员刘林谦社保不在宁夏宁程建筑工程有限公司，现场提交的上述人员社保存在伪造行为。</w:t>
            </w:r>
          </w:p>
        </w:tc>
        <w:tc>
          <w:tcPr>
            <w:tcW w:w="3178" w:type="dxa"/>
            <w:vAlign w:val="center"/>
          </w:tcPr>
          <w:p w14:paraId="238341DE">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1.《宁夏施工企业和监理企业不良行为认定标准》D1-3-01、D2-4-03</w:t>
            </w:r>
          </w:p>
          <w:p w14:paraId="5F907B60">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2.《建设工程质量管理条例》中第六十二条</w:t>
            </w:r>
          </w:p>
        </w:tc>
        <w:tc>
          <w:tcPr>
            <w:tcW w:w="2822" w:type="dxa"/>
            <w:vAlign w:val="center"/>
          </w:tcPr>
          <w:p w14:paraId="2C5C0A1B">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1.扣除施工企业信用400分（已由宁夏回族自治区住房和城乡建设厅扣除）</w:t>
            </w:r>
          </w:p>
          <w:p w14:paraId="5731223A">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2.处工程合同价款0.5%以上1以下的罚款（工程合同价款1533.38万元，处单位罚款7.6669-15.3338万元。）</w:t>
            </w:r>
          </w:p>
        </w:tc>
        <w:tc>
          <w:tcPr>
            <w:tcW w:w="2162" w:type="dxa"/>
            <w:vAlign w:val="center"/>
          </w:tcPr>
          <w:p w14:paraId="1C9F5C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按照《建设工程质量管理</w:t>
            </w:r>
            <w:bookmarkStart w:id="0" w:name="_GoBack"/>
            <w:bookmarkEnd w:id="0"/>
            <w:r>
              <w:rPr>
                <w:rFonts w:hint="eastAsia" w:ascii="仿宋_GB2312" w:hAnsi="仿宋_GB2312" w:eastAsia="仿宋_GB2312" w:cs="仿宋_GB2312"/>
                <w:sz w:val="24"/>
                <w:lang w:val="en-US" w:eastAsia="zh-CN"/>
              </w:rPr>
              <w:t>条例》中第六十二条进行处罚，因施工单位派驻现场的技术负责人：祁刚，质量负责人：虎忠宁，施工员：刘林钊社保已转入宁夏宁程建筑工程有限公司，并已到岗履职，质量员骆伟已离职；鉴于未给招标人未造成损失，尚未构成犯罪，对该施工单位处工程合同价款0.52%的罚款（8万元）。</w:t>
            </w:r>
          </w:p>
        </w:tc>
      </w:tr>
      <w:tr w14:paraId="4D3F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82" w:type="dxa"/>
            <w:vAlign w:val="center"/>
          </w:tcPr>
          <w:p w14:paraId="2C1433C4">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406" w:type="dxa"/>
            <w:vAlign w:val="center"/>
          </w:tcPr>
          <w:p w14:paraId="65AB03D2">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宁夏诚记工程有限公司</w:t>
            </w:r>
          </w:p>
        </w:tc>
        <w:tc>
          <w:tcPr>
            <w:tcW w:w="2182" w:type="dxa"/>
            <w:vAlign w:val="center"/>
          </w:tcPr>
          <w:p w14:paraId="21268578">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宁夏固原市彭阳县枫桦博悦府住宅小区建设项目</w:t>
            </w:r>
          </w:p>
        </w:tc>
        <w:tc>
          <w:tcPr>
            <w:tcW w:w="3518" w:type="dxa"/>
            <w:vAlign w:val="center"/>
          </w:tcPr>
          <w:p w14:paraId="542CAA4C">
            <w:pPr>
              <w:numPr>
                <w:ilvl w:val="0"/>
                <w:numId w:val="0"/>
              </w:num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关键岗位人员施工员张志强未录入实名制管理系统</w:t>
            </w:r>
          </w:p>
          <w:p w14:paraId="751E8267">
            <w:pPr>
              <w:numPr>
                <w:ilvl w:val="0"/>
                <w:numId w:val="0"/>
              </w:num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2.起重机械（塔吊）无定期检查记录，无书面技术交底</w:t>
            </w:r>
          </w:p>
        </w:tc>
        <w:tc>
          <w:tcPr>
            <w:tcW w:w="3178" w:type="dxa"/>
            <w:vAlign w:val="center"/>
          </w:tcPr>
          <w:p w14:paraId="58E58EDB">
            <w:pPr>
              <w:spacing w:line="320" w:lineRule="exact"/>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1.《宁夏建筑施工项目“四大员”质量安全违法违规行为计分管理规定》中宁夏建筑施工项目施工员质量安全违法违规行为记分标准第3条</w:t>
            </w:r>
          </w:p>
          <w:p w14:paraId="69CFB4E8">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2.依据《宁夏施工企业和监理企业不良行为认定标准》D1-4-09</w:t>
            </w:r>
          </w:p>
        </w:tc>
        <w:tc>
          <w:tcPr>
            <w:tcW w:w="2822" w:type="dxa"/>
            <w:vAlign w:val="center"/>
          </w:tcPr>
          <w:p w14:paraId="6AC744CE">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1.扣施工员张志强3分</w:t>
            </w:r>
          </w:p>
          <w:p w14:paraId="0407B4CF">
            <w:pPr>
              <w:spacing w:line="320" w:lineRule="exact"/>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2.扣除施工企业信用分100</w:t>
            </w:r>
          </w:p>
        </w:tc>
        <w:tc>
          <w:tcPr>
            <w:tcW w:w="2162" w:type="dxa"/>
            <w:vAlign w:val="center"/>
          </w:tcPr>
          <w:p w14:paraId="4FC0113D">
            <w:pPr>
              <w:spacing w:line="320" w:lineRule="exact"/>
              <w:jc w:val="both"/>
              <w:rPr>
                <w:rFonts w:hint="eastAsia" w:ascii="仿宋_GB2312" w:hAnsi="仿宋_GB2312" w:eastAsia="仿宋_GB2312" w:cs="仿宋_GB2312"/>
                <w:sz w:val="24"/>
                <w:lang w:val="en-US" w:eastAsia="zh-CN"/>
              </w:rPr>
            </w:pPr>
          </w:p>
        </w:tc>
      </w:tr>
      <w:tr w14:paraId="45E7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82" w:type="dxa"/>
            <w:vAlign w:val="center"/>
          </w:tcPr>
          <w:p w14:paraId="0DCF4620">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406" w:type="dxa"/>
            <w:vAlign w:val="center"/>
          </w:tcPr>
          <w:p w14:paraId="68D9E9A4">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银川三建集团有限公司</w:t>
            </w:r>
          </w:p>
        </w:tc>
        <w:tc>
          <w:tcPr>
            <w:tcW w:w="2182" w:type="dxa"/>
            <w:vAlign w:val="center"/>
          </w:tcPr>
          <w:p w14:paraId="49A5A75F">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彭阳县第二中学校园基础设施提升改造及石岔小学附属工程（石岔小学迁建项目附属）</w:t>
            </w:r>
          </w:p>
        </w:tc>
        <w:tc>
          <w:tcPr>
            <w:tcW w:w="3518" w:type="dxa"/>
            <w:vAlign w:val="center"/>
          </w:tcPr>
          <w:p w14:paraId="49D2CAEF">
            <w:pPr>
              <w:numPr>
                <w:ilvl w:val="0"/>
                <w:numId w:val="0"/>
              </w:numPr>
              <w:spacing w:line="320" w:lineRule="exact"/>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1.质量员王佳鹏、</w:t>
            </w:r>
            <w:r>
              <w:rPr>
                <w:rFonts w:hint="eastAsia" w:ascii="仿宋_GB2312" w:hAnsi="仿宋_GB2312" w:eastAsia="仿宋_GB2312" w:cs="仿宋_GB2312"/>
                <w:sz w:val="24"/>
                <w:lang w:eastAsia="zh-CN"/>
              </w:rPr>
              <w:t>施工员吕亚东</w:t>
            </w:r>
            <w:r>
              <w:rPr>
                <w:rFonts w:hint="eastAsia" w:ascii="仿宋_GB2312" w:hAnsi="仿宋_GB2312" w:eastAsia="仿宋_GB2312" w:cs="仿宋_GB2312"/>
                <w:sz w:val="24"/>
                <w:lang w:val="en-US" w:eastAsia="zh-CN"/>
              </w:rPr>
              <w:t>未录入实名制系统</w:t>
            </w:r>
          </w:p>
          <w:p w14:paraId="0370863A">
            <w:pPr>
              <w:numPr>
                <w:ilvl w:val="0"/>
                <w:numId w:val="0"/>
              </w:numPr>
              <w:spacing w:line="320" w:lineRule="exact"/>
              <w:ind w:left="0" w:leftChars="0" w:firstLine="0" w:firstLineChars="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2.施工单位未将质量员王佳鹏、</w:t>
            </w:r>
            <w:r>
              <w:rPr>
                <w:rFonts w:hint="eastAsia" w:ascii="仿宋_GB2312" w:hAnsi="仿宋_GB2312" w:eastAsia="仿宋_GB2312" w:cs="仿宋_GB2312"/>
                <w:sz w:val="24"/>
                <w:lang w:eastAsia="zh-CN"/>
              </w:rPr>
              <w:t>施工员吕亚东</w:t>
            </w:r>
            <w:r>
              <w:rPr>
                <w:rFonts w:hint="eastAsia" w:ascii="仿宋_GB2312" w:hAnsi="仿宋_GB2312" w:eastAsia="仿宋_GB2312" w:cs="仿宋_GB2312"/>
                <w:sz w:val="24"/>
                <w:lang w:val="en-US" w:eastAsia="zh-CN"/>
              </w:rPr>
              <w:t>关键岗位人员录入实名制管理系统</w:t>
            </w:r>
          </w:p>
        </w:tc>
        <w:tc>
          <w:tcPr>
            <w:tcW w:w="3178" w:type="dxa"/>
            <w:vAlign w:val="center"/>
          </w:tcPr>
          <w:p w14:paraId="42FF54EA">
            <w:pPr>
              <w:spacing w:line="320" w:lineRule="exact"/>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1《宁夏建筑施工项目“四大员”质量安全违法违规行为计分管理规定》中的宁夏建筑施工项目质量员质量违法违规行为记分标准第4条、宁夏建筑施工项目施工员质量安全违法违规行为记分标准第3条</w:t>
            </w:r>
          </w:p>
          <w:p w14:paraId="56F46593">
            <w:pPr>
              <w:spacing w:line="320" w:lineRule="exact"/>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2.依据《宁夏施工企业和监理企业不良行为认定标准》D1-4-02</w:t>
            </w:r>
          </w:p>
        </w:tc>
        <w:tc>
          <w:tcPr>
            <w:tcW w:w="2822" w:type="dxa"/>
            <w:vAlign w:val="center"/>
          </w:tcPr>
          <w:p w14:paraId="7E58C2D7">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1.扣质量员王佳鹏、施工员吕亚东各3分</w:t>
            </w:r>
          </w:p>
          <w:p w14:paraId="6E7B523D">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2.扣除施工企业信用分100</w:t>
            </w:r>
          </w:p>
        </w:tc>
        <w:tc>
          <w:tcPr>
            <w:tcW w:w="2162" w:type="dxa"/>
            <w:vAlign w:val="center"/>
          </w:tcPr>
          <w:p w14:paraId="73F61173">
            <w:pPr>
              <w:spacing w:line="320" w:lineRule="exact"/>
              <w:jc w:val="both"/>
              <w:rPr>
                <w:rFonts w:hint="eastAsia" w:ascii="仿宋_GB2312" w:hAnsi="仿宋_GB2312" w:eastAsia="仿宋_GB2312" w:cs="仿宋_GB2312"/>
                <w:sz w:val="24"/>
                <w:lang w:val="en-US" w:eastAsia="zh-CN"/>
              </w:rPr>
            </w:pPr>
          </w:p>
        </w:tc>
      </w:tr>
      <w:tr w14:paraId="5D3F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482" w:type="dxa"/>
            <w:vAlign w:val="center"/>
          </w:tcPr>
          <w:p w14:paraId="61F74A7F">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1406" w:type="dxa"/>
            <w:vAlign w:val="center"/>
          </w:tcPr>
          <w:p w14:paraId="7128E26A">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陕西权盛建设工程有限公司</w:t>
            </w:r>
          </w:p>
        </w:tc>
        <w:tc>
          <w:tcPr>
            <w:tcW w:w="2182" w:type="dxa"/>
            <w:vAlign w:val="center"/>
          </w:tcPr>
          <w:p w14:paraId="3AA590D0">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彭阳县富阳花园三期工程25#、26#住宅楼</w:t>
            </w:r>
          </w:p>
        </w:tc>
        <w:tc>
          <w:tcPr>
            <w:tcW w:w="3518" w:type="dxa"/>
            <w:vAlign w:val="center"/>
          </w:tcPr>
          <w:p w14:paraId="6679DEBC">
            <w:pPr>
              <w:numPr>
                <w:ilvl w:val="0"/>
                <w:numId w:val="0"/>
              </w:num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住宅楼六层板、墙、梁、钢筋擅自隐蔽，钢材进场未送检，未报验，擅自投入使用</w:t>
            </w:r>
          </w:p>
        </w:tc>
        <w:tc>
          <w:tcPr>
            <w:tcW w:w="3178" w:type="dxa"/>
            <w:vAlign w:val="center"/>
          </w:tcPr>
          <w:p w14:paraId="614BBB3F">
            <w:pPr>
              <w:numPr>
                <w:ilvl w:val="0"/>
                <w:numId w:val="0"/>
              </w:num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《中华人民共和国建筑法》第七十四条，《建设工程质量管理条例》第六十五条,《宁夏施工企业和监理企业不良行为认定标准》D1-3-03</w:t>
            </w:r>
          </w:p>
        </w:tc>
        <w:tc>
          <w:tcPr>
            <w:tcW w:w="2822" w:type="dxa"/>
            <w:vAlign w:val="center"/>
          </w:tcPr>
          <w:p w14:paraId="017CBCCE">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扣除施工企业信用分200</w:t>
            </w:r>
          </w:p>
          <w:p w14:paraId="4CC40B78">
            <w:pPr>
              <w:spacing w:line="320" w:lineRule="exact"/>
              <w:jc w:val="both"/>
              <w:rPr>
                <w:rFonts w:hint="eastAsia" w:ascii="仿宋_GB2312" w:hAnsi="仿宋_GB2312" w:eastAsia="仿宋_GB2312" w:cs="仿宋_GB2312"/>
                <w:sz w:val="24"/>
                <w:lang w:val="en-US" w:eastAsia="zh-CN"/>
              </w:rPr>
            </w:pPr>
          </w:p>
        </w:tc>
        <w:tc>
          <w:tcPr>
            <w:tcW w:w="2162" w:type="dxa"/>
            <w:vAlign w:val="center"/>
          </w:tcPr>
          <w:p w14:paraId="3B9C1374">
            <w:pPr>
              <w:spacing w:line="320" w:lineRule="exact"/>
              <w:jc w:val="both"/>
              <w:rPr>
                <w:rFonts w:hint="eastAsia" w:ascii="仿宋_GB2312" w:hAnsi="仿宋_GB2312" w:eastAsia="仿宋_GB2312" w:cs="仿宋_GB2312"/>
                <w:sz w:val="24"/>
                <w:lang w:val="en-US" w:eastAsia="zh-CN"/>
              </w:rPr>
            </w:pPr>
          </w:p>
        </w:tc>
      </w:tr>
      <w:tr w14:paraId="2CEA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82" w:type="dxa"/>
            <w:vAlign w:val="center"/>
          </w:tcPr>
          <w:p w14:paraId="7467DD0B">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1406" w:type="dxa"/>
            <w:vAlign w:val="center"/>
          </w:tcPr>
          <w:p w14:paraId="2A7AB581">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宁夏辰信建邦建筑工程有限公司</w:t>
            </w:r>
          </w:p>
        </w:tc>
        <w:tc>
          <w:tcPr>
            <w:tcW w:w="2182" w:type="dxa"/>
            <w:vAlign w:val="center"/>
          </w:tcPr>
          <w:p w14:paraId="1C70BF24">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彭阳县公安局孟塬派出所改建项目</w:t>
            </w:r>
          </w:p>
        </w:tc>
        <w:tc>
          <w:tcPr>
            <w:tcW w:w="3518" w:type="dxa"/>
            <w:vAlign w:val="center"/>
          </w:tcPr>
          <w:p w14:paraId="339D9A13">
            <w:pPr>
              <w:numPr>
                <w:ilvl w:val="0"/>
                <w:numId w:val="0"/>
              </w:num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现场检查</w:t>
            </w:r>
            <w:r>
              <w:rPr>
                <w:rFonts w:hint="eastAsia" w:ascii="仿宋_GB2312" w:hAnsi="仿宋_GB2312" w:eastAsia="仿宋_GB2312" w:cs="仿宋_GB2312"/>
                <w:sz w:val="24"/>
                <w:lang w:eastAsia="zh-CN"/>
              </w:rPr>
              <w:t>防裂网规格型号与图纸不符</w:t>
            </w:r>
          </w:p>
        </w:tc>
        <w:tc>
          <w:tcPr>
            <w:tcW w:w="3178" w:type="dxa"/>
            <w:vAlign w:val="center"/>
          </w:tcPr>
          <w:p w14:paraId="4D918472">
            <w:pPr>
              <w:numPr>
                <w:ilvl w:val="0"/>
                <w:numId w:val="0"/>
              </w:num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依据《宁夏施工企业和监理企业不良行为认定标准》D1-3-01</w:t>
            </w:r>
          </w:p>
        </w:tc>
        <w:tc>
          <w:tcPr>
            <w:tcW w:w="2822" w:type="dxa"/>
            <w:vAlign w:val="center"/>
          </w:tcPr>
          <w:p w14:paraId="4E76831A">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扣除施工企业信用分200</w:t>
            </w:r>
          </w:p>
        </w:tc>
        <w:tc>
          <w:tcPr>
            <w:tcW w:w="2162" w:type="dxa"/>
            <w:vAlign w:val="center"/>
          </w:tcPr>
          <w:p w14:paraId="3ED4799D">
            <w:pPr>
              <w:spacing w:line="320" w:lineRule="exact"/>
              <w:jc w:val="both"/>
              <w:rPr>
                <w:rFonts w:hint="eastAsia" w:ascii="仿宋_GB2312" w:hAnsi="仿宋_GB2312" w:eastAsia="仿宋_GB2312" w:cs="仿宋_GB2312"/>
                <w:sz w:val="24"/>
                <w:lang w:val="en-US" w:eastAsia="zh-CN"/>
              </w:rPr>
            </w:pPr>
          </w:p>
        </w:tc>
      </w:tr>
      <w:tr w14:paraId="131F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482" w:type="dxa"/>
            <w:vAlign w:val="center"/>
          </w:tcPr>
          <w:p w14:paraId="18F8171A">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1406" w:type="dxa"/>
            <w:vAlign w:val="center"/>
          </w:tcPr>
          <w:p w14:paraId="585C3217">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宁夏和兴元建设工程有限公司</w:t>
            </w:r>
          </w:p>
        </w:tc>
        <w:tc>
          <w:tcPr>
            <w:tcW w:w="2182" w:type="dxa"/>
            <w:vAlign w:val="center"/>
          </w:tcPr>
          <w:p w14:paraId="1C375266">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彭阳县古城镇温沟村、白阳镇崾蚬村、新集乡姚河村高质量美丽村庄建设项目二标段</w:t>
            </w:r>
          </w:p>
        </w:tc>
        <w:tc>
          <w:tcPr>
            <w:tcW w:w="3518" w:type="dxa"/>
            <w:vAlign w:val="center"/>
          </w:tcPr>
          <w:p w14:paraId="7C5F41FE">
            <w:pPr>
              <w:numPr>
                <w:ilvl w:val="0"/>
                <w:numId w:val="0"/>
              </w:num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施工管理人员和现场作业人员未进行培训</w:t>
            </w:r>
          </w:p>
        </w:tc>
        <w:tc>
          <w:tcPr>
            <w:tcW w:w="3178" w:type="dxa"/>
            <w:vAlign w:val="center"/>
          </w:tcPr>
          <w:p w14:paraId="7F5982E7">
            <w:pPr>
              <w:numPr>
                <w:ilvl w:val="0"/>
                <w:numId w:val="0"/>
              </w:num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《中华人民共和国安全生产法》第九十四条，《建设工程安全生产管理条例》第六十二条、《宁夏施工企业和监理企业不良行为认定标准》D1-4-03</w:t>
            </w:r>
          </w:p>
        </w:tc>
        <w:tc>
          <w:tcPr>
            <w:tcW w:w="2822" w:type="dxa"/>
            <w:vAlign w:val="center"/>
          </w:tcPr>
          <w:p w14:paraId="7092D694">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扣除施工企业信用分100</w:t>
            </w:r>
          </w:p>
        </w:tc>
        <w:tc>
          <w:tcPr>
            <w:tcW w:w="2162" w:type="dxa"/>
            <w:vAlign w:val="center"/>
          </w:tcPr>
          <w:p w14:paraId="48E084F3">
            <w:pPr>
              <w:spacing w:line="320" w:lineRule="exact"/>
              <w:jc w:val="both"/>
              <w:rPr>
                <w:rFonts w:hint="eastAsia" w:ascii="仿宋_GB2312" w:hAnsi="仿宋_GB2312" w:eastAsia="仿宋_GB2312" w:cs="仿宋_GB2312"/>
                <w:sz w:val="24"/>
                <w:lang w:val="en-US" w:eastAsia="zh-CN"/>
              </w:rPr>
            </w:pPr>
          </w:p>
        </w:tc>
      </w:tr>
      <w:tr w14:paraId="223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82" w:type="dxa"/>
            <w:vAlign w:val="center"/>
          </w:tcPr>
          <w:p w14:paraId="0ACF6F26">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1406" w:type="dxa"/>
            <w:vAlign w:val="center"/>
          </w:tcPr>
          <w:p w14:paraId="24C63619">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宁夏兴屹建设工程有限公司</w:t>
            </w:r>
          </w:p>
        </w:tc>
        <w:tc>
          <w:tcPr>
            <w:tcW w:w="2182" w:type="dxa"/>
            <w:vAlign w:val="center"/>
          </w:tcPr>
          <w:p w14:paraId="71D0245A">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彭阳县平安路以西片区老旧供热管网改造工程施工</w:t>
            </w:r>
          </w:p>
        </w:tc>
        <w:tc>
          <w:tcPr>
            <w:tcW w:w="3518" w:type="dxa"/>
            <w:vAlign w:val="center"/>
          </w:tcPr>
          <w:p w14:paraId="4B76AD00">
            <w:pPr>
              <w:numPr>
                <w:ilvl w:val="0"/>
                <w:numId w:val="0"/>
              </w:num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抽查供热管道基础灰土拌合不均匀，压实厚度不足，管底沙子铺设厚度不足</w:t>
            </w:r>
          </w:p>
          <w:p w14:paraId="128386EA">
            <w:pPr>
              <w:numPr>
                <w:ilvl w:val="0"/>
                <w:numId w:val="0"/>
              </w:num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质量员臧俪颖未录入实名制系统</w:t>
            </w:r>
          </w:p>
        </w:tc>
        <w:tc>
          <w:tcPr>
            <w:tcW w:w="3178" w:type="dxa"/>
            <w:vAlign w:val="center"/>
          </w:tcPr>
          <w:p w14:paraId="271C8740">
            <w:pPr>
              <w:numPr>
                <w:ilvl w:val="0"/>
                <w:numId w:val="0"/>
              </w:num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1.《中华人民共和国建筑法》第七十四条，《建设工程质量管理条例》第六十四条、《宁夏施工企业和监理企业不良行为认定标准》D1-3-04</w:t>
            </w:r>
          </w:p>
          <w:p w14:paraId="016E77FB">
            <w:pPr>
              <w:numPr>
                <w:ilvl w:val="0"/>
                <w:numId w:val="0"/>
              </w:num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2.《宁夏建筑施工项目“四大员”质量安全违法违规行为计分管理规定》中的宁夏建筑施工项目质量员质量违法违规行为记分标准第4条</w:t>
            </w:r>
          </w:p>
        </w:tc>
        <w:tc>
          <w:tcPr>
            <w:tcW w:w="2822" w:type="dxa"/>
            <w:vAlign w:val="center"/>
          </w:tcPr>
          <w:p w14:paraId="61FA40ED">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1.扣除施工企业信用分200</w:t>
            </w:r>
          </w:p>
          <w:p w14:paraId="505685A8">
            <w:pPr>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2.臧俪颖扣除3分</w:t>
            </w:r>
          </w:p>
        </w:tc>
        <w:tc>
          <w:tcPr>
            <w:tcW w:w="2162" w:type="dxa"/>
            <w:vAlign w:val="center"/>
          </w:tcPr>
          <w:p w14:paraId="56EE5711">
            <w:pPr>
              <w:spacing w:line="320" w:lineRule="exact"/>
              <w:jc w:val="both"/>
              <w:rPr>
                <w:rFonts w:hint="eastAsia" w:ascii="仿宋_GB2312" w:hAnsi="仿宋_GB2312" w:eastAsia="仿宋_GB2312" w:cs="仿宋_GB2312"/>
                <w:sz w:val="24"/>
                <w:lang w:val="en-US" w:eastAsia="zh-CN"/>
              </w:rPr>
            </w:pPr>
          </w:p>
        </w:tc>
      </w:tr>
    </w:tbl>
    <w:p w14:paraId="71067CB3">
      <w:pPr>
        <w:bidi w:val="0"/>
        <w:jc w:val="center"/>
        <w:rPr>
          <w:rFonts w:hint="eastAsia"/>
          <w:lang w:val="en-US" w:eastAsia="zh-CN"/>
        </w:rPr>
      </w:pPr>
    </w:p>
    <w:p w14:paraId="2C7C1D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69045D41">
      <w:pPr>
        <w:spacing w:line="440" w:lineRule="exact"/>
        <w:jc w:val="both"/>
        <w:rPr>
          <w:rFonts w:hint="eastAsia" w:ascii="楷体_GB2312" w:eastAsia="楷体_GB2312"/>
          <w:b/>
          <w:bCs/>
          <w:sz w:val="34"/>
          <w:szCs w:val="34"/>
        </w:rPr>
      </w:pPr>
    </w:p>
    <w:p w14:paraId="254BA563">
      <w:pPr>
        <w:pStyle w:val="3"/>
        <w:ind w:left="0" w:leftChars="0" w:firstLine="0" w:firstLineChars="0"/>
        <w:jc w:val="both"/>
        <w:rPr>
          <w:lang w:val="en-US" w:eastAsia="zh-CN"/>
        </w:rPr>
      </w:pPr>
    </w:p>
    <w:p w14:paraId="54326ACF"/>
    <w:sectPr>
      <w:pgSz w:w="16838" w:h="11906" w:orient="landscape"/>
      <w:pgMar w:top="850" w:right="850" w:bottom="850" w:left="85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4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2D4E69CB"/>
    <w:rsid w:val="042B7EF3"/>
    <w:rsid w:val="2BC95CF7"/>
    <w:rsid w:val="2D4E69CB"/>
    <w:rsid w:val="4662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Calibri" w:hAnsi="Calibri" w:eastAsia="宋体" w:cs="Times New Roman"/>
      <w:sz w:val="44"/>
    </w:rPr>
  </w:style>
  <w:style w:type="paragraph" w:styleId="3">
    <w:name w:val="Body Text First Indent"/>
    <w:basedOn w:val="2"/>
    <w:qFormat/>
    <w:uiPriority w:val="0"/>
    <w:pPr>
      <w:ind w:firstLine="420" w:firstLineChars="100"/>
    </w:pPr>
    <w:rPr>
      <w:rFonts w:ascii="Times New Roman" w:eastAsia="宋体"/>
      <w:sz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1637</Words>
  <Characters>1765</Characters>
  <Lines>0</Lines>
  <Paragraphs>0</Paragraphs>
  <TotalTime>2</TotalTime>
  <ScaleCrop>false</ScaleCrop>
  <LinksUpToDate>false</LinksUpToDate>
  <CharactersWithSpaces>1765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2024-06-06T07:09:00Z</dcterms:created>
  <dc:creator>Administrator</dc:creator>
  <cp:lastModifiedBy>俱往矣</cp:lastModifiedBy>
  <dcterms:modified xsi:type="dcterms:W3CDTF">2024-11-04T03:04:42Z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E812DF6E66404C2BAE13090FCEC32B8F_13</vt:lpwstr>
  </property>
</Properties>
</file>