
<file path=[Content_Types].xml><?xml version="1.0" encoding="utf-8"?>
<Types xmlns="http://schemas.openxmlformats.org/package/2006/content-types">
  <Default Extension="xml" ContentType="application/xml"/>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71279">
      <w:pPr>
        <w:tabs>
          <w:tab w:val="center" w:pos="4153"/>
          <w:tab w:val="right" w:pos="8306"/>
        </w:tabs>
        <w:snapToGrid w:val="0"/>
        <w:jc w:val="center"/>
        <w:rPr>
          <w:rFonts w:eastAsia="宋体"/>
          <w:color w:val="000000" w:themeColor="text1"/>
          <w:kern w:val="0"/>
          <w:sz w:val="18"/>
          <w:szCs w:val="20"/>
          <w14:textFill>
            <w14:solidFill>
              <w14:schemeClr w14:val="tx1"/>
            </w14:solidFill>
          </w14:textFill>
        </w:rPr>
      </w:pPr>
      <w:bookmarkStart w:id="0" w:name="_Hlk57883707"/>
    </w:p>
    <w:p w14:paraId="039C7B89">
      <w:pPr>
        <w:tabs>
          <w:tab w:val="center" w:pos="4153"/>
          <w:tab w:val="right" w:pos="8306"/>
        </w:tabs>
        <w:snapToGrid w:val="0"/>
        <w:jc w:val="center"/>
        <w:rPr>
          <w:rFonts w:eastAsia="宋体"/>
          <w:color w:val="000000" w:themeColor="text1"/>
          <w:kern w:val="0"/>
          <w:sz w:val="18"/>
          <w:szCs w:val="20"/>
          <w14:textFill>
            <w14:solidFill>
              <w14:schemeClr w14:val="tx1"/>
            </w14:solidFill>
          </w14:textFill>
        </w:rPr>
      </w:pPr>
    </w:p>
    <w:p w14:paraId="253BE680">
      <w:pPr>
        <w:tabs>
          <w:tab w:val="center" w:pos="4153"/>
          <w:tab w:val="right" w:pos="8306"/>
        </w:tabs>
        <w:snapToGrid w:val="0"/>
        <w:jc w:val="center"/>
        <w:rPr>
          <w:rFonts w:eastAsia="宋体"/>
          <w:color w:val="000000" w:themeColor="text1"/>
          <w:kern w:val="0"/>
          <w:sz w:val="18"/>
          <w:szCs w:val="20"/>
          <w14:textFill>
            <w14:solidFill>
              <w14:schemeClr w14:val="tx1"/>
            </w14:solidFill>
          </w14:textFill>
        </w:rPr>
      </w:pPr>
    </w:p>
    <w:p w14:paraId="06068B07">
      <w:pPr>
        <w:spacing w:line="360" w:lineRule="auto"/>
        <w:jc w:val="center"/>
        <w:rPr>
          <w:rFonts w:eastAsia="宋体"/>
          <w:color w:val="000000" w:themeColor="text1"/>
          <w:sz w:val="32"/>
          <w:szCs w:val="32"/>
          <w14:textFill>
            <w14:solidFill>
              <w14:schemeClr w14:val="tx1"/>
            </w14:solidFill>
          </w14:textFill>
        </w:rPr>
      </w:pPr>
    </w:p>
    <w:p w14:paraId="44104CCE">
      <w:pPr>
        <w:spacing w:line="360" w:lineRule="auto"/>
        <w:jc w:val="center"/>
        <w:rPr>
          <w:rFonts w:eastAsia="宋体"/>
          <w:color w:val="000000" w:themeColor="text1"/>
          <w:sz w:val="32"/>
          <w:szCs w:val="32"/>
          <w14:textFill>
            <w14:solidFill>
              <w14:schemeClr w14:val="tx1"/>
            </w14:solidFill>
          </w14:textFill>
        </w:rPr>
      </w:pPr>
    </w:p>
    <w:p w14:paraId="405F5CB1">
      <w:pPr>
        <w:spacing w:line="360" w:lineRule="auto"/>
        <w:ind w:left="-240" w:leftChars="-100" w:right="-240" w:rightChars="-100"/>
        <w:rPr>
          <w:rFonts w:eastAsia="方正小标宋简体"/>
          <w:color w:val="000000" w:themeColor="text1"/>
          <w:sz w:val="84"/>
          <w:szCs w:val="84"/>
          <w14:textFill>
            <w14:solidFill>
              <w14:schemeClr w14:val="tx1"/>
            </w14:solidFill>
          </w14:textFill>
        </w:rPr>
      </w:pPr>
      <w:r>
        <w:rPr>
          <w:rFonts w:eastAsia="方正小标宋简体"/>
          <w:color w:val="000000" w:themeColor="text1"/>
          <w:sz w:val="84"/>
          <w:szCs w:val="84"/>
          <w14:textFill>
            <w14:solidFill>
              <w14:schemeClr w14:val="tx1"/>
            </w14:solidFill>
          </w14:textFill>
        </w:rPr>
        <w:t>建设项目环境影响报告表</w:t>
      </w:r>
    </w:p>
    <w:p w14:paraId="2573D4AF">
      <w:pPr>
        <w:adjustRightInd w:val="0"/>
        <w:snapToGrid w:val="0"/>
        <w:spacing w:before="192" w:beforeLines="80"/>
        <w:jc w:val="center"/>
        <w:rPr>
          <w:rFonts w:eastAsia="楷体_GB2312"/>
          <w:bCs/>
          <w:color w:val="000000" w:themeColor="text1"/>
          <w:sz w:val="48"/>
          <w:szCs w:val="48"/>
          <w14:textFill>
            <w14:solidFill>
              <w14:schemeClr w14:val="tx1"/>
            </w14:solidFill>
          </w14:textFill>
        </w:rPr>
      </w:pPr>
      <w:r>
        <w:rPr>
          <w:rFonts w:eastAsia="楷体_GB2312"/>
          <w:bCs/>
          <w:color w:val="000000" w:themeColor="text1"/>
          <w:sz w:val="48"/>
          <w:szCs w:val="48"/>
          <w14:textFill>
            <w14:solidFill>
              <w14:schemeClr w14:val="tx1"/>
            </w14:solidFill>
          </w14:textFill>
        </w:rPr>
        <w:t>（生态影响类）</w:t>
      </w:r>
    </w:p>
    <w:p w14:paraId="67B30401">
      <w:pPr>
        <w:spacing w:line="360" w:lineRule="auto"/>
        <w:jc w:val="center"/>
        <w:rPr>
          <w:rFonts w:eastAsia="宋体"/>
          <w:color w:val="000000" w:themeColor="text1"/>
          <w:sz w:val="32"/>
          <w:szCs w:val="32"/>
          <w14:textFill>
            <w14:solidFill>
              <w14:schemeClr w14:val="tx1"/>
            </w14:solidFill>
          </w14:textFill>
        </w:rPr>
      </w:pPr>
    </w:p>
    <w:p w14:paraId="59AD90AC">
      <w:pPr>
        <w:spacing w:line="360" w:lineRule="auto"/>
        <w:jc w:val="center"/>
        <w:rPr>
          <w:rFonts w:eastAsia="宋体"/>
          <w:color w:val="000000" w:themeColor="text1"/>
          <w:sz w:val="32"/>
          <w:szCs w:val="32"/>
          <w14:textFill>
            <w14:solidFill>
              <w14:schemeClr w14:val="tx1"/>
            </w14:solidFill>
          </w14:textFill>
        </w:rPr>
      </w:pPr>
    </w:p>
    <w:p w14:paraId="72940F6A">
      <w:pPr>
        <w:spacing w:line="360" w:lineRule="auto"/>
        <w:jc w:val="center"/>
        <w:rPr>
          <w:rFonts w:eastAsia="宋体"/>
          <w:color w:val="000000" w:themeColor="text1"/>
          <w:sz w:val="32"/>
          <w:szCs w:val="32"/>
          <w14:textFill>
            <w14:solidFill>
              <w14:schemeClr w14:val="tx1"/>
            </w14:solidFill>
          </w14:textFill>
        </w:rPr>
      </w:pPr>
    </w:p>
    <w:p w14:paraId="35205C28">
      <w:pPr>
        <w:adjustRightInd w:val="0"/>
        <w:snapToGrid w:val="0"/>
        <w:jc w:val="center"/>
        <w:rPr>
          <w:rFonts w:eastAsia="宋体"/>
          <w:color w:val="000000" w:themeColor="text1"/>
          <w:kern w:val="0"/>
          <w:sz w:val="18"/>
          <w:szCs w:val="20"/>
          <w14:textFill>
            <w14:solidFill>
              <w14:schemeClr w14:val="tx1"/>
            </w14:solidFill>
          </w14:textFill>
        </w:rPr>
      </w:pPr>
    </w:p>
    <w:p w14:paraId="357C2DBE">
      <w:pPr>
        <w:adjustRightInd w:val="0"/>
        <w:snapToGrid w:val="0"/>
        <w:jc w:val="center"/>
        <w:rPr>
          <w:rFonts w:eastAsia="宋体"/>
          <w:color w:val="000000" w:themeColor="text1"/>
          <w:kern w:val="0"/>
          <w:sz w:val="18"/>
          <w:szCs w:val="20"/>
          <w14:textFill>
            <w14:solidFill>
              <w14:schemeClr w14:val="tx1"/>
            </w14:solidFill>
          </w14:textFill>
        </w:rPr>
      </w:pPr>
    </w:p>
    <w:p w14:paraId="77F3A93D">
      <w:pPr>
        <w:spacing w:line="360" w:lineRule="auto"/>
        <w:jc w:val="center"/>
        <w:rPr>
          <w:rFonts w:eastAsia="宋体"/>
          <w:color w:val="000000" w:themeColor="text1"/>
          <w:sz w:val="32"/>
          <w:szCs w:val="32"/>
          <w14:textFill>
            <w14:solidFill>
              <w14:schemeClr w14:val="tx1"/>
            </w14:solidFill>
          </w14:textFill>
        </w:rPr>
      </w:pPr>
    </w:p>
    <w:p w14:paraId="59B0737B">
      <w:pPr>
        <w:spacing w:line="360" w:lineRule="auto"/>
        <w:jc w:val="center"/>
        <w:rPr>
          <w:rFonts w:eastAsia="仿宋"/>
          <w:color w:val="000000" w:themeColor="text1"/>
          <w:sz w:val="32"/>
          <w:szCs w:val="32"/>
          <w14:textFill>
            <w14:solidFill>
              <w14:schemeClr w14:val="tx1"/>
            </w14:solidFill>
          </w14:textFill>
        </w:rPr>
      </w:pPr>
    </w:p>
    <w:tbl>
      <w:tblPr>
        <w:tblStyle w:val="36"/>
        <w:tblW w:w="8385" w:type="dxa"/>
        <w:tblInd w:w="675" w:type="dxa"/>
        <w:tblLayout w:type="fixed"/>
        <w:tblCellMar>
          <w:top w:w="0" w:type="dxa"/>
          <w:left w:w="108" w:type="dxa"/>
          <w:bottom w:w="0" w:type="dxa"/>
          <w:right w:w="108" w:type="dxa"/>
        </w:tblCellMar>
      </w:tblPr>
      <w:tblGrid>
        <w:gridCol w:w="1877"/>
        <w:gridCol w:w="1417"/>
        <w:gridCol w:w="5091"/>
      </w:tblGrid>
      <w:tr w14:paraId="40D2811A">
        <w:tblPrEx>
          <w:tblCellMar>
            <w:top w:w="0" w:type="dxa"/>
            <w:left w:w="108" w:type="dxa"/>
            <w:bottom w:w="0" w:type="dxa"/>
            <w:right w:w="108" w:type="dxa"/>
          </w:tblCellMar>
        </w:tblPrEx>
        <w:tc>
          <w:tcPr>
            <w:tcW w:w="1877" w:type="dxa"/>
            <w:shd w:val="clear" w:color="auto" w:fill="auto"/>
          </w:tcPr>
          <w:p w14:paraId="614B2C4B">
            <w:pPr>
              <w:adjustRightInd w:val="0"/>
              <w:snapToGrid w:val="0"/>
              <w:spacing w:line="288" w:lineRule="auto"/>
              <w:jc w:val="lef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项目名称:</w:t>
            </w:r>
          </w:p>
        </w:tc>
        <w:tc>
          <w:tcPr>
            <w:tcW w:w="6508" w:type="dxa"/>
            <w:gridSpan w:val="2"/>
            <w:shd w:val="clear" w:color="auto" w:fill="auto"/>
          </w:tcPr>
          <w:p w14:paraId="1BEF27B1">
            <w:pPr>
              <w:adjustRightInd w:val="0"/>
              <w:snapToGrid w:val="0"/>
              <w:spacing w:line="288" w:lineRule="auto"/>
              <w:rPr>
                <w:color w:val="000000" w:themeColor="text1"/>
                <w:sz w:val="36"/>
                <w:szCs w:val="36"/>
                <w:u w:val="single"/>
                <w14:textFill>
                  <w14:solidFill>
                    <w14:schemeClr w14:val="tx1"/>
                  </w14:solidFill>
                </w14:textFill>
              </w:rPr>
            </w:pPr>
            <w:r>
              <w:rPr>
                <w:color w:val="000000" w:themeColor="text1"/>
                <w:sz w:val="36"/>
                <w:szCs w:val="36"/>
                <w:u w:val="single"/>
                <w14:textFill>
                  <w14:solidFill>
                    <w14:schemeClr w14:val="tx1"/>
                  </w14:solidFill>
                </w14:textFill>
              </w:rPr>
              <w:t xml:space="preserve">宁夏昊际建材有限公司年产30万方预拌混凝土搅拌站二期项目                             </w:t>
            </w:r>
          </w:p>
        </w:tc>
      </w:tr>
      <w:tr w14:paraId="3BB81822">
        <w:tblPrEx>
          <w:tblCellMar>
            <w:top w:w="0" w:type="dxa"/>
            <w:left w:w="108" w:type="dxa"/>
            <w:bottom w:w="0" w:type="dxa"/>
            <w:right w:w="108" w:type="dxa"/>
          </w:tblCellMar>
        </w:tblPrEx>
        <w:tc>
          <w:tcPr>
            <w:tcW w:w="3294" w:type="dxa"/>
            <w:gridSpan w:val="2"/>
            <w:shd w:val="clear" w:color="auto" w:fill="auto"/>
          </w:tcPr>
          <w:p w14:paraId="66AF8714">
            <w:pPr>
              <w:adjustRightInd w:val="0"/>
              <w:snapToGrid w:val="0"/>
              <w:spacing w:line="288" w:lineRule="auto"/>
              <w:jc w:val="lef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建设单位（盖章）:</w:t>
            </w:r>
          </w:p>
        </w:tc>
        <w:tc>
          <w:tcPr>
            <w:tcW w:w="5091" w:type="dxa"/>
            <w:shd w:val="clear" w:color="auto" w:fill="auto"/>
          </w:tcPr>
          <w:p w14:paraId="76DDF2CA">
            <w:pPr>
              <w:adjustRightInd w:val="0"/>
              <w:snapToGrid w:val="0"/>
              <w:spacing w:line="288" w:lineRule="auto"/>
              <w:rPr>
                <w:color w:val="000000" w:themeColor="text1"/>
                <w:sz w:val="36"/>
                <w:szCs w:val="36"/>
                <w:u w:val="single"/>
                <w14:textFill>
                  <w14:solidFill>
                    <w14:schemeClr w14:val="tx1"/>
                  </w14:solidFill>
                </w14:textFill>
              </w:rPr>
            </w:pPr>
            <w:r>
              <w:rPr>
                <w:color w:val="000000" w:themeColor="text1"/>
                <w:sz w:val="36"/>
                <w:szCs w:val="36"/>
                <w:u w:val="single"/>
                <w14:textFill>
                  <w14:solidFill>
                    <w14:schemeClr w14:val="tx1"/>
                  </w14:solidFill>
                </w14:textFill>
              </w:rPr>
              <w:t xml:space="preserve">宁夏昊际建材有限公司       </w:t>
            </w:r>
          </w:p>
        </w:tc>
      </w:tr>
      <w:tr w14:paraId="7AD41DD8">
        <w:tblPrEx>
          <w:tblCellMar>
            <w:top w:w="0" w:type="dxa"/>
            <w:left w:w="108" w:type="dxa"/>
            <w:bottom w:w="0" w:type="dxa"/>
            <w:right w:w="108" w:type="dxa"/>
          </w:tblCellMar>
        </w:tblPrEx>
        <w:tc>
          <w:tcPr>
            <w:tcW w:w="1877" w:type="dxa"/>
            <w:shd w:val="clear" w:color="auto" w:fill="auto"/>
          </w:tcPr>
          <w:p w14:paraId="2082A7CC">
            <w:pPr>
              <w:adjustRightInd w:val="0"/>
              <w:snapToGrid w:val="0"/>
              <w:spacing w:line="288" w:lineRule="auto"/>
              <w:jc w:val="left"/>
              <w:rPr>
                <w:color w:val="000000" w:themeColor="text1"/>
                <w:sz w:val="36"/>
                <w:szCs w:val="36"/>
                <w14:textFill>
                  <w14:solidFill>
                    <w14:schemeClr w14:val="tx1"/>
                  </w14:solidFill>
                </w14:textFill>
              </w:rPr>
            </w:pPr>
            <w:r>
              <w:rPr>
                <w:color w:val="000000" w:themeColor="text1"/>
                <w:sz w:val="36"/>
                <w:szCs w:val="36"/>
                <w14:textFill>
                  <w14:solidFill>
                    <w14:schemeClr w14:val="tx1"/>
                  </w14:solidFill>
                </w14:textFill>
              </w:rPr>
              <w:t>编制日期:</w:t>
            </w:r>
          </w:p>
        </w:tc>
        <w:tc>
          <w:tcPr>
            <w:tcW w:w="6508" w:type="dxa"/>
            <w:gridSpan w:val="2"/>
            <w:shd w:val="clear" w:color="auto" w:fill="auto"/>
          </w:tcPr>
          <w:p w14:paraId="4F6BEF9C">
            <w:pPr>
              <w:adjustRightInd w:val="0"/>
              <w:snapToGrid w:val="0"/>
              <w:spacing w:line="288" w:lineRule="auto"/>
              <w:rPr>
                <w:color w:val="000000" w:themeColor="text1"/>
                <w:sz w:val="36"/>
                <w:szCs w:val="36"/>
                <w14:textFill>
                  <w14:solidFill>
                    <w14:schemeClr w14:val="tx1"/>
                  </w14:solidFill>
                </w14:textFill>
              </w:rPr>
            </w:pPr>
            <w:r>
              <w:rPr>
                <w:color w:val="000000" w:themeColor="text1"/>
                <w:sz w:val="36"/>
                <w:szCs w:val="36"/>
                <w:u w:val="single"/>
                <w14:textFill>
                  <w14:solidFill>
                    <w14:schemeClr w14:val="tx1"/>
                  </w14:solidFill>
                </w14:textFill>
              </w:rPr>
              <w:t xml:space="preserve">          2026年6月               </w:t>
            </w:r>
          </w:p>
        </w:tc>
      </w:tr>
    </w:tbl>
    <w:p w14:paraId="3689D012">
      <w:pPr>
        <w:adjustRightInd w:val="0"/>
        <w:snapToGrid w:val="0"/>
        <w:spacing w:line="288" w:lineRule="auto"/>
        <w:jc w:val="center"/>
        <w:rPr>
          <w:color w:val="000000" w:themeColor="text1"/>
          <w:sz w:val="32"/>
          <w:szCs w:val="32"/>
          <w14:textFill>
            <w14:solidFill>
              <w14:schemeClr w14:val="tx1"/>
            </w14:solidFill>
          </w14:textFill>
        </w:rPr>
      </w:pPr>
    </w:p>
    <w:p w14:paraId="60000BE4">
      <w:pPr>
        <w:adjustRightInd w:val="0"/>
        <w:snapToGrid w:val="0"/>
        <w:spacing w:line="288" w:lineRule="auto"/>
        <w:jc w:val="center"/>
        <w:rPr>
          <w:color w:val="000000" w:themeColor="text1"/>
          <w:sz w:val="32"/>
          <w:szCs w:val="32"/>
          <w14:textFill>
            <w14:solidFill>
              <w14:schemeClr w14:val="tx1"/>
            </w14:solidFill>
          </w14:textFill>
        </w:rPr>
      </w:pPr>
    </w:p>
    <w:p w14:paraId="7CD5235C">
      <w:pPr>
        <w:adjustRightInd w:val="0"/>
        <w:snapToGrid w:val="0"/>
        <w:spacing w:line="288" w:lineRule="auto"/>
        <w:jc w:val="center"/>
        <w:rPr>
          <w:color w:val="000000" w:themeColor="text1"/>
          <w:sz w:val="32"/>
          <w:szCs w:val="32"/>
          <w14:textFill>
            <w14:solidFill>
              <w14:schemeClr w14:val="tx1"/>
            </w14:solidFill>
          </w14:textFill>
        </w:rPr>
      </w:pPr>
    </w:p>
    <w:p w14:paraId="17BA7217">
      <w:pPr>
        <w:adjustRightInd w:val="0"/>
        <w:snapToGrid w:val="0"/>
        <w:spacing w:line="288" w:lineRule="auto"/>
        <w:jc w:val="center"/>
        <w:rPr>
          <w:rFonts w:eastAsia="楷体_GB2312"/>
          <w:color w:val="000000" w:themeColor="text1"/>
          <w:sz w:val="36"/>
          <w:szCs w:val="36"/>
          <w14:textFill>
            <w14:solidFill>
              <w14:schemeClr w14:val="tx1"/>
            </w14:solidFill>
          </w14:textFill>
        </w:rPr>
      </w:pPr>
      <w:r>
        <w:rPr>
          <w:rFonts w:eastAsia="楷体_GB2312"/>
          <w:color w:val="000000" w:themeColor="text1"/>
          <w:sz w:val="36"/>
          <w:szCs w:val="36"/>
          <w14:textFill>
            <w14:solidFill>
              <w14:schemeClr w14:val="tx1"/>
            </w14:solidFill>
          </w14:textFill>
        </w:rPr>
        <w:t>中华人民共和国生态环境部制</w:t>
      </w:r>
    </w:p>
    <w:bookmarkEnd w:id="0"/>
    <w:p w14:paraId="66B7A4F5">
      <w:pPr>
        <w:pStyle w:val="2"/>
        <w:ind w:left="480"/>
        <w:rPr>
          <w:color w:val="000000" w:themeColor="text1"/>
          <w14:textFill>
            <w14:solidFill>
              <w14:schemeClr w14:val="tx1"/>
            </w14:solidFill>
          </w14:textFill>
        </w:rPr>
      </w:pPr>
    </w:p>
    <w:p w14:paraId="2E404B95">
      <w:pPr>
        <w:rPr>
          <w:color w:val="000000" w:themeColor="text1"/>
          <w14:textFill>
            <w14:solidFill>
              <w14:schemeClr w14:val="tx1"/>
            </w14:solidFill>
          </w14:textFill>
        </w:rPr>
      </w:pPr>
    </w:p>
    <w:p w14:paraId="73A06147">
      <w:pPr>
        <w:pStyle w:val="2"/>
        <w:ind w:left="480"/>
        <w:rPr>
          <w:color w:val="000000" w:themeColor="text1"/>
          <w14:textFill>
            <w14:solidFill>
              <w14:schemeClr w14:val="tx1"/>
            </w14:solidFill>
          </w14:textFill>
        </w:rPr>
      </w:pPr>
    </w:p>
    <w:p w14:paraId="6AC0CBF0">
      <w:pPr>
        <w:rPr>
          <w:color w:val="000000" w:themeColor="text1"/>
          <w14:textFill>
            <w14:solidFill>
              <w14:schemeClr w14:val="tx1"/>
            </w14:solidFill>
          </w14:textFill>
        </w:rPr>
      </w:pPr>
    </w:p>
    <w:p w14:paraId="015CACCE">
      <w:pPr>
        <w:pStyle w:val="2"/>
        <w:ind w:left="480"/>
        <w:rPr>
          <w:color w:val="000000" w:themeColor="text1"/>
          <w14:textFill>
            <w14:solidFill>
              <w14:schemeClr w14:val="tx1"/>
            </w14:solidFill>
          </w14:textFill>
        </w:rPr>
      </w:pPr>
    </w:p>
    <w:p w14:paraId="5B5DFC8D">
      <w:pPr>
        <w:rPr>
          <w:color w:val="000000" w:themeColor="text1"/>
          <w14:textFill>
            <w14:solidFill>
              <w14:schemeClr w14:val="tx1"/>
            </w14:solidFill>
          </w14:textFill>
        </w:rPr>
        <w:sectPr>
          <w:footerReference r:id="rId3" w:type="default"/>
          <w:pgSz w:w="11906" w:h="16838"/>
          <w:pgMar w:top="1701" w:right="1531" w:bottom="1701" w:left="1531" w:header="851" w:footer="1077" w:gutter="0"/>
          <w:pgNumType w:start="1"/>
          <w:cols w:space="720" w:num="1"/>
          <w:titlePg/>
          <w:docGrid w:linePitch="326" w:charSpace="0"/>
        </w:sectPr>
      </w:pPr>
    </w:p>
    <w:p w14:paraId="3FAEA363">
      <w:pPr>
        <w:pStyle w:val="33"/>
        <w:adjustRightInd w:val="0"/>
        <w:snapToGrid w:val="0"/>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一、建设项目基本情况</w:t>
      </w:r>
    </w:p>
    <w:tbl>
      <w:tblPr>
        <w:tblStyle w:val="36"/>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86"/>
        <w:gridCol w:w="2113"/>
        <w:gridCol w:w="1856"/>
        <w:gridCol w:w="3699"/>
      </w:tblGrid>
      <w:tr w14:paraId="470E1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29BEDD11">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建设项目名称</w:t>
            </w:r>
          </w:p>
        </w:tc>
        <w:tc>
          <w:tcPr>
            <w:tcW w:w="7668" w:type="dxa"/>
            <w:gridSpan w:val="3"/>
            <w:vAlign w:val="center"/>
          </w:tcPr>
          <w:p w14:paraId="1A338F53">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宁夏昊际建材有限公司年产30万方预拌混凝土搅拌站二期项目</w:t>
            </w:r>
          </w:p>
        </w:tc>
      </w:tr>
      <w:tr w14:paraId="1EACE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0241F345">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项目代码</w:t>
            </w:r>
          </w:p>
        </w:tc>
        <w:tc>
          <w:tcPr>
            <w:tcW w:w="7668" w:type="dxa"/>
            <w:gridSpan w:val="3"/>
            <w:vAlign w:val="center"/>
          </w:tcPr>
          <w:p w14:paraId="371E40E9">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2604-640425-89-01-888473</w:t>
            </w:r>
          </w:p>
        </w:tc>
      </w:tr>
      <w:tr w14:paraId="766DD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6B7B7549">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建设单位联系人</w:t>
            </w:r>
          </w:p>
        </w:tc>
        <w:tc>
          <w:tcPr>
            <w:tcW w:w="2113" w:type="dxa"/>
            <w:vAlign w:val="center"/>
          </w:tcPr>
          <w:p w14:paraId="7A4F5698">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袁军</w:t>
            </w:r>
          </w:p>
        </w:tc>
        <w:tc>
          <w:tcPr>
            <w:tcW w:w="1856" w:type="dxa"/>
            <w:vAlign w:val="center"/>
          </w:tcPr>
          <w:p w14:paraId="50BA06C5">
            <w:pPr>
              <w:adjustRightInd w:val="0"/>
              <w:snapToGrid w:val="0"/>
              <w:jc w:val="center"/>
              <w:rPr>
                <w:rFonts w:eastAsia="宋体"/>
                <w:color w:val="000000" w:themeColor="text1"/>
                <w14:textFill>
                  <w14:solidFill>
                    <w14:schemeClr w14:val="tx1"/>
                  </w14:solidFill>
                </w14:textFill>
              </w:rPr>
            </w:pPr>
            <w:r>
              <w:rPr>
                <w:rFonts w:eastAsia="宋体"/>
                <w:b/>
                <w:bCs/>
                <w:color w:val="000000" w:themeColor="text1"/>
                <w14:textFill>
                  <w14:solidFill>
                    <w14:schemeClr w14:val="tx1"/>
                  </w14:solidFill>
                </w14:textFill>
              </w:rPr>
              <w:t>联系方式</w:t>
            </w:r>
          </w:p>
        </w:tc>
        <w:tc>
          <w:tcPr>
            <w:tcW w:w="3699" w:type="dxa"/>
            <w:vAlign w:val="center"/>
          </w:tcPr>
          <w:p w14:paraId="0BA28FA8">
            <w:pPr>
              <w:pStyle w:val="133"/>
              <w:widowControl/>
              <w:adjustRightInd w:val="0"/>
              <w:snapToGrid w:val="0"/>
              <w:spacing w:line="240" w:lineRule="auto"/>
              <w:ind w:firstLine="0"/>
              <w:jc w:val="center"/>
              <w:rPr>
                <w:color w:val="000000" w:themeColor="text1"/>
                <w:szCs w:val="24"/>
                <w14:textFill>
                  <w14:solidFill>
                    <w14:schemeClr w14:val="tx1"/>
                  </w14:solidFill>
                </w14:textFill>
              </w:rPr>
            </w:pPr>
          </w:p>
        </w:tc>
      </w:tr>
      <w:tr w14:paraId="6ECAB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6FB3C43F">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建设地点</w:t>
            </w:r>
          </w:p>
        </w:tc>
        <w:tc>
          <w:tcPr>
            <w:tcW w:w="7668" w:type="dxa"/>
            <w:gridSpan w:val="3"/>
            <w:vAlign w:val="center"/>
          </w:tcPr>
          <w:p w14:paraId="5E7CA4CA">
            <w:pPr>
              <w:widowControl/>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宁夏回族自治区固原市彭阳县王洼镇北洼村印子掌01号</w:t>
            </w:r>
          </w:p>
        </w:tc>
      </w:tr>
      <w:tr w14:paraId="29B20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71A65F3D">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地理坐标</w:t>
            </w:r>
          </w:p>
        </w:tc>
        <w:tc>
          <w:tcPr>
            <w:tcW w:w="7668" w:type="dxa"/>
            <w:gridSpan w:val="3"/>
            <w:vAlign w:val="center"/>
          </w:tcPr>
          <w:p w14:paraId="16A09648">
            <w:pPr>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厂区中心地理坐标：东经106°36′42.712″，北纬36°10′18.442″</w:t>
            </w:r>
          </w:p>
        </w:tc>
      </w:tr>
      <w:tr w14:paraId="37BDB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2E372EB2">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国民经济</w:t>
            </w:r>
          </w:p>
          <w:p w14:paraId="16072414">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行业类别</w:t>
            </w:r>
          </w:p>
        </w:tc>
        <w:tc>
          <w:tcPr>
            <w:tcW w:w="2113" w:type="dxa"/>
            <w:vAlign w:val="center"/>
          </w:tcPr>
          <w:p w14:paraId="2AFFDCB2">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C3099其他非金属矿物制品制造</w:t>
            </w:r>
          </w:p>
          <w:p w14:paraId="34C272CE">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N7723固体废物治理</w:t>
            </w:r>
          </w:p>
        </w:tc>
        <w:tc>
          <w:tcPr>
            <w:tcW w:w="1856" w:type="dxa"/>
            <w:vAlign w:val="center"/>
          </w:tcPr>
          <w:p w14:paraId="22BB1005">
            <w:pPr>
              <w:jc w:val="center"/>
              <w:rPr>
                <w:rFonts w:eastAsia="宋体"/>
                <w:b/>
                <w:bCs/>
                <w:color w:val="000000" w:themeColor="text1"/>
                <w14:textFill>
                  <w14:solidFill>
                    <w14:schemeClr w14:val="tx1"/>
                  </w14:solidFill>
                </w14:textFill>
              </w:rPr>
            </w:pPr>
            <w:bookmarkStart w:id="1" w:name="_Hlk49843745"/>
            <w:r>
              <w:rPr>
                <w:rFonts w:eastAsia="宋体"/>
                <w:b/>
                <w:bCs/>
                <w:color w:val="000000" w:themeColor="text1"/>
                <w14:textFill>
                  <w14:solidFill>
                    <w14:schemeClr w14:val="tx1"/>
                  </w14:solidFill>
                </w14:textFill>
              </w:rPr>
              <w:t>建设项目</w:t>
            </w:r>
          </w:p>
          <w:p w14:paraId="7D6258B8">
            <w:pPr>
              <w:jc w:val="center"/>
              <w:rPr>
                <w:rFonts w:eastAsia="宋体"/>
                <w:color w:val="000000" w:themeColor="text1"/>
                <w14:textFill>
                  <w14:solidFill>
                    <w14:schemeClr w14:val="tx1"/>
                  </w14:solidFill>
                </w14:textFill>
              </w:rPr>
            </w:pPr>
            <w:r>
              <w:rPr>
                <w:rFonts w:eastAsia="宋体"/>
                <w:b/>
                <w:bCs/>
                <w:color w:val="000000" w:themeColor="text1"/>
                <w14:textFill>
                  <w14:solidFill>
                    <w14:schemeClr w14:val="tx1"/>
                  </w14:solidFill>
                </w14:textFill>
              </w:rPr>
              <w:t>行业类别</w:t>
            </w:r>
            <w:bookmarkEnd w:id="1"/>
          </w:p>
        </w:tc>
        <w:tc>
          <w:tcPr>
            <w:tcW w:w="3699" w:type="dxa"/>
            <w:vAlign w:val="center"/>
          </w:tcPr>
          <w:p w14:paraId="40F280EE">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二十七、非金属矿物制品业60石墨及其他非金属矿物制品制造309-其他</w:t>
            </w:r>
          </w:p>
          <w:p w14:paraId="32490E7E">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四十七、生态保护和环境治理业103一般工业固体废物（含污水处理污泥）、建筑施工废弃物处置及综合利用-其他</w:t>
            </w:r>
          </w:p>
        </w:tc>
      </w:tr>
      <w:tr w14:paraId="465FC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05310777">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建设性质</w:t>
            </w:r>
          </w:p>
        </w:tc>
        <w:tc>
          <w:tcPr>
            <w:tcW w:w="2113" w:type="dxa"/>
            <w:vAlign w:val="center"/>
          </w:tcPr>
          <w:p w14:paraId="44F814AE">
            <w:pPr>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□新建（迁建）</w:t>
            </w:r>
          </w:p>
          <w:p w14:paraId="7C3E36BE">
            <w:pPr>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□改建</w:t>
            </w:r>
          </w:p>
          <w:p w14:paraId="79C70790">
            <w:pPr>
              <w:jc w:val="left"/>
              <w:rPr>
                <w:rFonts w:eastAsia="宋体"/>
                <w:color w:val="000000" w:themeColor="text1"/>
                <w14:textFill>
                  <w14:solidFill>
                    <w14:schemeClr w14:val="tx1"/>
                  </w14:solidFill>
                </w14:textFill>
              </w:rPr>
            </w:pPr>
            <w:r>
              <w:rPr>
                <w:rFonts w:ascii="Segoe UI Symbol" w:hAnsi="Segoe UI Symbol" w:eastAsia="宋体" w:cs="Segoe UI Symbol"/>
                <w:color w:val="000000" w:themeColor="text1"/>
                <w14:textFill>
                  <w14:solidFill>
                    <w14:schemeClr w14:val="tx1"/>
                  </w14:solidFill>
                </w14:textFill>
              </w:rPr>
              <w:t>☑</w:t>
            </w:r>
            <w:r>
              <w:rPr>
                <w:rFonts w:eastAsia="宋体"/>
                <w:color w:val="000000" w:themeColor="text1"/>
                <w14:textFill>
                  <w14:solidFill>
                    <w14:schemeClr w14:val="tx1"/>
                  </w14:solidFill>
                </w14:textFill>
              </w:rPr>
              <w:t>扩建</w:t>
            </w:r>
          </w:p>
          <w:p w14:paraId="637A18EB">
            <w:pPr>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□技术改造</w:t>
            </w:r>
          </w:p>
        </w:tc>
        <w:tc>
          <w:tcPr>
            <w:tcW w:w="1856" w:type="dxa"/>
            <w:vAlign w:val="center"/>
          </w:tcPr>
          <w:p w14:paraId="5E1AE814">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建设项目</w:t>
            </w:r>
          </w:p>
          <w:p w14:paraId="49463902">
            <w:pPr>
              <w:adjustRightInd w:val="0"/>
              <w:snapToGrid w:val="0"/>
              <w:jc w:val="center"/>
              <w:rPr>
                <w:rFonts w:eastAsia="宋体"/>
                <w:color w:val="000000" w:themeColor="text1"/>
                <w14:textFill>
                  <w14:solidFill>
                    <w14:schemeClr w14:val="tx1"/>
                  </w14:solidFill>
                </w14:textFill>
              </w:rPr>
            </w:pPr>
            <w:r>
              <w:rPr>
                <w:rFonts w:eastAsia="宋体"/>
                <w:b/>
                <w:bCs/>
                <w:color w:val="000000" w:themeColor="text1"/>
                <w14:textFill>
                  <w14:solidFill>
                    <w14:schemeClr w14:val="tx1"/>
                  </w14:solidFill>
                </w14:textFill>
              </w:rPr>
              <w:t>申报情形</w:t>
            </w:r>
          </w:p>
        </w:tc>
        <w:tc>
          <w:tcPr>
            <w:tcW w:w="3699" w:type="dxa"/>
            <w:vAlign w:val="center"/>
          </w:tcPr>
          <w:p w14:paraId="2605D13A">
            <w:pPr>
              <w:jc w:val="left"/>
              <w:rPr>
                <w:rFonts w:eastAsia="宋体"/>
                <w:color w:val="000000" w:themeColor="text1"/>
                <w14:textFill>
                  <w14:solidFill>
                    <w14:schemeClr w14:val="tx1"/>
                  </w14:solidFill>
                </w14:textFill>
              </w:rPr>
            </w:pPr>
            <w:r>
              <w:rPr>
                <w:rFonts w:ascii="Segoe UI Symbol" w:hAnsi="Segoe UI Symbol" w:eastAsia="宋体" w:cs="Segoe UI Symbol"/>
                <w:color w:val="000000" w:themeColor="text1"/>
                <w14:textFill>
                  <w14:solidFill>
                    <w14:schemeClr w14:val="tx1"/>
                  </w14:solidFill>
                </w14:textFill>
              </w:rPr>
              <w:t>☑</w:t>
            </w:r>
            <w:r>
              <w:rPr>
                <w:rFonts w:eastAsia="宋体"/>
                <w:color w:val="000000" w:themeColor="text1"/>
                <w14:textFill>
                  <w14:solidFill>
                    <w14:schemeClr w14:val="tx1"/>
                  </w14:solidFill>
                </w14:textFill>
              </w:rPr>
              <w:t>首次申报项目</w:t>
            </w:r>
          </w:p>
          <w:p w14:paraId="48386D32">
            <w:pPr>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□不予批准后再次申报项目</w:t>
            </w:r>
          </w:p>
          <w:p w14:paraId="37C1E9D0">
            <w:pPr>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（超五年重新审核项目</w:t>
            </w:r>
          </w:p>
          <w:p w14:paraId="25339174">
            <w:pPr>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□重大变动重新报批项目</w:t>
            </w:r>
          </w:p>
        </w:tc>
      </w:tr>
      <w:tr w14:paraId="67DF0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6474A527">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项目审批（核准/备案）部门（选填）</w:t>
            </w:r>
          </w:p>
        </w:tc>
        <w:tc>
          <w:tcPr>
            <w:tcW w:w="2113" w:type="dxa"/>
            <w:vAlign w:val="center"/>
          </w:tcPr>
          <w:p w14:paraId="69F0B417">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彭阳县审批服务管理局</w:t>
            </w:r>
          </w:p>
        </w:tc>
        <w:tc>
          <w:tcPr>
            <w:tcW w:w="1856" w:type="dxa"/>
            <w:vAlign w:val="center"/>
          </w:tcPr>
          <w:p w14:paraId="5239B7E9">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项目审批（核准/</w:t>
            </w:r>
          </w:p>
          <w:p w14:paraId="0B515285">
            <w:pPr>
              <w:adjustRightInd w:val="0"/>
              <w:snapToGrid w:val="0"/>
              <w:jc w:val="center"/>
              <w:rPr>
                <w:rFonts w:eastAsia="宋体"/>
                <w:color w:val="000000" w:themeColor="text1"/>
                <w14:textFill>
                  <w14:solidFill>
                    <w14:schemeClr w14:val="tx1"/>
                  </w14:solidFill>
                </w14:textFill>
              </w:rPr>
            </w:pPr>
            <w:r>
              <w:rPr>
                <w:rFonts w:eastAsia="宋体"/>
                <w:b/>
                <w:bCs/>
                <w:color w:val="000000" w:themeColor="text1"/>
                <w14:textFill>
                  <w14:solidFill>
                    <w14:schemeClr w14:val="tx1"/>
                  </w14:solidFill>
                </w14:textFill>
              </w:rPr>
              <w:t>备案）文号（选填</w:t>
            </w:r>
            <w:r>
              <w:rPr>
                <w:rFonts w:eastAsia="宋体"/>
                <w:color w:val="000000" w:themeColor="text1"/>
                <w14:textFill>
                  <w14:solidFill>
                    <w14:schemeClr w14:val="tx1"/>
                  </w14:solidFill>
                </w14:textFill>
              </w:rPr>
              <w:t>）</w:t>
            </w:r>
          </w:p>
        </w:tc>
        <w:tc>
          <w:tcPr>
            <w:tcW w:w="3699" w:type="dxa"/>
            <w:vAlign w:val="center"/>
          </w:tcPr>
          <w:p w14:paraId="49D768DF">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r w14:paraId="721866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7147EC86">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总投资</w:t>
            </w:r>
          </w:p>
          <w:p w14:paraId="6F49B6A8">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（万元）</w:t>
            </w:r>
          </w:p>
        </w:tc>
        <w:tc>
          <w:tcPr>
            <w:tcW w:w="2113" w:type="dxa"/>
            <w:vAlign w:val="center"/>
          </w:tcPr>
          <w:p w14:paraId="79F12D1C">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1500</w:t>
            </w:r>
          </w:p>
        </w:tc>
        <w:tc>
          <w:tcPr>
            <w:tcW w:w="1856" w:type="dxa"/>
            <w:tcMar>
              <w:top w:w="16" w:type="dxa"/>
              <w:left w:w="16" w:type="dxa"/>
              <w:right w:w="16" w:type="dxa"/>
            </w:tcMar>
            <w:vAlign w:val="center"/>
          </w:tcPr>
          <w:p w14:paraId="345C8289">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环保投资</w:t>
            </w:r>
          </w:p>
          <w:p w14:paraId="5C0882E1">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（万元）</w:t>
            </w:r>
          </w:p>
        </w:tc>
        <w:tc>
          <w:tcPr>
            <w:tcW w:w="3699" w:type="dxa"/>
            <w:vAlign w:val="center"/>
          </w:tcPr>
          <w:p w14:paraId="4D91EC05">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50</w:t>
            </w:r>
          </w:p>
        </w:tc>
      </w:tr>
      <w:tr w14:paraId="1D0DC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2D1EC2BC">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环保投资占比（%）</w:t>
            </w:r>
          </w:p>
        </w:tc>
        <w:tc>
          <w:tcPr>
            <w:tcW w:w="2113" w:type="dxa"/>
            <w:vAlign w:val="center"/>
          </w:tcPr>
          <w:p w14:paraId="10217D71">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3.33</w:t>
            </w:r>
          </w:p>
        </w:tc>
        <w:tc>
          <w:tcPr>
            <w:tcW w:w="1856" w:type="dxa"/>
            <w:tcMar>
              <w:top w:w="16" w:type="dxa"/>
              <w:left w:w="16" w:type="dxa"/>
              <w:right w:w="16" w:type="dxa"/>
            </w:tcMar>
            <w:vAlign w:val="center"/>
          </w:tcPr>
          <w:p w14:paraId="6FD6150A">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施工工期</w:t>
            </w:r>
          </w:p>
        </w:tc>
        <w:tc>
          <w:tcPr>
            <w:tcW w:w="3699" w:type="dxa"/>
            <w:vAlign w:val="center"/>
          </w:tcPr>
          <w:p w14:paraId="02F21B4B">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6个月</w:t>
            </w:r>
          </w:p>
        </w:tc>
      </w:tr>
      <w:tr w14:paraId="7B437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86" w:type="dxa"/>
            <w:tcMar>
              <w:top w:w="16" w:type="dxa"/>
              <w:left w:w="16" w:type="dxa"/>
              <w:right w:w="16" w:type="dxa"/>
            </w:tcMar>
            <w:vAlign w:val="center"/>
          </w:tcPr>
          <w:p w14:paraId="358096DD">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是否开工建设</w:t>
            </w:r>
          </w:p>
        </w:tc>
        <w:tc>
          <w:tcPr>
            <w:tcW w:w="2113" w:type="dxa"/>
            <w:vAlign w:val="center"/>
          </w:tcPr>
          <w:p w14:paraId="212861AC">
            <w:pPr>
              <w:adjustRightInd w:val="0"/>
              <w:snapToGrid w:val="0"/>
              <w:rPr>
                <w:rFonts w:eastAsia="宋体"/>
                <w:color w:val="000000" w:themeColor="text1"/>
                <w14:textFill>
                  <w14:solidFill>
                    <w14:schemeClr w14:val="tx1"/>
                  </w14:solidFill>
                </w14:textFill>
              </w:rPr>
            </w:pPr>
            <w:r>
              <w:rPr>
                <w:rFonts w:ascii="Segoe UI Symbol" w:hAnsi="Segoe UI Symbol" w:eastAsia="宋体" w:cs="Segoe UI Symbol"/>
                <w:color w:val="000000" w:themeColor="text1"/>
                <w14:textFill>
                  <w14:solidFill>
                    <w14:schemeClr w14:val="tx1"/>
                  </w14:solidFill>
                </w14:textFill>
              </w:rPr>
              <w:t>☑</w:t>
            </w:r>
            <w:r>
              <w:rPr>
                <w:rFonts w:eastAsia="宋体"/>
                <w:color w:val="000000" w:themeColor="text1"/>
                <w14:textFill>
                  <w14:solidFill>
                    <w14:schemeClr w14:val="tx1"/>
                  </w14:solidFill>
                </w14:textFill>
              </w:rPr>
              <w:t>否</w:t>
            </w:r>
          </w:p>
          <w:p w14:paraId="2537BE9B">
            <w:pPr>
              <w:adjustRightInd w:val="0"/>
              <w:snapToGrid w:val="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□是：</w:t>
            </w:r>
          </w:p>
        </w:tc>
        <w:tc>
          <w:tcPr>
            <w:tcW w:w="1856" w:type="dxa"/>
            <w:tcMar>
              <w:top w:w="16" w:type="dxa"/>
              <w:left w:w="16" w:type="dxa"/>
              <w:right w:w="16" w:type="dxa"/>
            </w:tcMar>
            <w:vAlign w:val="center"/>
          </w:tcPr>
          <w:p w14:paraId="6697FFD9">
            <w:pPr>
              <w:adjustRightInd w:val="0"/>
              <w:snapToGrid w:val="0"/>
              <w:jc w:val="center"/>
              <w:rPr>
                <w:rFonts w:eastAsia="宋体"/>
                <w:b/>
                <w:bCs/>
                <w:color w:val="000000" w:themeColor="text1"/>
                <w:spacing w:val="-6"/>
                <w14:textFill>
                  <w14:solidFill>
                    <w14:schemeClr w14:val="tx1"/>
                  </w14:solidFill>
                </w14:textFill>
              </w:rPr>
            </w:pPr>
            <w:r>
              <w:rPr>
                <w:rFonts w:eastAsia="宋体"/>
                <w:b/>
                <w:bCs/>
                <w:color w:val="000000" w:themeColor="text1"/>
                <w:spacing w:val="-6"/>
                <w14:textFill>
                  <w14:solidFill>
                    <w14:schemeClr w14:val="tx1"/>
                  </w14:solidFill>
                </w14:textFill>
              </w:rPr>
              <w:t>用地（用海）</w:t>
            </w:r>
          </w:p>
          <w:p w14:paraId="703F02DE">
            <w:pPr>
              <w:adjustRightInd w:val="0"/>
              <w:snapToGrid w:val="0"/>
              <w:jc w:val="center"/>
              <w:rPr>
                <w:rFonts w:eastAsia="宋体"/>
                <w:b/>
                <w:bCs/>
                <w:color w:val="000000" w:themeColor="text1"/>
                <w14:textFill>
                  <w14:solidFill>
                    <w14:schemeClr w14:val="tx1"/>
                  </w14:solidFill>
                </w14:textFill>
              </w:rPr>
            </w:pPr>
            <w:r>
              <w:rPr>
                <w:rFonts w:eastAsia="宋体"/>
                <w:b/>
                <w:bCs/>
                <w:color w:val="000000" w:themeColor="text1"/>
                <w:spacing w:val="-6"/>
                <w14:textFill>
                  <w14:solidFill>
                    <w14:schemeClr w14:val="tx1"/>
                  </w14:solidFill>
                </w14:textFill>
              </w:rPr>
              <w:t>面积（m</w:t>
            </w:r>
            <w:r>
              <w:rPr>
                <w:rFonts w:eastAsia="宋体"/>
                <w:b/>
                <w:bCs/>
                <w:color w:val="000000" w:themeColor="text1"/>
                <w:spacing w:val="-6"/>
                <w:vertAlign w:val="superscript"/>
                <w14:textFill>
                  <w14:solidFill>
                    <w14:schemeClr w14:val="tx1"/>
                  </w14:solidFill>
                </w14:textFill>
              </w:rPr>
              <w:t>2</w:t>
            </w:r>
            <w:r>
              <w:rPr>
                <w:rFonts w:eastAsia="宋体"/>
                <w:b/>
                <w:bCs/>
                <w:color w:val="000000" w:themeColor="text1"/>
                <w:spacing w:val="-6"/>
                <w14:textFill>
                  <w14:solidFill>
                    <w14:schemeClr w14:val="tx1"/>
                  </w14:solidFill>
                </w14:textFill>
              </w:rPr>
              <w:t>）</w:t>
            </w:r>
          </w:p>
        </w:tc>
        <w:tc>
          <w:tcPr>
            <w:tcW w:w="3699" w:type="dxa"/>
            <w:vAlign w:val="center"/>
          </w:tcPr>
          <w:p w14:paraId="3C5DF316">
            <w:pPr>
              <w:adjustRightInd w:val="0"/>
              <w:snapToGrid w:val="0"/>
              <w:jc w:val="cente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5000</w:t>
            </w:r>
            <w:r>
              <w:rPr>
                <w:rFonts w:eastAsia="宋体"/>
                <w:color w:val="000000" w:themeColor="text1"/>
                <w:spacing w:val="-6"/>
                <w14:textFill>
                  <w14:solidFill>
                    <w14:schemeClr w14:val="tx1"/>
                  </w14:solidFill>
                </w14:textFill>
              </w:rPr>
              <w:t>m</w:t>
            </w:r>
            <w:r>
              <w:rPr>
                <w:rFonts w:eastAsia="宋体"/>
                <w:color w:val="000000" w:themeColor="text1"/>
                <w:spacing w:val="-6"/>
                <w:vertAlign w:val="superscript"/>
                <w14:textFill>
                  <w14:solidFill>
                    <w14:schemeClr w14:val="tx1"/>
                  </w14:solidFill>
                </w14:textFill>
              </w:rPr>
              <w:t>2</w:t>
            </w:r>
            <w:r>
              <w:rPr>
                <w:rFonts w:eastAsia="宋体"/>
                <w:color w:val="000000" w:themeColor="text1"/>
                <w14:textFill>
                  <w14:solidFill>
                    <w14:schemeClr w14:val="tx1"/>
                  </w14:solidFill>
                </w14:textFill>
              </w:rPr>
              <w:t>（原有项目厂界范围内，不新增用地）</w:t>
            </w:r>
          </w:p>
        </w:tc>
      </w:tr>
      <w:tr w14:paraId="68D55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14:paraId="664566F1">
            <w:pPr>
              <w:autoSpaceDE w:val="0"/>
              <w:autoSpaceDN w:val="0"/>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专项评价设置情况</w:t>
            </w:r>
          </w:p>
        </w:tc>
        <w:tc>
          <w:tcPr>
            <w:tcW w:w="7668" w:type="dxa"/>
            <w:gridSpan w:val="3"/>
            <w:vAlign w:val="center"/>
          </w:tcPr>
          <w:p w14:paraId="0F8B29F5">
            <w:pPr>
              <w:autoSpaceDE w:val="0"/>
              <w:autoSpaceDN w:val="0"/>
              <w:adjustRightInd w:val="0"/>
              <w:snapToGrid w:val="0"/>
              <w:jc w:val="center"/>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无</w:t>
            </w:r>
          </w:p>
        </w:tc>
      </w:tr>
      <w:tr w14:paraId="21197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14:paraId="5CCC7708">
            <w:pPr>
              <w:autoSpaceDE w:val="0"/>
              <w:autoSpaceDN w:val="0"/>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14:textFill>
                  <w14:solidFill>
                    <w14:schemeClr w14:val="tx1"/>
                  </w14:solidFill>
                </w14:textFill>
              </w:rPr>
              <w:t>规划情况</w:t>
            </w:r>
          </w:p>
        </w:tc>
        <w:tc>
          <w:tcPr>
            <w:tcW w:w="7668" w:type="dxa"/>
            <w:gridSpan w:val="3"/>
            <w:vAlign w:val="center"/>
          </w:tcPr>
          <w:p w14:paraId="2AFF5981">
            <w:pPr>
              <w:autoSpaceDE w:val="0"/>
              <w:autoSpaceDN w:val="0"/>
              <w:adjustRightInd w:val="0"/>
              <w:snapToGrid w:val="0"/>
              <w:spacing w:line="360" w:lineRule="auto"/>
              <w:jc w:val="center"/>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无</w:t>
            </w:r>
          </w:p>
        </w:tc>
      </w:tr>
      <w:tr w14:paraId="52E31D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14:paraId="69ECECEC">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14:textFill>
                  <w14:solidFill>
                    <w14:schemeClr w14:val="tx1"/>
                  </w14:solidFill>
                </w14:textFill>
              </w:rPr>
              <w:t>规划环境影响评价情况</w:t>
            </w:r>
          </w:p>
        </w:tc>
        <w:tc>
          <w:tcPr>
            <w:tcW w:w="7668" w:type="dxa"/>
            <w:gridSpan w:val="3"/>
            <w:vAlign w:val="center"/>
          </w:tcPr>
          <w:p w14:paraId="414A1A63">
            <w:pPr>
              <w:autoSpaceDE w:val="0"/>
              <w:autoSpaceDN w:val="0"/>
              <w:adjustRightInd w:val="0"/>
              <w:snapToGrid w:val="0"/>
              <w:spacing w:line="360" w:lineRule="auto"/>
              <w:jc w:val="center"/>
              <w:rPr>
                <w:rFonts w:eastAsia="宋体"/>
                <w:color w:val="000000" w:themeColor="text1"/>
                <w14:textFill>
                  <w14:solidFill>
                    <w14:schemeClr w14:val="tx1"/>
                  </w14:solidFill>
                </w14:textFill>
              </w:rPr>
            </w:pPr>
            <w:r>
              <w:rPr>
                <w:rFonts w:eastAsia="宋体"/>
                <w:color w:val="000000" w:themeColor="text1"/>
                <w:kern w:val="0"/>
                <w14:textFill>
                  <w14:solidFill>
                    <w14:schemeClr w14:val="tx1"/>
                  </w14:solidFill>
                </w14:textFill>
              </w:rPr>
              <w:t>无</w:t>
            </w:r>
          </w:p>
        </w:tc>
      </w:tr>
      <w:tr w14:paraId="1C0818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14:paraId="6DDF95A7">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14:textFill>
                  <w14:solidFill>
                    <w14:schemeClr w14:val="tx1"/>
                  </w14:solidFill>
                </w14:textFill>
              </w:rPr>
              <w:t>规划及规划环境影响评价符合性分析</w:t>
            </w:r>
          </w:p>
        </w:tc>
        <w:tc>
          <w:tcPr>
            <w:tcW w:w="7668" w:type="dxa"/>
            <w:gridSpan w:val="3"/>
            <w:vAlign w:val="center"/>
          </w:tcPr>
          <w:p w14:paraId="357D1E81">
            <w:pPr>
              <w:pStyle w:val="71"/>
              <w:snapToGrid w:val="0"/>
              <w:spacing w:line="360" w:lineRule="auto"/>
              <w:jc w:val="center"/>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kern w:val="0"/>
                <w14:textFill>
                  <w14:solidFill>
                    <w14:schemeClr w14:val="tx1"/>
                  </w14:solidFill>
                </w14:textFill>
              </w:rPr>
              <w:t>无</w:t>
            </w:r>
          </w:p>
        </w:tc>
      </w:tr>
      <w:tr w14:paraId="17BEF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86" w:type="dxa"/>
            <w:vAlign w:val="center"/>
          </w:tcPr>
          <w:p w14:paraId="7D8D895E">
            <w:pPr>
              <w:autoSpaceDE w:val="0"/>
              <w:autoSpaceDN w:val="0"/>
              <w:adjustRightInd w:val="0"/>
              <w:snapToGrid w:val="0"/>
              <w:ind w:left="-120" w:leftChars="-50" w:right="-120" w:rightChars="-50"/>
              <w:jc w:val="center"/>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其他符合性分析</w:t>
            </w:r>
          </w:p>
        </w:tc>
        <w:tc>
          <w:tcPr>
            <w:tcW w:w="7668" w:type="dxa"/>
            <w:gridSpan w:val="3"/>
            <w:vAlign w:val="center"/>
          </w:tcPr>
          <w:p w14:paraId="43FC0C1D">
            <w:pPr>
              <w:pStyle w:val="4"/>
              <w:ind w:left="482" w:firstLine="0" w:firstLineChars="0"/>
              <w:jc w:val="both"/>
              <w:rPr>
                <w:color w:val="000000" w:themeColor="text1"/>
                <w14:textFill>
                  <w14:solidFill>
                    <w14:schemeClr w14:val="tx1"/>
                  </w14:solidFill>
                </w14:textFill>
              </w:rPr>
            </w:pPr>
            <w:r>
              <w:rPr>
                <w:color w:val="000000" w:themeColor="text1"/>
                <w14:textFill>
                  <w14:solidFill>
                    <w14:schemeClr w14:val="tx1"/>
                  </w14:solidFill>
                </w14:textFill>
              </w:rPr>
              <w:t>1、与国家、地方产业政策符合性分析</w:t>
            </w:r>
          </w:p>
          <w:p w14:paraId="376985C2">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本项目为石灰石和建筑垃圾加工项目，根据中华人民共和国国家发展和改革委员会第7号令《产业结构调整指导目录（2024年本）》，本项目石灰石深加工不属于其中的鼓励类、限制类及淘汰类项目，可视为属于允许类，建筑垃圾回收再利用属于“鼓励类，四十二、环境保护与资源节约综合利用，8废旧循环利用-“城市矿产”基地和资源循环利用基地建设，煤矸石、粉煤灰、尾矿（共伴生矿）、冶炼渣、工业副产石膏、赤泥、建筑垃圾等工业废弃物循环利用</w:t>
            </w:r>
            <w:r>
              <w:rPr>
                <w:rFonts w:eastAsia="宋体" w:cs="Times New Roman"/>
                <w:bCs/>
                <w:snapToGrid w:val="0"/>
                <w:color w:val="000000" w:themeColor="text1"/>
                <w:kern w:val="0"/>
                <w14:textFill>
                  <w14:solidFill>
                    <w14:schemeClr w14:val="tx1"/>
                  </w14:solidFill>
                </w14:textFill>
              </w:rPr>
              <w:t>”，故本项目符合国家及地方产业政策要求。</w:t>
            </w:r>
          </w:p>
          <w:p w14:paraId="30B1C81D">
            <w:pPr>
              <w:pStyle w:val="4"/>
              <w:ind w:left="482" w:firstLine="0" w:firstLineChars="0"/>
              <w:jc w:val="both"/>
              <w:rPr>
                <w:color w:val="000000" w:themeColor="text1"/>
                <w14:textFill>
                  <w14:solidFill>
                    <w14:schemeClr w14:val="tx1"/>
                  </w14:solidFill>
                </w14:textFill>
              </w:rPr>
            </w:pPr>
            <w:r>
              <w:rPr>
                <w:color w:val="000000" w:themeColor="text1"/>
                <w14:textFill>
                  <w14:solidFill>
                    <w14:schemeClr w14:val="tx1"/>
                  </w14:solidFill>
                </w14:textFill>
              </w:rPr>
              <w:t>2、土地政策符合性分析</w:t>
            </w:r>
          </w:p>
          <w:p w14:paraId="2C5C1C1D">
            <w:pPr>
              <w:pStyle w:val="28"/>
              <w:spacing w:line="360" w:lineRule="auto"/>
              <w:ind w:left="0" w:leftChars="0" w:right="0" w:rightChars="0" w:firstLine="480" w:firstLineChars="20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彭阳县持续深入推进美丽乡村建设、农村人居环境整治、危房改造、村内道路修缮、民居风貌提升、乡村基础设施新建改建等工程，在村庄提档升级、村容村貌改造过程中，产生大量建筑垃圾。项目建成后严格践行固废减量化、资源化、无害化治理原则，定向消纳乡村建设产生的建筑垃圾，实现生态效益、社会效益、经济效益协同发展。</w:t>
            </w:r>
          </w:p>
          <w:p w14:paraId="35E618EC">
            <w:pPr>
              <w:pStyle w:val="28"/>
              <w:spacing w:line="360" w:lineRule="auto"/>
              <w:ind w:left="0" w:leftChars="0" w:right="0" w:rightChars="0" w:firstLine="480" w:firstLineChars="20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彭阳县国土空间总体规划（2021-2025年）空间布局及用地管控要求、彭阳县人民政府《彭阳县人民政府关于王洼镇北洼村集体建设用地村企联营的批复》（彭政函〔2026〕2号）及彭阳县王洼镇人民政府《关于同意北洼村土地参股项目的批复》，已明确项目用地性质属于工业用地，用地符合土地政策的要求。</w:t>
            </w:r>
          </w:p>
          <w:p w14:paraId="404FFC28">
            <w:pPr>
              <w:pStyle w:val="164"/>
              <w:ind w:firstLine="482"/>
              <w:rPr>
                <w:rFonts w:eastAsia="宋体"/>
                <w:b/>
                <w:bCs/>
                <w:color w:val="000000" w:themeColor="text1"/>
                <w:kern w:val="44"/>
                <w:szCs w:val="24"/>
                <w14:textFill>
                  <w14:solidFill>
                    <w14:schemeClr w14:val="tx1"/>
                  </w14:solidFill>
                </w14:textFill>
              </w:rPr>
            </w:pPr>
            <w:r>
              <w:rPr>
                <w:rFonts w:hint="eastAsia" w:eastAsia="宋体"/>
                <w:b/>
                <w:bCs/>
                <w:color w:val="000000" w:themeColor="text1"/>
                <w:kern w:val="44"/>
                <w:szCs w:val="24"/>
                <w14:textFill>
                  <w14:solidFill>
                    <w14:schemeClr w14:val="tx1"/>
                  </w14:solidFill>
                </w14:textFill>
              </w:rPr>
              <w:t>3</w:t>
            </w:r>
            <w:r>
              <w:rPr>
                <w:rFonts w:eastAsia="宋体"/>
                <w:b/>
                <w:bCs/>
                <w:color w:val="000000" w:themeColor="text1"/>
                <w:kern w:val="44"/>
                <w:szCs w:val="24"/>
                <w14:textFill>
                  <w14:solidFill>
                    <w14:schemeClr w14:val="tx1"/>
                  </w14:solidFill>
                </w14:textFill>
              </w:rPr>
              <w:t>、项目与固原市人民政府《固原市生态环境分区管控实施方案》（固政发〔2024〕28号）符合性分析</w:t>
            </w:r>
          </w:p>
          <w:p w14:paraId="57896BA3">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（1）生态保护红线</w:t>
            </w:r>
          </w:p>
          <w:p w14:paraId="03A5C3B8">
            <w:pPr>
              <w:widowControl/>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项目建设地点位于固原市彭阳县王洼镇北洼村，建设区域不属于禁止开发区及限制开发区。对照固原市“三线一单”中</w:t>
            </w:r>
            <w:bookmarkStart w:id="2" w:name="_Hlk83573613"/>
            <w:r>
              <w:rPr>
                <w:rFonts w:eastAsia="宋体"/>
                <w:color w:val="000000" w:themeColor="text1"/>
                <w14:textFill>
                  <w14:solidFill>
                    <w14:schemeClr w14:val="tx1"/>
                  </w14:solidFill>
                </w14:textFill>
              </w:rPr>
              <w:t>固原市生态空间图</w:t>
            </w:r>
            <w:bookmarkEnd w:id="2"/>
            <w:r>
              <w:rPr>
                <w:rFonts w:eastAsia="宋体"/>
                <w:color w:val="000000" w:themeColor="text1"/>
                <w14:textFill>
                  <w14:solidFill>
                    <w14:schemeClr w14:val="tx1"/>
                  </w14:solidFill>
                </w14:textFill>
              </w:rPr>
              <w:t>，本项目所在位置不涉及生态保护红线，项目地理位置图见附图1，项目与</w:t>
            </w:r>
            <w:r>
              <w:rPr>
                <w:rFonts w:eastAsia="宋体"/>
                <w:bCs/>
                <w:color w:val="000000" w:themeColor="text1"/>
                <w14:textFill>
                  <w14:solidFill>
                    <w14:schemeClr w14:val="tx1"/>
                  </w14:solidFill>
                </w14:textFill>
              </w:rPr>
              <w:t>固原市生态空间图</w:t>
            </w:r>
            <w:r>
              <w:rPr>
                <w:rFonts w:eastAsia="宋体"/>
                <w:color w:val="000000" w:themeColor="text1"/>
                <w14:textFill>
                  <w14:solidFill>
                    <w14:schemeClr w14:val="tx1"/>
                  </w14:solidFill>
                </w14:textFill>
              </w:rPr>
              <w:t>位置关系图见附图2。</w:t>
            </w:r>
          </w:p>
          <w:p w14:paraId="065D9DDD">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（2）环境质量底线</w:t>
            </w:r>
          </w:p>
          <w:p w14:paraId="507DCD20">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①</w:t>
            </w:r>
            <w:r>
              <w:rPr>
                <w:rFonts w:eastAsia="宋体" w:cs="Times New Roman"/>
                <w:color w:val="000000" w:themeColor="text1"/>
                <w:szCs w:val="24"/>
                <w14:textFill>
                  <w14:solidFill>
                    <w14:schemeClr w14:val="tx1"/>
                  </w14:solidFill>
                </w14:textFill>
              </w:rPr>
              <w:t>水环境质量底线及分区管控</w:t>
            </w:r>
          </w:p>
          <w:p w14:paraId="0533140E">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根据固原市水环境管控分区图可知，本项目位于水环境一般管控区，项目与固原市水环境分区管控图位置关系图见附图3。</w:t>
            </w:r>
          </w:p>
          <w:p w14:paraId="1394FEE2">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水环境一般管控区要求：将除水环境优先保护区、重点管控区之外的其他区域作为水环境一般管控区，应落实《中华人民共和国水污染防治法》等相关法律法规的总体要求，加强水资源节约和保护，积极推动水生态修复治理，持续深入推进水污染防治，改善水环境质量。</w:t>
            </w:r>
          </w:p>
          <w:p w14:paraId="5602D481">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hint="eastAsia" w:eastAsia="宋体" w:cs="Times New Roman"/>
                <w:color w:val="000000" w:themeColor="text1"/>
                <w:szCs w:val="24"/>
                <w14:textFill>
                  <w14:solidFill>
                    <w14:schemeClr w14:val="tx1"/>
                  </w14:solidFill>
                </w14:textFill>
              </w:rPr>
              <w:t>本项目降尘用水自然损耗，不外排。车辆清洗废水依托现有砂石分离机预处理后再经三级沉淀池沉淀处理，最终全部回用于混凝土搅拌，不外排。本项目不提供食宿，生活污水主要为员工洗漱废水，用于厂区抑尘，粪污依托现有防渗旱厕，定期清掏用于厂区周边绿化或周边农田施肥，产生的废水均得到合理处置对环境影响较小</w:t>
            </w:r>
            <w:r>
              <w:rPr>
                <w:rFonts w:eastAsia="宋体" w:cs="Times New Roman"/>
                <w:color w:val="000000" w:themeColor="text1"/>
                <w:szCs w:val="24"/>
                <w14:textFill>
                  <w14:solidFill>
                    <w14:schemeClr w14:val="tx1"/>
                  </w14:solidFill>
                </w14:textFill>
              </w:rPr>
              <w:t>，符合固原市水环境一般管控区要求。</w:t>
            </w:r>
          </w:p>
          <w:p w14:paraId="459F3FBD">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②</w:t>
            </w:r>
            <w:r>
              <w:rPr>
                <w:rFonts w:eastAsia="宋体" w:cs="Times New Roman"/>
                <w:color w:val="000000" w:themeColor="text1"/>
                <w:szCs w:val="24"/>
                <w14:textFill>
                  <w14:solidFill>
                    <w14:schemeClr w14:val="tx1"/>
                  </w14:solidFill>
                </w14:textFill>
              </w:rPr>
              <w:t>大气环境质量底线及分区管控</w:t>
            </w:r>
          </w:p>
          <w:p w14:paraId="095D1E90">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根据固原市大气环境管控分区图可知，本项目位于大气环境一般管控区，项目与固原市大气环境分区管控图位置关系图见附图4。</w:t>
            </w:r>
          </w:p>
          <w:p w14:paraId="546A392D">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大气环境一般管控区要求：落实《中华人民共和国大气污染防治法》等相关法律法规的一般要求，在满足区域基本的污染物排放标准和污染防治要求基础上，进一步采用更清洁的生产方式和更有效的污染治理措施，推动区域环境空气质量持续改善。毗邻大气环境优先保护区的新建项目，还应特别注意污染物排放对优先保护区的影响，应优化选址方案或采取有效的污染防治措施，避免对一类区空气质量造成不利影响。</w:t>
            </w:r>
          </w:p>
          <w:p w14:paraId="0A205C67">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hint="eastAsia" w:eastAsia="宋体" w:cs="Times New Roman"/>
                <w:bCs/>
                <w:color w:val="000000" w:themeColor="text1"/>
                <w:szCs w:val="24"/>
                <w14:textFill>
                  <w14:solidFill>
                    <w14:schemeClr w14:val="tx1"/>
                  </w14:solidFill>
                </w14:textFill>
              </w:rPr>
              <w:t>本项目石灰石料仓全封闭，正常生产时仓门关闭，仓内设置1套喷雾降尘装置，通过洒水降尘后仓内粉尘无组织排放。投料口设置1个集气罩对产生的粉尘进行收集，粉磨机为封闭式结构，3台磨粉机产生的含尘气体通过密闭管道收集汇总，汇同投料粉尘一同送入1台高效脉冲袋式除尘器处理后由15m高排气筒（DA003）排放。每座罐仓仓顶自带高效脉冲布袋除尘器处理后由顶部排放。建筑垃圾料仓全封闭，正常生产时仓门关闭，仓内设置1套喷雾降尘装置，通过洒水降尘后仓内粉尘无组织排放。建筑垃圾加工生产线进行封闭处理，给料台和破碎机出口各设置1个集气罩，收集后经1台高效脉冲袋式除尘器处理后由15m高排气筒（DA004）排放。再生骨料及再生水稳料料仓全封闭，正常生产时仓门关闭，仓内设置1套喷雾降尘装置，通过洒水降尘后仓内粉尘无组织排放。在厂区进出口设置洗车设备；对厂区内运输道路地面进行硬化，保持厂区路面清洁，进行洒水抑尘</w:t>
            </w:r>
            <w:r>
              <w:rPr>
                <w:rFonts w:eastAsia="宋体" w:cs="Times New Roman"/>
                <w:bCs/>
                <w:color w:val="000000" w:themeColor="text1"/>
                <w:szCs w:val="24"/>
                <w14:textFill>
                  <w14:solidFill>
                    <w14:schemeClr w14:val="tx1"/>
                  </w14:solidFill>
                </w14:textFill>
              </w:rPr>
              <w:t>。采取以上治理措施处理后可实现大气污染物达标排放，对区域大气环境影响较小</w:t>
            </w:r>
            <w:r>
              <w:rPr>
                <w:rFonts w:eastAsia="宋体" w:cs="Times New Roman"/>
                <w:color w:val="000000" w:themeColor="text1"/>
                <w:szCs w:val="24"/>
                <w14:textFill>
                  <w14:solidFill>
                    <w14:schemeClr w14:val="tx1"/>
                  </w14:solidFill>
                </w14:textFill>
              </w:rPr>
              <w:t>，符合固原市大气环境一般管控区的管控要求。</w:t>
            </w:r>
          </w:p>
          <w:p w14:paraId="168581DC">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hint="eastAsia" w:ascii="宋体" w:hAnsi="宋体" w:eastAsia="宋体"/>
                <w:color w:val="000000" w:themeColor="text1"/>
                <w:szCs w:val="24"/>
                <w14:textFill>
                  <w14:solidFill>
                    <w14:schemeClr w14:val="tx1"/>
                  </w14:solidFill>
                </w14:textFill>
              </w:rPr>
              <w:t>③</w:t>
            </w:r>
            <w:r>
              <w:rPr>
                <w:rFonts w:eastAsia="宋体" w:cs="Times New Roman"/>
                <w:color w:val="000000" w:themeColor="text1"/>
                <w:szCs w:val="24"/>
                <w14:textFill>
                  <w14:solidFill>
                    <w14:schemeClr w14:val="tx1"/>
                  </w14:solidFill>
                </w14:textFill>
              </w:rPr>
              <w:t>土壤环境质量底线</w:t>
            </w:r>
          </w:p>
          <w:p w14:paraId="1AD38F5E">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根据固原市土壤污染风险分区管控图可知，本项目位于土壤污染风险一般管控区，项目与固原市土壤污染风险分区管控图位置关系图见附图5。</w:t>
            </w:r>
          </w:p>
          <w:p w14:paraId="412FD6B3">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一般管控区要求：在编制国土空间规划等相关规划时，应充分考虑污染地块的环境风险，合理确定土地用途。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p w14:paraId="634C6ACA">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本项目不属于排放重点污染物的建设项目，不属于有色金属冶炼、焦化等行业企业，项目满足固原市土壤污染分区管控一般管控区的管控要求。</w:t>
            </w:r>
          </w:p>
          <w:p w14:paraId="05A9B874">
            <w:pPr>
              <w:pStyle w:val="152"/>
              <w:spacing w:line="360" w:lineRule="auto"/>
              <w:ind w:firstLine="480" w:firstLineChars="200"/>
              <w:rPr>
                <w:rFonts w:eastAsia="宋体" w:cs="Times New Roman"/>
                <w:color w:val="000000" w:themeColor="text1"/>
                <w:szCs w:val="24"/>
                <w14:textFill>
                  <w14:solidFill>
                    <w14:schemeClr w14:val="tx1"/>
                  </w14:solidFill>
                </w14:textFill>
              </w:rPr>
            </w:pPr>
            <w:r>
              <w:rPr>
                <w:rFonts w:eastAsia="宋体" w:cs="Times New Roman"/>
                <w:color w:val="000000" w:themeColor="text1"/>
                <w:szCs w:val="24"/>
                <w14:textFill>
                  <w14:solidFill>
                    <w14:schemeClr w14:val="tx1"/>
                  </w14:solidFill>
                </w14:textFill>
              </w:rPr>
              <w:t>（3）资源利用上线</w:t>
            </w:r>
          </w:p>
          <w:p w14:paraId="5B15F149">
            <w:pPr>
              <w:pStyle w:val="132"/>
              <w:widowControl w:val="0"/>
              <w:tabs>
                <w:tab w:val="left" w:pos="6930"/>
                <w:tab w:val="clear" w:pos="7838"/>
              </w:tabs>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hAnsi="Times New Roman"/>
                <w:color w:val="000000" w:themeColor="text1"/>
                <w14:textFill>
                  <w14:solidFill>
                    <w14:schemeClr w14:val="tx1"/>
                  </w14:solidFill>
                </w14:textFill>
              </w:rPr>
              <w:t>能源（煤炭）资源利用上线及分区管控</w:t>
            </w:r>
          </w:p>
          <w:p w14:paraId="73D671BB">
            <w:pPr>
              <w:pStyle w:val="132"/>
              <w:widowControl w:val="0"/>
              <w:tabs>
                <w:tab w:val="left" w:pos="6930"/>
                <w:tab w:val="clear" w:pos="7838"/>
              </w:tabs>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本项目运营期不使用、不消耗煤炭资源，符合固原市能源（煤炭）资源利用上线。</w:t>
            </w:r>
          </w:p>
          <w:p w14:paraId="04D60893">
            <w:pPr>
              <w:pStyle w:val="132"/>
              <w:widowControl w:val="0"/>
              <w:tabs>
                <w:tab w:val="left" w:pos="6930"/>
                <w:tab w:val="clear" w:pos="7838"/>
              </w:tabs>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hAnsi="Times New Roman"/>
                <w:color w:val="000000" w:themeColor="text1"/>
                <w14:textFill>
                  <w14:solidFill>
                    <w14:schemeClr w14:val="tx1"/>
                  </w14:solidFill>
                </w14:textFill>
              </w:rPr>
              <w:t>水资源利用上线及分区管控</w:t>
            </w:r>
          </w:p>
          <w:p w14:paraId="2213A9C6">
            <w:pPr>
              <w:pStyle w:val="132"/>
              <w:widowControl w:val="0"/>
              <w:tabs>
                <w:tab w:val="left" w:pos="6930"/>
                <w:tab w:val="clear" w:pos="7838"/>
              </w:tabs>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本项目位于</w:t>
            </w:r>
            <w:r>
              <w:rPr>
                <w:rFonts w:hAnsi="Times New Roman"/>
                <w:color w:val="000000" w:themeColor="text1"/>
                <w:kern w:val="2"/>
                <w14:textFill>
                  <w14:solidFill>
                    <w14:schemeClr w14:val="tx1"/>
                  </w14:solidFill>
                </w14:textFill>
              </w:rPr>
              <w:t>固原市彭阳县王洼镇北洼村</w:t>
            </w:r>
            <w:r>
              <w:rPr>
                <w:rFonts w:hAnsi="Times New Roman"/>
                <w:color w:val="000000" w:themeColor="text1"/>
                <w14:textFill>
                  <w14:solidFill>
                    <w14:schemeClr w14:val="tx1"/>
                  </w14:solidFill>
                </w14:textFill>
              </w:rPr>
              <w:t>，属于水资源利用上线一般管控区。水资源分区管控要求提出：坚持以水定城、以水定地、以水定人、以水定产，科学配置水资源，严格能耗物耗准入门槛，支撑发展刚需。细化覆盖各行业各领域的节水定额标准，对水资源超载地区实行用水和项目“双限批”。推厂农业成套综合节水技术，大力发展节水型农业及工业、涵水型林业。实施工业节水增效行动，改造建设学惠素维音成明达微数是业购开钱小土水建彩乳理小工水区域先行开展海绵化改造和建设。</w:t>
            </w:r>
          </w:p>
          <w:p w14:paraId="6764D783">
            <w:pPr>
              <w:pStyle w:val="132"/>
              <w:widowControl w:val="0"/>
              <w:tabs>
                <w:tab w:val="left" w:pos="6930"/>
                <w:tab w:val="clear" w:pos="7838"/>
              </w:tabs>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本项目为石灰石深加工及建筑垃圾回收再利用项目，水资源消耗量相对区域资源利用总量较小，不会超过地区水资源取用上限或承载能力，符合水资源利用上线要求。</w:t>
            </w:r>
          </w:p>
          <w:p w14:paraId="22AC9A7A">
            <w:pPr>
              <w:pStyle w:val="132"/>
              <w:widowControl w:val="0"/>
              <w:tabs>
                <w:tab w:val="left" w:pos="6930"/>
                <w:tab w:val="clear" w:pos="7838"/>
              </w:tabs>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hAnsi="Times New Roman"/>
                <w:color w:val="000000" w:themeColor="text1"/>
                <w14:textFill>
                  <w14:solidFill>
                    <w14:schemeClr w14:val="tx1"/>
                  </w14:solidFill>
                </w14:textFill>
              </w:rPr>
              <w:t>土地资源利用上线及分区管控</w:t>
            </w:r>
          </w:p>
          <w:p w14:paraId="52AF04A6">
            <w:pPr>
              <w:pStyle w:val="132"/>
              <w:widowControl w:val="0"/>
              <w:tabs>
                <w:tab w:val="left" w:pos="6930"/>
                <w:tab w:val="clear" w:pos="7838"/>
              </w:tabs>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本项目不在固原市土地资源重点管控区内，不新增</w:t>
            </w:r>
            <w:r>
              <w:rPr>
                <w:rFonts w:hint="eastAsia" w:hAnsi="Times New Roman"/>
                <w:color w:val="000000" w:themeColor="text1"/>
                <w14:textFill>
                  <w14:solidFill>
                    <w14:schemeClr w14:val="tx1"/>
                  </w14:solidFill>
                </w14:textFill>
              </w:rPr>
              <w:t>用地</w:t>
            </w:r>
            <w:r>
              <w:rPr>
                <w:rFonts w:hAnsi="Times New Roman"/>
                <w:color w:val="000000" w:themeColor="text1"/>
                <w14:textFill>
                  <w14:solidFill>
                    <w14:schemeClr w14:val="tx1"/>
                  </w14:solidFill>
                </w14:textFill>
              </w:rPr>
              <w:t>。因此，项目符合土地资源利用上线要求。</w:t>
            </w:r>
          </w:p>
          <w:p w14:paraId="1F523557">
            <w:pPr>
              <w:pStyle w:val="17"/>
              <w:widowControl w:val="0"/>
              <w:adjustRightInd w:val="0"/>
              <w:spacing w:before="0" w:after="0" w:line="360" w:lineRule="auto"/>
              <w:ind w:right="0" w:firstLine="480" w:firstLineChars="200"/>
              <w:rPr>
                <w:rFonts w:eastAsia="宋体"/>
                <w:color w:val="000000" w:themeColor="text1"/>
                <w:kern w:val="2"/>
                <w:sz w:val="24"/>
                <w:szCs w:val="24"/>
                <w14:textFill>
                  <w14:solidFill>
                    <w14:schemeClr w14:val="tx1"/>
                  </w14:solidFill>
                </w14:textFill>
              </w:rPr>
            </w:pPr>
            <w:r>
              <w:rPr>
                <w:rFonts w:eastAsia="宋体"/>
                <w:color w:val="000000" w:themeColor="text1"/>
                <w:kern w:val="2"/>
                <w:sz w:val="24"/>
                <w:szCs w:val="24"/>
                <w14:textFill>
                  <w14:solidFill>
                    <w14:schemeClr w14:val="tx1"/>
                  </w14:solidFill>
                </w14:textFill>
              </w:rPr>
              <w:t>综上分析，本项目符合资源利用上线要求。</w:t>
            </w:r>
          </w:p>
          <w:p w14:paraId="2FD506B3">
            <w:pPr>
              <w:pStyle w:val="132"/>
              <w:widowControl w:val="0"/>
              <w:tabs>
                <w:tab w:val="left" w:pos="6930"/>
                <w:tab w:val="clear" w:pos="7838"/>
              </w:tabs>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（4）环境管控单元符合性分析</w:t>
            </w:r>
          </w:p>
          <w:p w14:paraId="1A6ECE6E">
            <w:pPr>
              <w:pStyle w:val="132"/>
              <w:widowControl w:val="0"/>
              <w:tabs>
                <w:tab w:val="left" w:pos="6930"/>
                <w:tab w:val="clear" w:pos="7838"/>
              </w:tabs>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根据固原市环境管控单元图可知，本项目位于彭阳县一般管控单元1（ZH64042530001），</w:t>
            </w:r>
            <w:bookmarkStart w:id="3" w:name="OLE_LINK140"/>
            <w:bookmarkStart w:id="4" w:name="OLE_LINK139"/>
            <w:r>
              <w:rPr>
                <w:rFonts w:hAnsi="Times New Roman"/>
                <w:color w:val="000000" w:themeColor="text1"/>
                <w14:textFill>
                  <w14:solidFill>
                    <w14:schemeClr w14:val="tx1"/>
                  </w14:solidFill>
                </w14:textFill>
              </w:rPr>
              <w:t>项目与固原市环境管控单元图</w:t>
            </w:r>
            <w:bookmarkEnd w:id="3"/>
            <w:bookmarkEnd w:id="4"/>
            <w:r>
              <w:rPr>
                <w:rFonts w:hAnsi="Times New Roman"/>
                <w:color w:val="000000" w:themeColor="text1"/>
                <w14:textFill>
                  <w14:solidFill>
                    <w14:schemeClr w14:val="tx1"/>
                  </w14:solidFill>
                </w14:textFill>
              </w:rPr>
              <w:t>位置关系图见附图6，项目与固原市生态环境总体准入清单符合性分析见表1-1，与彭阳县一般管控单元1的符合性分析见表1-2。</w:t>
            </w:r>
          </w:p>
          <w:p w14:paraId="6D4C3A0E">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表1-1         与固原市生态环境总体准入清单符合性分析</w:t>
            </w:r>
          </w:p>
          <w:tbl>
            <w:tblPr>
              <w:tblStyle w:val="36"/>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58"/>
              <w:gridCol w:w="695"/>
              <w:gridCol w:w="4257"/>
              <w:gridCol w:w="1271"/>
              <w:gridCol w:w="741"/>
            </w:tblGrid>
            <w:tr w14:paraId="2BAC63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77" w:type="pct"/>
                  <w:gridSpan w:val="2"/>
                  <w:tcBorders>
                    <w:tl2br w:val="nil"/>
                    <w:tr2bl w:val="nil"/>
                  </w:tcBorders>
                  <w:vAlign w:val="center"/>
                </w:tcPr>
                <w:p w14:paraId="205C2E4A">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管控维度</w:t>
                  </w:r>
                </w:p>
              </w:tc>
              <w:tc>
                <w:tcPr>
                  <w:tcW w:w="2868" w:type="pct"/>
                  <w:tcBorders>
                    <w:tl2br w:val="nil"/>
                    <w:tr2bl w:val="nil"/>
                  </w:tcBorders>
                  <w:vAlign w:val="center"/>
                </w:tcPr>
                <w:p w14:paraId="0B688276">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管控要求</w:t>
                  </w:r>
                </w:p>
              </w:tc>
              <w:tc>
                <w:tcPr>
                  <w:tcW w:w="856" w:type="pct"/>
                  <w:tcBorders>
                    <w:tl2br w:val="nil"/>
                    <w:tr2bl w:val="nil"/>
                  </w:tcBorders>
                  <w:vAlign w:val="center"/>
                </w:tcPr>
                <w:p w14:paraId="43619779">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本项目情况</w:t>
                  </w:r>
                </w:p>
              </w:tc>
              <w:tc>
                <w:tcPr>
                  <w:tcW w:w="499" w:type="pct"/>
                  <w:tcBorders>
                    <w:tl2br w:val="nil"/>
                    <w:tr2bl w:val="nil"/>
                  </w:tcBorders>
                  <w:vAlign w:val="center"/>
                </w:tcPr>
                <w:p w14:paraId="11FCD60D">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符合性</w:t>
                  </w:r>
                </w:p>
              </w:tc>
            </w:tr>
            <w:tr w14:paraId="7F010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restart"/>
                  <w:tcBorders>
                    <w:tl2br w:val="nil"/>
                    <w:tr2bl w:val="nil"/>
                  </w:tcBorders>
                  <w:vAlign w:val="center"/>
                </w:tcPr>
                <w:p w14:paraId="0F61AC24">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空间布局约束</w:t>
                  </w:r>
                </w:p>
              </w:tc>
              <w:tc>
                <w:tcPr>
                  <w:tcW w:w="468" w:type="pct"/>
                  <w:tcBorders>
                    <w:tl2br w:val="nil"/>
                    <w:tr2bl w:val="nil"/>
                  </w:tcBorders>
                </w:tcPr>
                <w:p w14:paraId="3115AB8F">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A1.1禁止开发建设活动的要求</w:t>
                  </w:r>
                </w:p>
              </w:tc>
              <w:tc>
                <w:tcPr>
                  <w:tcW w:w="2868" w:type="pct"/>
                  <w:tcBorders>
                    <w:tl2br w:val="nil"/>
                    <w:tr2bl w:val="nil"/>
                  </w:tcBorders>
                  <w:vAlign w:val="center"/>
                </w:tcPr>
                <w:p w14:paraId="2763558E">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1.严禁产能过剩行业新增产能，各开发区主导产业产值占比达到60%以上，严防发达地区淘汰退出的高污染企业落户固原。</w:t>
                  </w:r>
                </w:p>
                <w:p w14:paraId="28D602CD">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2.严禁在“五河”临岸1公里范围内新建“两高一资”项目及相关产业园区。</w:t>
                  </w:r>
                </w:p>
                <w:p w14:paraId="353640A0">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3.城市建成区一律禁止新建35蒸吨/小时以下燃煤锅炉。</w:t>
                  </w:r>
                </w:p>
              </w:tc>
              <w:tc>
                <w:tcPr>
                  <w:tcW w:w="856" w:type="pct"/>
                  <w:tcBorders>
                    <w:tl2br w:val="nil"/>
                    <w:tr2bl w:val="nil"/>
                  </w:tcBorders>
                  <w:vAlign w:val="center"/>
                </w:tcPr>
                <w:p w14:paraId="7D59FEE8">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1.本项目不涉及。</w:t>
                  </w:r>
                </w:p>
                <w:p w14:paraId="009500BF">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2.本项目不属于“两高一资”项目。</w:t>
                  </w:r>
                </w:p>
                <w:p w14:paraId="6F4A599A">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3.本项目不涉及。</w:t>
                  </w:r>
                </w:p>
              </w:tc>
              <w:tc>
                <w:tcPr>
                  <w:tcW w:w="499" w:type="pct"/>
                  <w:tcBorders>
                    <w:tl2br w:val="nil"/>
                    <w:tr2bl w:val="nil"/>
                  </w:tcBorders>
                  <w:vAlign w:val="center"/>
                </w:tcPr>
                <w:p w14:paraId="125C6E52">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4EACBB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continue"/>
                  <w:tcBorders>
                    <w:tl2br w:val="nil"/>
                    <w:tr2bl w:val="nil"/>
                  </w:tcBorders>
                </w:tcPr>
                <w:p w14:paraId="6613603F">
                  <w:pPr>
                    <w:jc w:val="left"/>
                    <w:rPr>
                      <w:rFonts w:eastAsia="宋体"/>
                      <w:bCs/>
                      <w:color w:val="000000" w:themeColor="text1"/>
                      <w:sz w:val="21"/>
                      <w:szCs w:val="21"/>
                      <w14:textFill>
                        <w14:solidFill>
                          <w14:schemeClr w14:val="tx1"/>
                        </w14:solidFill>
                      </w14:textFill>
                    </w:rPr>
                  </w:pPr>
                </w:p>
              </w:tc>
              <w:tc>
                <w:tcPr>
                  <w:tcW w:w="468" w:type="pct"/>
                  <w:tcBorders>
                    <w:tl2br w:val="nil"/>
                    <w:tr2bl w:val="nil"/>
                  </w:tcBorders>
                </w:tcPr>
                <w:p w14:paraId="10604A80">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A1.2限制开发建设活动的要求</w:t>
                  </w:r>
                </w:p>
              </w:tc>
              <w:tc>
                <w:tcPr>
                  <w:tcW w:w="2868" w:type="pct"/>
                  <w:tcBorders>
                    <w:tl2br w:val="nil"/>
                    <w:tr2bl w:val="nil"/>
                  </w:tcBorders>
                  <w:vAlign w:val="center"/>
                </w:tcPr>
                <w:p w14:paraId="5916BC68">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严格控制在优先保护类耕地集中区域新建有色金属冶炼、石油化工、化工、焦化、电镀、制革等行业企业。</w:t>
                  </w:r>
                </w:p>
              </w:tc>
              <w:tc>
                <w:tcPr>
                  <w:tcW w:w="856" w:type="pct"/>
                  <w:tcBorders>
                    <w:tl2br w:val="nil"/>
                    <w:tr2bl w:val="nil"/>
                  </w:tcBorders>
                  <w:vAlign w:val="center"/>
                </w:tcPr>
                <w:p w14:paraId="5846CC8E">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本项目不涉及</w:t>
                  </w:r>
                </w:p>
              </w:tc>
              <w:tc>
                <w:tcPr>
                  <w:tcW w:w="499" w:type="pct"/>
                  <w:tcBorders>
                    <w:tl2br w:val="nil"/>
                    <w:tr2bl w:val="nil"/>
                  </w:tcBorders>
                  <w:vAlign w:val="center"/>
                </w:tcPr>
                <w:p w14:paraId="2F223735">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4C167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continue"/>
                  <w:tcBorders>
                    <w:tl2br w:val="nil"/>
                    <w:tr2bl w:val="nil"/>
                  </w:tcBorders>
                </w:tcPr>
                <w:p w14:paraId="538EEB88">
                  <w:pPr>
                    <w:jc w:val="left"/>
                    <w:rPr>
                      <w:rFonts w:eastAsia="宋体"/>
                      <w:bCs/>
                      <w:color w:val="000000" w:themeColor="text1"/>
                      <w:sz w:val="21"/>
                      <w:szCs w:val="21"/>
                      <w14:textFill>
                        <w14:solidFill>
                          <w14:schemeClr w14:val="tx1"/>
                        </w14:solidFill>
                      </w14:textFill>
                    </w:rPr>
                  </w:pPr>
                </w:p>
              </w:tc>
              <w:tc>
                <w:tcPr>
                  <w:tcW w:w="468" w:type="pct"/>
                  <w:tcBorders>
                    <w:tl2br w:val="nil"/>
                    <w:tr2bl w:val="nil"/>
                  </w:tcBorders>
                </w:tcPr>
                <w:p w14:paraId="2CEE95E7">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A1.3不符合空间布局要求的活动的退出要求</w:t>
                  </w:r>
                </w:p>
              </w:tc>
              <w:tc>
                <w:tcPr>
                  <w:tcW w:w="2868" w:type="pct"/>
                  <w:tcBorders>
                    <w:tl2br w:val="nil"/>
                    <w:tr2bl w:val="nil"/>
                  </w:tcBorders>
                  <w:vAlign w:val="center"/>
                </w:tcPr>
                <w:p w14:paraId="57F97C0F">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1.在一定过渡期并给予合理补偿的基础上，依法依规关闭或搬迁禁养区内确需关闭或搬迁的畜禽规模养殖场(园区)。</w:t>
                  </w:r>
                </w:p>
                <w:p w14:paraId="19192DAF">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2.对违反资源环境法律法规、规划，污染环境、破坏生态、乱采滥挖的露天矿山，依法予以关闭。对污染治理不规范的露天矿山，按照“一矿一策”制定整治方案，依法责令停产整治。</w:t>
                  </w:r>
                </w:p>
                <w:p w14:paraId="75FA4B11">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3.对六盘山水源核心区，坚决退出旅游项目，严禁游客进入。</w:t>
                  </w:r>
                </w:p>
                <w:p w14:paraId="1E1EC9BB">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4.淘汰不符合国家规定的燃煤锅炉，实现市、县(区)城区清洁取暖全覆盖。</w:t>
                  </w:r>
                </w:p>
              </w:tc>
              <w:tc>
                <w:tcPr>
                  <w:tcW w:w="856" w:type="pct"/>
                  <w:tcBorders>
                    <w:tl2br w:val="nil"/>
                    <w:tr2bl w:val="nil"/>
                  </w:tcBorders>
                  <w:vAlign w:val="center"/>
                </w:tcPr>
                <w:p w14:paraId="1E2DDCD5">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1.本项目不涉及。</w:t>
                  </w:r>
                </w:p>
                <w:p w14:paraId="607D9F4F">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2.本项目不涉及。</w:t>
                  </w:r>
                </w:p>
                <w:p w14:paraId="4E5581ED">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3.本项目不涉及。</w:t>
                  </w:r>
                </w:p>
                <w:p w14:paraId="41662DF9">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4.本项目不涉及。</w:t>
                  </w:r>
                </w:p>
              </w:tc>
              <w:tc>
                <w:tcPr>
                  <w:tcW w:w="499" w:type="pct"/>
                  <w:tcBorders>
                    <w:tl2br w:val="nil"/>
                    <w:tr2bl w:val="nil"/>
                  </w:tcBorders>
                  <w:vAlign w:val="center"/>
                </w:tcPr>
                <w:p w14:paraId="07FE913D">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20FDD0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restart"/>
                  <w:tcBorders>
                    <w:tl2br w:val="nil"/>
                    <w:tr2bl w:val="nil"/>
                  </w:tcBorders>
                  <w:vAlign w:val="center"/>
                </w:tcPr>
                <w:p w14:paraId="1475AF36">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污染物排放管控</w:t>
                  </w:r>
                </w:p>
              </w:tc>
              <w:tc>
                <w:tcPr>
                  <w:tcW w:w="468" w:type="pct"/>
                  <w:vMerge w:val="restart"/>
                  <w:tcBorders>
                    <w:tl2br w:val="nil"/>
                    <w:tr2bl w:val="nil"/>
                  </w:tcBorders>
                </w:tcPr>
                <w:p w14:paraId="01CF71CE">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A2.1允许排放量要求</w:t>
                  </w:r>
                </w:p>
              </w:tc>
              <w:tc>
                <w:tcPr>
                  <w:tcW w:w="2868" w:type="pct"/>
                  <w:vMerge w:val="restart"/>
                  <w:tcBorders>
                    <w:tl2br w:val="nil"/>
                    <w:tr2bl w:val="nil"/>
                  </w:tcBorders>
                  <w:vAlign w:val="center"/>
                </w:tcPr>
                <w:p w14:paraId="0E4D8E62">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1.化学需氧量、氨氮、氮氧化物和挥发性有机物排放总量完成自治区下达任务。</w:t>
                  </w:r>
                </w:p>
                <w:p w14:paraId="505BEEF7">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2.严格重金属排放项目准入，坚持“减量置换”或“等量置换”原则。</w:t>
                  </w:r>
                </w:p>
                <w:p w14:paraId="71EB4E66">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3.在“五河”干流已覆盖集污管网的区域配套建设污水处理设施，确保所有建制镇和中心村污水处理全覆盖。</w:t>
                  </w:r>
                </w:p>
                <w:p w14:paraId="6B2B82A2">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4.火电、水泥等重点行业及燃煤锅炉，严格按照大气污染物排放标准及特别排放限值要求执行。</w:t>
                  </w:r>
                </w:p>
                <w:p w14:paraId="7F3F6A1F">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5.到2025年，全市工业固体废弃物综合利用率达到80%，中水利用率达到85%以上。</w:t>
                  </w:r>
                </w:p>
                <w:p w14:paraId="3ED72F68">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6.到2025年，65蒸吨/小时及以上燃煤锅炉(含电力)全面实现超低排放；所有燃气锅炉氮氧化物排放浓度低于50毫克/立方米。</w:t>
                  </w:r>
                </w:p>
              </w:tc>
              <w:tc>
                <w:tcPr>
                  <w:tcW w:w="856" w:type="pct"/>
                  <w:tcBorders>
                    <w:tl2br w:val="nil"/>
                    <w:tr2bl w:val="nil"/>
                  </w:tcBorders>
                  <w:vAlign w:val="center"/>
                </w:tcPr>
                <w:p w14:paraId="60428444">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1.本项目无生活污水和生产废水排放。</w:t>
                  </w:r>
                </w:p>
                <w:p w14:paraId="72D91C96">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2.本项目不涉及。</w:t>
                  </w:r>
                </w:p>
                <w:p w14:paraId="0E2A9850">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3.本项目不涉及。</w:t>
                  </w:r>
                </w:p>
                <w:p w14:paraId="1321E53F">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4.本项目不涉及</w:t>
                  </w:r>
                </w:p>
              </w:tc>
              <w:tc>
                <w:tcPr>
                  <w:tcW w:w="499" w:type="pct"/>
                  <w:tcBorders>
                    <w:tl2br w:val="nil"/>
                    <w:tr2bl w:val="nil"/>
                  </w:tcBorders>
                  <w:vAlign w:val="center"/>
                </w:tcPr>
                <w:p w14:paraId="16644D7F">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1D65A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continue"/>
                  <w:tcBorders>
                    <w:tl2br w:val="nil"/>
                    <w:tr2bl w:val="nil"/>
                  </w:tcBorders>
                </w:tcPr>
                <w:p w14:paraId="4422CD60">
                  <w:pPr>
                    <w:jc w:val="left"/>
                    <w:rPr>
                      <w:rFonts w:eastAsia="宋体"/>
                      <w:bCs/>
                      <w:color w:val="000000" w:themeColor="text1"/>
                      <w:sz w:val="21"/>
                      <w:szCs w:val="21"/>
                      <w14:textFill>
                        <w14:solidFill>
                          <w14:schemeClr w14:val="tx1"/>
                        </w14:solidFill>
                      </w14:textFill>
                    </w:rPr>
                  </w:pPr>
                </w:p>
              </w:tc>
              <w:tc>
                <w:tcPr>
                  <w:tcW w:w="468" w:type="pct"/>
                  <w:vMerge w:val="continue"/>
                  <w:tcBorders>
                    <w:tl2br w:val="nil"/>
                    <w:tr2bl w:val="nil"/>
                  </w:tcBorders>
                </w:tcPr>
                <w:p w14:paraId="062DA921">
                  <w:pPr>
                    <w:jc w:val="left"/>
                    <w:rPr>
                      <w:rFonts w:eastAsia="宋体"/>
                      <w:bCs/>
                      <w:color w:val="000000" w:themeColor="text1"/>
                      <w:sz w:val="21"/>
                      <w:szCs w:val="21"/>
                      <w14:textFill>
                        <w14:solidFill>
                          <w14:schemeClr w14:val="tx1"/>
                        </w14:solidFill>
                      </w14:textFill>
                    </w:rPr>
                  </w:pPr>
                </w:p>
              </w:tc>
              <w:tc>
                <w:tcPr>
                  <w:tcW w:w="2868" w:type="pct"/>
                  <w:vMerge w:val="continue"/>
                  <w:tcBorders>
                    <w:tl2br w:val="nil"/>
                    <w:tr2bl w:val="nil"/>
                  </w:tcBorders>
                  <w:vAlign w:val="center"/>
                </w:tcPr>
                <w:p w14:paraId="20BE14E2">
                  <w:pPr>
                    <w:rPr>
                      <w:rFonts w:eastAsia="宋体"/>
                      <w:bCs/>
                      <w:color w:val="000000" w:themeColor="text1"/>
                      <w:sz w:val="21"/>
                      <w:szCs w:val="21"/>
                      <w14:textFill>
                        <w14:solidFill>
                          <w14:schemeClr w14:val="tx1"/>
                        </w14:solidFill>
                      </w14:textFill>
                    </w:rPr>
                  </w:pPr>
                </w:p>
              </w:tc>
              <w:tc>
                <w:tcPr>
                  <w:tcW w:w="856" w:type="pct"/>
                  <w:tcBorders>
                    <w:tl2br w:val="nil"/>
                    <w:tr2bl w:val="nil"/>
                  </w:tcBorders>
                  <w:vAlign w:val="center"/>
                </w:tcPr>
                <w:p w14:paraId="3733D6ED">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5.本项目不涉及</w:t>
                  </w:r>
                </w:p>
                <w:p w14:paraId="5AC91E1C">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6.本项目不涉及</w:t>
                  </w:r>
                </w:p>
              </w:tc>
              <w:tc>
                <w:tcPr>
                  <w:tcW w:w="499" w:type="pct"/>
                  <w:tcBorders>
                    <w:tl2br w:val="nil"/>
                    <w:tr2bl w:val="nil"/>
                  </w:tcBorders>
                  <w:vAlign w:val="center"/>
                </w:tcPr>
                <w:p w14:paraId="7094F41B">
                  <w:pPr>
                    <w:jc w:val="left"/>
                    <w:rPr>
                      <w:rFonts w:eastAsia="宋体"/>
                      <w:bCs/>
                      <w:color w:val="000000" w:themeColor="text1"/>
                      <w:sz w:val="21"/>
                      <w:szCs w:val="21"/>
                      <w14:textFill>
                        <w14:solidFill>
                          <w14:schemeClr w14:val="tx1"/>
                        </w14:solidFill>
                      </w14:textFill>
                    </w:rPr>
                  </w:pPr>
                </w:p>
              </w:tc>
            </w:tr>
            <w:tr w14:paraId="4FDA64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continue"/>
                  <w:tcBorders>
                    <w:tl2br w:val="nil"/>
                    <w:tr2bl w:val="nil"/>
                  </w:tcBorders>
                </w:tcPr>
                <w:p w14:paraId="60635D51">
                  <w:pPr>
                    <w:jc w:val="left"/>
                    <w:rPr>
                      <w:rFonts w:eastAsia="宋体"/>
                      <w:bCs/>
                      <w:color w:val="000000" w:themeColor="text1"/>
                      <w:sz w:val="21"/>
                      <w:szCs w:val="21"/>
                      <w14:textFill>
                        <w14:solidFill>
                          <w14:schemeClr w14:val="tx1"/>
                        </w14:solidFill>
                      </w14:textFill>
                    </w:rPr>
                  </w:pPr>
                </w:p>
              </w:tc>
              <w:tc>
                <w:tcPr>
                  <w:tcW w:w="468" w:type="pct"/>
                  <w:tcBorders>
                    <w:tl2br w:val="nil"/>
                    <w:tr2bl w:val="nil"/>
                  </w:tcBorders>
                </w:tcPr>
                <w:p w14:paraId="5EFFD313">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A2.2现有源提标升级改造及淘汰退出</w:t>
                  </w:r>
                </w:p>
              </w:tc>
              <w:tc>
                <w:tcPr>
                  <w:tcW w:w="2868" w:type="pct"/>
                  <w:tcBorders>
                    <w:tl2br w:val="nil"/>
                    <w:tr2bl w:val="nil"/>
                  </w:tcBorders>
                  <w:vAlign w:val="center"/>
                </w:tcPr>
                <w:p w14:paraId="17517A43">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到2025年，65蒸吨/小时及以上燃煤锅炉(含电力)全面实现超低排放；所有燃气锅炉氮氧化物排放浓度低于50毫克/立方米。探索畜禽养殖“出户入园”模式，落实“一控两减三利用”,减少化肥和农药使用量；实现畜禽粪便、农作物秸秆、农膜资源化利用，到2025年，农业废弃物综合利用率达到94%以上。</w:t>
                  </w:r>
                </w:p>
              </w:tc>
              <w:tc>
                <w:tcPr>
                  <w:tcW w:w="856" w:type="pct"/>
                  <w:tcBorders>
                    <w:tl2br w:val="nil"/>
                    <w:tr2bl w:val="nil"/>
                  </w:tcBorders>
                  <w:vAlign w:val="center"/>
                </w:tcPr>
                <w:p w14:paraId="2BCC2792">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本项目不涉及。</w:t>
                  </w:r>
                </w:p>
              </w:tc>
              <w:tc>
                <w:tcPr>
                  <w:tcW w:w="499" w:type="pct"/>
                  <w:tcBorders>
                    <w:tl2br w:val="nil"/>
                    <w:tr2bl w:val="nil"/>
                  </w:tcBorders>
                  <w:vAlign w:val="center"/>
                </w:tcPr>
                <w:p w14:paraId="5216CD9A">
                  <w:pPr>
                    <w:jc w:val="left"/>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1C229C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tcBorders>
                    <w:tl2br w:val="nil"/>
                    <w:tr2bl w:val="nil"/>
                  </w:tcBorders>
                  <w:vAlign w:val="center"/>
                </w:tcPr>
                <w:p w14:paraId="084722F6">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环境风险</w:t>
                  </w:r>
                </w:p>
              </w:tc>
              <w:tc>
                <w:tcPr>
                  <w:tcW w:w="468" w:type="pct"/>
                  <w:tcBorders>
                    <w:tl2br w:val="nil"/>
                    <w:tr2bl w:val="nil"/>
                  </w:tcBorders>
                </w:tcPr>
                <w:p w14:paraId="2C14FF4D">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A3.1联防联控要求</w:t>
                  </w:r>
                </w:p>
              </w:tc>
              <w:tc>
                <w:tcPr>
                  <w:tcW w:w="2868" w:type="pct"/>
                  <w:tcBorders>
                    <w:tl2br w:val="nil"/>
                    <w:tr2bl w:val="nil"/>
                  </w:tcBorders>
                  <w:vAlign w:val="center"/>
                </w:tcPr>
                <w:p w14:paraId="3C92EED6">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1.开展医疗、化工、石油开采和汽修等重点行业涉及危险废物排查整治，建立健全环境风险重点管控单位名录，严控危险废物贮存环节环境风险，严禁超期、超量贮存各类危险废物。</w:t>
                  </w:r>
                </w:p>
                <w:p w14:paraId="6BE1549E">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p w14:paraId="3E78192D">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3.健全突发环境事件应急预案体系，推进跨区域、跨流域环境应急联动。</w:t>
                  </w:r>
                </w:p>
              </w:tc>
              <w:tc>
                <w:tcPr>
                  <w:tcW w:w="856" w:type="pct"/>
                  <w:tcBorders>
                    <w:tl2br w:val="nil"/>
                    <w:tr2bl w:val="nil"/>
                  </w:tcBorders>
                  <w:vAlign w:val="center"/>
                </w:tcPr>
                <w:p w14:paraId="206A9CDB">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1.本项目不涉及。</w:t>
                  </w:r>
                </w:p>
                <w:p w14:paraId="3510384E">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2.本项目不涉及。</w:t>
                  </w:r>
                </w:p>
                <w:p w14:paraId="4A4CCB65">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3.本项目不涉及。</w:t>
                  </w:r>
                </w:p>
              </w:tc>
              <w:tc>
                <w:tcPr>
                  <w:tcW w:w="499" w:type="pct"/>
                  <w:tcBorders>
                    <w:tl2br w:val="nil"/>
                    <w:tr2bl w:val="nil"/>
                  </w:tcBorders>
                  <w:vAlign w:val="center"/>
                </w:tcPr>
                <w:p w14:paraId="7F23D155">
                  <w:pPr>
                    <w:jc w:val="left"/>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1055C2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restart"/>
                  <w:tcBorders>
                    <w:tl2br w:val="nil"/>
                    <w:tr2bl w:val="nil"/>
                  </w:tcBorders>
                  <w:vAlign w:val="center"/>
                </w:tcPr>
                <w:p w14:paraId="6D3C3021">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资源利</w:t>
                  </w:r>
                </w:p>
                <w:p w14:paraId="390F5B00">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用</w:t>
                  </w:r>
                </w:p>
                <w:p w14:paraId="1D22CFF7">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效</w:t>
                  </w:r>
                </w:p>
                <w:p w14:paraId="5B90FCB6">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率</w:t>
                  </w:r>
                </w:p>
                <w:p w14:paraId="643BC4FB">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要</w:t>
                  </w:r>
                </w:p>
                <w:p w14:paraId="6400BC7B">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求</w:t>
                  </w:r>
                </w:p>
              </w:tc>
              <w:tc>
                <w:tcPr>
                  <w:tcW w:w="468" w:type="pct"/>
                  <w:tcBorders>
                    <w:tl2br w:val="nil"/>
                    <w:tr2bl w:val="nil"/>
                  </w:tcBorders>
                </w:tcPr>
                <w:p w14:paraId="0B4B98B9">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A4.1水资源利用效率总量及效率要求</w:t>
                  </w:r>
                </w:p>
              </w:tc>
              <w:tc>
                <w:tcPr>
                  <w:tcW w:w="2868" w:type="pct"/>
                  <w:tcBorders>
                    <w:tl2br w:val="nil"/>
                    <w:tr2bl w:val="nil"/>
                  </w:tcBorders>
                  <w:vAlign w:val="center"/>
                </w:tcPr>
                <w:p w14:paraId="6E2EA31B">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1.实行煤炭消费总量控制，严控高耗煤行业新增项目。</w:t>
                  </w:r>
                </w:p>
                <w:p w14:paraId="0E3441F7">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2.到2025年，全市单位地区生产总值能耗降低基本目标为13%,激励目标为14%。</w:t>
                  </w:r>
                </w:p>
              </w:tc>
              <w:tc>
                <w:tcPr>
                  <w:tcW w:w="856" w:type="pct"/>
                  <w:tcBorders>
                    <w:tl2br w:val="nil"/>
                    <w:tr2bl w:val="nil"/>
                  </w:tcBorders>
                  <w:vAlign w:val="center"/>
                </w:tcPr>
                <w:p w14:paraId="05D35DA7">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1.本项目不属于高耗煤行业。</w:t>
                  </w:r>
                </w:p>
                <w:p w14:paraId="18BC76A2">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2.本项目能耗较低，对全市生产总值能耗影响较小。</w:t>
                  </w:r>
                </w:p>
              </w:tc>
              <w:tc>
                <w:tcPr>
                  <w:tcW w:w="499" w:type="pct"/>
                  <w:tcBorders>
                    <w:tl2br w:val="nil"/>
                    <w:tr2bl w:val="nil"/>
                  </w:tcBorders>
                  <w:vAlign w:val="center"/>
                </w:tcPr>
                <w:p w14:paraId="111FE9B7">
                  <w:pPr>
                    <w:jc w:val="left"/>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r w14:paraId="398399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309" w:type="pct"/>
                  <w:vMerge w:val="continue"/>
                  <w:tcBorders>
                    <w:tl2br w:val="nil"/>
                    <w:tr2bl w:val="nil"/>
                  </w:tcBorders>
                </w:tcPr>
                <w:p w14:paraId="45076176">
                  <w:pPr>
                    <w:jc w:val="center"/>
                    <w:rPr>
                      <w:rFonts w:eastAsia="宋体"/>
                      <w:bCs/>
                      <w:color w:val="000000" w:themeColor="text1"/>
                      <w:sz w:val="21"/>
                      <w:szCs w:val="21"/>
                      <w14:textFill>
                        <w14:solidFill>
                          <w14:schemeClr w14:val="tx1"/>
                        </w14:solidFill>
                      </w14:textFill>
                    </w:rPr>
                  </w:pPr>
                </w:p>
              </w:tc>
              <w:tc>
                <w:tcPr>
                  <w:tcW w:w="468" w:type="pct"/>
                  <w:tcBorders>
                    <w:tl2br w:val="nil"/>
                    <w:tr2bl w:val="nil"/>
                  </w:tcBorders>
                </w:tcPr>
                <w:p w14:paraId="4732C448">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A4.2水资源利用总量及效率要求</w:t>
                  </w:r>
                </w:p>
              </w:tc>
              <w:tc>
                <w:tcPr>
                  <w:tcW w:w="2868" w:type="pct"/>
                  <w:tcBorders>
                    <w:tl2br w:val="nil"/>
                    <w:tr2bl w:val="nil"/>
                  </w:tcBorders>
                  <w:vAlign w:val="center"/>
                </w:tcPr>
                <w:p w14:paraId="01A0E4E3">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落实节水指标纳入县(区)政绩考核，对水资源超载地区实行用水和项目“双限批”,到2025年全市用水总量控制在2.90亿立方米，单位GDP用水量较2020年下降13%。积极推广农业成套综合节水技术，到2025年农田灌溉水有效利用系数达到0.79。</w:t>
                  </w:r>
                </w:p>
              </w:tc>
              <w:tc>
                <w:tcPr>
                  <w:tcW w:w="856" w:type="pct"/>
                  <w:tcBorders>
                    <w:tl2br w:val="nil"/>
                    <w:tr2bl w:val="nil"/>
                  </w:tcBorders>
                  <w:vAlign w:val="center"/>
                </w:tcPr>
                <w:p w14:paraId="14798D11">
                  <w:pP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本项目不属于高耗水企业。</w:t>
                  </w:r>
                </w:p>
              </w:tc>
              <w:tc>
                <w:tcPr>
                  <w:tcW w:w="499" w:type="pct"/>
                  <w:tcBorders>
                    <w:tl2br w:val="nil"/>
                    <w:tr2bl w:val="nil"/>
                  </w:tcBorders>
                  <w:vAlign w:val="center"/>
                </w:tcPr>
                <w:p w14:paraId="16258C49">
                  <w:pPr>
                    <w:jc w:val="left"/>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符合</w:t>
                  </w:r>
                </w:p>
              </w:tc>
            </w:tr>
          </w:tbl>
          <w:p w14:paraId="2C250B87">
            <w:pPr>
              <w:rPr>
                <w:color w:val="000000" w:themeColor="text1"/>
                <w14:textFill>
                  <w14:solidFill>
                    <w14:schemeClr w14:val="tx1"/>
                  </w14:solidFill>
                </w14:textFill>
              </w:rPr>
            </w:pPr>
          </w:p>
          <w:p w14:paraId="5022A23E">
            <w:pPr>
              <w:adjustRightInd w:val="0"/>
              <w:snapToGrid w:val="0"/>
              <w:jc w:val="center"/>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表1-2 项目与彭阳县一般管控单元1（ZH64042530001）符合性分析表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025"/>
              <w:gridCol w:w="2970"/>
              <w:gridCol w:w="2746"/>
              <w:gridCol w:w="681"/>
            </w:tblGrid>
            <w:tr w14:paraId="79A40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90" w:type="pct"/>
                  <w:vAlign w:val="center"/>
                </w:tcPr>
                <w:p w14:paraId="5BB6F1C6">
                  <w:pPr>
                    <w:adjustRightInd w:val="0"/>
                    <w:snapToGrid w:val="0"/>
                    <w:jc w:val="center"/>
                    <w:rPr>
                      <w:rFonts w:eastAsia="宋体"/>
                      <w:b/>
                      <w:color w:val="000000" w:themeColor="text1"/>
                      <w:kern w:val="0"/>
                      <w:sz w:val="21"/>
                      <w:szCs w:val="21"/>
                      <w14:textFill>
                        <w14:solidFill>
                          <w14:schemeClr w14:val="tx1"/>
                        </w14:solidFill>
                      </w14:textFill>
                    </w:rPr>
                  </w:pPr>
                  <w:r>
                    <w:rPr>
                      <w:rFonts w:eastAsia="宋体"/>
                      <w:b/>
                      <w:color w:val="000000" w:themeColor="text1"/>
                      <w:kern w:val="0"/>
                      <w:sz w:val="21"/>
                      <w:szCs w:val="21"/>
                      <w14:textFill>
                        <w14:solidFill>
                          <w14:schemeClr w14:val="tx1"/>
                        </w14:solidFill>
                      </w14:textFill>
                    </w:rPr>
                    <w:t>类别</w:t>
                  </w:r>
                </w:p>
              </w:tc>
              <w:tc>
                <w:tcPr>
                  <w:tcW w:w="2001" w:type="pct"/>
                  <w:vAlign w:val="center"/>
                </w:tcPr>
                <w:p w14:paraId="14661D30">
                  <w:pPr>
                    <w:adjustRightInd w:val="0"/>
                    <w:snapToGrid w:val="0"/>
                    <w:jc w:val="center"/>
                    <w:rPr>
                      <w:rFonts w:eastAsia="宋体"/>
                      <w:b/>
                      <w:color w:val="000000" w:themeColor="text1"/>
                      <w:kern w:val="0"/>
                      <w:sz w:val="21"/>
                      <w:szCs w:val="21"/>
                      <w14:textFill>
                        <w14:solidFill>
                          <w14:schemeClr w14:val="tx1"/>
                        </w14:solidFill>
                      </w14:textFill>
                    </w:rPr>
                  </w:pPr>
                  <w:r>
                    <w:rPr>
                      <w:rFonts w:eastAsia="宋体"/>
                      <w:b/>
                      <w:color w:val="000000" w:themeColor="text1"/>
                      <w:kern w:val="0"/>
                      <w:sz w:val="21"/>
                      <w:szCs w:val="21"/>
                      <w14:textFill>
                        <w14:solidFill>
                          <w14:schemeClr w14:val="tx1"/>
                        </w14:solidFill>
                      </w14:textFill>
                    </w:rPr>
                    <w:t>相关要求</w:t>
                  </w:r>
                </w:p>
              </w:tc>
              <w:tc>
                <w:tcPr>
                  <w:tcW w:w="1850" w:type="pct"/>
                  <w:vAlign w:val="center"/>
                </w:tcPr>
                <w:p w14:paraId="2C7A6F43">
                  <w:pPr>
                    <w:adjustRightInd w:val="0"/>
                    <w:snapToGrid w:val="0"/>
                    <w:jc w:val="center"/>
                    <w:rPr>
                      <w:rFonts w:eastAsia="宋体"/>
                      <w:b/>
                      <w:color w:val="000000" w:themeColor="text1"/>
                      <w:kern w:val="0"/>
                      <w:sz w:val="21"/>
                      <w:szCs w:val="21"/>
                      <w14:textFill>
                        <w14:solidFill>
                          <w14:schemeClr w14:val="tx1"/>
                        </w14:solidFill>
                      </w14:textFill>
                    </w:rPr>
                  </w:pPr>
                  <w:r>
                    <w:rPr>
                      <w:rFonts w:eastAsia="宋体"/>
                      <w:b/>
                      <w:color w:val="000000" w:themeColor="text1"/>
                      <w:kern w:val="0"/>
                      <w:sz w:val="21"/>
                      <w:szCs w:val="21"/>
                      <w14:textFill>
                        <w14:solidFill>
                          <w14:schemeClr w14:val="tx1"/>
                        </w14:solidFill>
                      </w14:textFill>
                    </w:rPr>
                    <w:t>本项目情况</w:t>
                  </w:r>
                </w:p>
              </w:tc>
              <w:tc>
                <w:tcPr>
                  <w:tcW w:w="459" w:type="pct"/>
                  <w:vAlign w:val="center"/>
                </w:tcPr>
                <w:p w14:paraId="700B3959">
                  <w:pPr>
                    <w:adjustRightInd w:val="0"/>
                    <w:snapToGrid w:val="0"/>
                    <w:jc w:val="center"/>
                    <w:rPr>
                      <w:rFonts w:eastAsia="宋体"/>
                      <w:b/>
                      <w:color w:val="000000" w:themeColor="text1"/>
                      <w:kern w:val="0"/>
                      <w:sz w:val="21"/>
                      <w:szCs w:val="21"/>
                      <w14:textFill>
                        <w14:solidFill>
                          <w14:schemeClr w14:val="tx1"/>
                        </w14:solidFill>
                      </w14:textFill>
                    </w:rPr>
                  </w:pPr>
                  <w:r>
                    <w:rPr>
                      <w:rFonts w:eastAsia="宋体"/>
                      <w:b/>
                      <w:color w:val="000000" w:themeColor="text1"/>
                      <w:kern w:val="0"/>
                      <w:sz w:val="21"/>
                      <w:szCs w:val="21"/>
                      <w14:textFill>
                        <w14:solidFill>
                          <w14:schemeClr w14:val="tx1"/>
                        </w14:solidFill>
                      </w14:textFill>
                    </w:rPr>
                    <w:t>符合性</w:t>
                  </w:r>
                </w:p>
              </w:tc>
            </w:tr>
            <w:tr w14:paraId="460D7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90" w:type="pct"/>
                  <w:vAlign w:val="center"/>
                </w:tcPr>
                <w:p w14:paraId="25ABD4E6">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空间布局约束</w:t>
                  </w:r>
                </w:p>
              </w:tc>
              <w:tc>
                <w:tcPr>
                  <w:tcW w:w="2001" w:type="pct"/>
                  <w:vAlign w:val="center"/>
                </w:tcPr>
                <w:p w14:paraId="4C133553">
                  <w:pPr>
                    <w:widowControl/>
                    <w:rPr>
                      <w:rFonts w:eastAsia="宋体"/>
                      <w:color w:val="000000" w:themeColor="text1"/>
                      <w:spacing w:val="2"/>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1.禁止在二十五度以上陡坡地开垦种植农作物。</w:t>
                  </w:r>
                </w:p>
                <w:p w14:paraId="17F18CB8">
                  <w:pPr>
                    <w:widowControl/>
                    <w:rPr>
                      <w:rFonts w:eastAsia="宋体"/>
                      <w:color w:val="000000" w:themeColor="text1"/>
                      <w:spacing w:val="2"/>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2.严格限制占用林地、草地及河流沿线湿地进行开发建设活动。</w:t>
                  </w:r>
                </w:p>
                <w:p w14:paraId="28B020F9">
                  <w:pPr>
                    <w:pStyle w:val="68"/>
                    <w:spacing w:beforeLines="0" w:afterLines="0" w:line="240" w:lineRule="auto"/>
                    <w:ind w:firstLine="0"/>
                    <w:jc w:val="both"/>
                    <w:rPr>
                      <w:rFonts w:ascii="Times New Roman" w:eastAsia="宋体"/>
                      <w:color w:val="000000" w:themeColor="text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3.在满足产业准入、总量控制、排放标准等国家和地方相关管理制度要求的前提下，集约发展。</w:t>
                  </w:r>
                </w:p>
              </w:tc>
              <w:tc>
                <w:tcPr>
                  <w:tcW w:w="1850" w:type="pct"/>
                  <w:vAlign w:val="center"/>
                </w:tcPr>
                <w:p w14:paraId="45B0973A">
                  <w:pPr>
                    <w:pStyle w:val="68"/>
                    <w:spacing w:beforeLines="0" w:afterLines="0" w:line="240" w:lineRule="auto"/>
                    <w:ind w:firstLine="0"/>
                    <w:jc w:val="both"/>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1.本项目为石灰石</w:t>
                  </w:r>
                  <w:r>
                    <w:rPr>
                      <w:rFonts w:hint="eastAsia" w:ascii="Times New Roman" w:eastAsia="宋体"/>
                      <w:color w:val="000000" w:themeColor="text1"/>
                      <w:spacing w:val="2"/>
                      <w:kern w:val="2"/>
                      <w:sz w:val="21"/>
                      <w:szCs w:val="21"/>
                      <w14:textFill>
                        <w14:solidFill>
                          <w14:schemeClr w14:val="tx1"/>
                        </w14:solidFill>
                      </w14:textFill>
                    </w:rPr>
                    <w:t>和</w:t>
                  </w:r>
                  <w:r>
                    <w:rPr>
                      <w:rFonts w:ascii="Times New Roman" w:eastAsia="宋体"/>
                      <w:color w:val="000000" w:themeColor="text1"/>
                      <w:spacing w:val="2"/>
                      <w:kern w:val="2"/>
                      <w:sz w:val="21"/>
                      <w:szCs w:val="21"/>
                      <w14:textFill>
                        <w14:solidFill>
                          <w14:schemeClr w14:val="tx1"/>
                        </w14:solidFill>
                      </w14:textFill>
                    </w:rPr>
                    <w:t>建筑垃圾</w:t>
                  </w:r>
                  <w:r>
                    <w:rPr>
                      <w:rFonts w:hint="eastAsia" w:ascii="Times New Roman" w:eastAsia="宋体"/>
                      <w:color w:val="000000" w:themeColor="text1"/>
                      <w:spacing w:val="2"/>
                      <w:kern w:val="2"/>
                      <w:sz w:val="21"/>
                      <w:szCs w:val="21"/>
                      <w14:textFill>
                        <w14:solidFill>
                          <w14:schemeClr w14:val="tx1"/>
                        </w14:solidFill>
                      </w14:textFill>
                    </w:rPr>
                    <w:t>加工</w:t>
                  </w:r>
                  <w:r>
                    <w:rPr>
                      <w:rFonts w:ascii="Times New Roman" w:eastAsia="宋体"/>
                      <w:color w:val="000000" w:themeColor="text1"/>
                      <w:spacing w:val="2"/>
                      <w:kern w:val="2"/>
                      <w:sz w:val="21"/>
                      <w:szCs w:val="21"/>
                      <w14:textFill>
                        <w14:solidFill>
                          <w14:schemeClr w14:val="tx1"/>
                        </w14:solidFill>
                      </w14:textFill>
                    </w:rPr>
                    <w:t>项目，不涉及开垦种植农作物。</w:t>
                  </w:r>
                </w:p>
                <w:p w14:paraId="22A6538E">
                  <w:pPr>
                    <w:pStyle w:val="68"/>
                    <w:spacing w:beforeLines="0" w:afterLines="0" w:line="240" w:lineRule="auto"/>
                    <w:ind w:firstLine="0"/>
                    <w:jc w:val="both"/>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2.本项目不占用林地、草地及河流沿线湿地。</w:t>
                  </w:r>
                </w:p>
                <w:p w14:paraId="61E02D00">
                  <w:pPr>
                    <w:pStyle w:val="68"/>
                    <w:spacing w:beforeLines="0" w:afterLines="0" w:line="240" w:lineRule="auto"/>
                    <w:ind w:firstLine="0"/>
                    <w:jc w:val="both"/>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3.本项目满足产业政策，符合固原市生态环境总体准入清单的相关要求。</w:t>
                  </w:r>
                </w:p>
              </w:tc>
              <w:tc>
                <w:tcPr>
                  <w:tcW w:w="459" w:type="pct"/>
                  <w:vAlign w:val="center"/>
                </w:tcPr>
                <w:p w14:paraId="702B3E9A">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符合</w:t>
                  </w:r>
                </w:p>
              </w:tc>
            </w:tr>
            <w:tr w14:paraId="79675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90" w:type="pct"/>
                  <w:vAlign w:val="center"/>
                </w:tcPr>
                <w:p w14:paraId="0EE02398">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污染物排放管控</w:t>
                  </w:r>
                </w:p>
              </w:tc>
              <w:tc>
                <w:tcPr>
                  <w:tcW w:w="2001" w:type="pct"/>
                  <w:vAlign w:val="center"/>
                </w:tcPr>
                <w:p w14:paraId="47C24181">
                  <w:pPr>
                    <w:pStyle w:val="68"/>
                    <w:spacing w:beforeLines="0" w:afterLines="0" w:line="240" w:lineRule="auto"/>
                    <w:ind w:firstLine="0"/>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w:t>
                  </w:r>
                </w:p>
              </w:tc>
              <w:tc>
                <w:tcPr>
                  <w:tcW w:w="1850" w:type="pct"/>
                  <w:vAlign w:val="center"/>
                </w:tcPr>
                <w:p w14:paraId="0257D00D">
                  <w:pPr>
                    <w:jc w:val="center"/>
                    <w:rPr>
                      <w:rFonts w:eastAsia="宋体"/>
                      <w:color w:val="000000" w:themeColor="text1"/>
                      <w:spacing w:val="2"/>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w:t>
                  </w:r>
                </w:p>
              </w:tc>
              <w:tc>
                <w:tcPr>
                  <w:tcW w:w="459" w:type="pct"/>
                  <w:vAlign w:val="center"/>
                </w:tcPr>
                <w:p w14:paraId="7DD5428F">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w:t>
                  </w:r>
                </w:p>
              </w:tc>
            </w:tr>
            <w:tr w14:paraId="48BC3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90" w:type="pct"/>
                  <w:vAlign w:val="center"/>
                </w:tcPr>
                <w:p w14:paraId="0DAF18E2">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环境风险防控</w:t>
                  </w:r>
                </w:p>
              </w:tc>
              <w:tc>
                <w:tcPr>
                  <w:tcW w:w="2001" w:type="pct"/>
                  <w:vAlign w:val="center"/>
                </w:tcPr>
                <w:p w14:paraId="115A4C6E">
                  <w:pPr>
                    <w:widowControl/>
                    <w:jc w:val="center"/>
                    <w:rPr>
                      <w:rFonts w:eastAsia="宋体"/>
                      <w:color w:val="000000" w:themeColor="text1"/>
                      <w:spacing w:val="2"/>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w:t>
                  </w:r>
                </w:p>
              </w:tc>
              <w:tc>
                <w:tcPr>
                  <w:tcW w:w="1850" w:type="pct"/>
                  <w:vAlign w:val="center"/>
                </w:tcPr>
                <w:p w14:paraId="5032BF86">
                  <w:pPr>
                    <w:pStyle w:val="68"/>
                    <w:spacing w:beforeLines="0" w:afterLines="0" w:line="240" w:lineRule="auto"/>
                    <w:ind w:firstLine="0"/>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w:t>
                  </w:r>
                </w:p>
              </w:tc>
              <w:tc>
                <w:tcPr>
                  <w:tcW w:w="459" w:type="pct"/>
                  <w:vAlign w:val="center"/>
                </w:tcPr>
                <w:p w14:paraId="45EA4DEC">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w:t>
                  </w:r>
                </w:p>
              </w:tc>
            </w:tr>
            <w:tr w14:paraId="24260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90" w:type="pct"/>
                  <w:vAlign w:val="center"/>
                </w:tcPr>
                <w:p w14:paraId="7704E48B">
                  <w:pPr>
                    <w:adjustRightInd w:val="0"/>
                    <w:snapToGrid w:val="0"/>
                    <w:jc w:val="center"/>
                    <w:rPr>
                      <w:rFonts w:eastAsia="宋体"/>
                      <w:color w:val="000000" w:themeColor="text1"/>
                      <w:spacing w:val="2"/>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资源开发效率要求</w:t>
                  </w:r>
                </w:p>
              </w:tc>
              <w:tc>
                <w:tcPr>
                  <w:tcW w:w="2001" w:type="pct"/>
                  <w:vAlign w:val="center"/>
                </w:tcPr>
                <w:p w14:paraId="11C0B178">
                  <w:pPr>
                    <w:pStyle w:val="68"/>
                    <w:spacing w:beforeLines="0" w:afterLines="0" w:line="240" w:lineRule="auto"/>
                    <w:ind w:firstLine="0"/>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w:t>
                  </w:r>
                </w:p>
              </w:tc>
              <w:tc>
                <w:tcPr>
                  <w:tcW w:w="1850" w:type="pct"/>
                  <w:vAlign w:val="center"/>
                </w:tcPr>
                <w:p w14:paraId="2864FD92">
                  <w:pPr>
                    <w:pStyle w:val="68"/>
                    <w:spacing w:beforeLines="0" w:afterLines="0" w:line="240" w:lineRule="auto"/>
                    <w:ind w:firstLine="0"/>
                    <w:rPr>
                      <w:rFonts w:ascii="Times New Roman" w:eastAsia="宋体"/>
                      <w:color w:val="000000" w:themeColor="text1"/>
                      <w:spacing w:val="2"/>
                      <w:kern w:val="2"/>
                      <w:sz w:val="21"/>
                      <w:szCs w:val="21"/>
                      <w14:textFill>
                        <w14:solidFill>
                          <w14:schemeClr w14:val="tx1"/>
                        </w14:solidFill>
                      </w14:textFill>
                    </w:rPr>
                  </w:pPr>
                  <w:r>
                    <w:rPr>
                      <w:rFonts w:ascii="Times New Roman" w:eastAsia="宋体"/>
                      <w:color w:val="000000" w:themeColor="text1"/>
                      <w:spacing w:val="2"/>
                      <w:kern w:val="2"/>
                      <w:sz w:val="21"/>
                      <w:szCs w:val="21"/>
                      <w14:textFill>
                        <w14:solidFill>
                          <w14:schemeClr w14:val="tx1"/>
                        </w14:solidFill>
                      </w14:textFill>
                    </w:rPr>
                    <w:t>/</w:t>
                  </w:r>
                </w:p>
              </w:tc>
              <w:tc>
                <w:tcPr>
                  <w:tcW w:w="459" w:type="pct"/>
                  <w:vAlign w:val="center"/>
                </w:tcPr>
                <w:p w14:paraId="45608DA0">
                  <w:pPr>
                    <w:adjustRightInd w:val="0"/>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w:t>
                  </w:r>
                </w:p>
              </w:tc>
            </w:tr>
          </w:tbl>
          <w:p w14:paraId="3B912A54">
            <w:pPr>
              <w:pStyle w:val="71"/>
              <w:spacing w:line="360" w:lineRule="auto"/>
              <w:ind w:firstLine="482" w:firstLineChars="200"/>
              <w:rPr>
                <w:rFonts w:ascii="Times New Roman" w:eastAsia="宋体" w:cs="Times New Roman"/>
                <w:b/>
                <w:color w:val="000000" w:themeColor="text1"/>
                <w:kern w:val="0"/>
                <w14:textFill>
                  <w14:solidFill>
                    <w14:schemeClr w14:val="tx1"/>
                  </w14:solidFill>
                </w14:textFill>
              </w:rPr>
            </w:pPr>
            <w:r>
              <w:rPr>
                <w:rFonts w:ascii="Times New Roman" w:eastAsia="宋体" w:cs="Times New Roman"/>
                <w:b/>
                <w:color w:val="000000" w:themeColor="text1"/>
                <w:kern w:val="0"/>
                <w14:textFill>
                  <w14:solidFill>
                    <w14:schemeClr w14:val="tx1"/>
                  </w14:solidFill>
                </w14:textFill>
              </w:rPr>
              <w:t>4、与《固体废物再生利用污染防治技术导则》（HJ1091-2020）符合性</w:t>
            </w:r>
          </w:p>
          <w:p w14:paraId="1C41AB2A">
            <w:pPr>
              <w:adjustRightInd w:val="0"/>
              <w:snapToGrid w:val="0"/>
              <w:jc w:val="center"/>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表1-3  项目与《固体废物再生利用污染防治技术导则》</w:t>
            </w:r>
            <w:r>
              <w:rPr>
                <w:rFonts w:hint="eastAsia" w:eastAsia="宋体"/>
                <w:b/>
                <w:color w:val="000000" w:themeColor="text1"/>
                <w:kern w:val="0"/>
                <w14:textFill>
                  <w14:solidFill>
                    <w14:schemeClr w14:val="tx1"/>
                  </w14:solidFill>
                </w14:textFill>
              </w:rPr>
              <w:t>符合性分析表</w:t>
            </w:r>
          </w:p>
          <w:tbl>
            <w:tblPr>
              <w:tblStyle w:val="36"/>
              <w:tblW w:w="74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061"/>
              <w:gridCol w:w="2830"/>
              <w:gridCol w:w="882"/>
            </w:tblGrid>
            <w:tr w14:paraId="42525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tcBorders>
                    <w:tl2br w:val="nil"/>
                    <w:tr2bl w:val="nil"/>
                  </w:tcBorders>
                  <w:shd w:val="clear" w:color="auto" w:fill="auto"/>
                  <w:vAlign w:val="center"/>
                </w:tcPr>
                <w:p w14:paraId="1E50235B">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序号</w:t>
                  </w:r>
                </w:p>
              </w:tc>
              <w:tc>
                <w:tcPr>
                  <w:tcW w:w="3061" w:type="dxa"/>
                  <w:tcBorders>
                    <w:tl2br w:val="nil"/>
                    <w:tr2bl w:val="nil"/>
                  </w:tcBorders>
                  <w:shd w:val="clear" w:color="auto" w:fill="auto"/>
                  <w:vAlign w:val="center"/>
                </w:tcPr>
                <w:p w14:paraId="03691D46">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管控内容</w:t>
                  </w:r>
                </w:p>
              </w:tc>
              <w:tc>
                <w:tcPr>
                  <w:tcW w:w="2830" w:type="dxa"/>
                  <w:tcBorders>
                    <w:tl2br w:val="nil"/>
                    <w:tr2bl w:val="nil"/>
                  </w:tcBorders>
                  <w:shd w:val="clear" w:color="auto" w:fill="auto"/>
                  <w:vAlign w:val="center"/>
                </w:tcPr>
                <w:p w14:paraId="7294B748">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本项目情况</w:t>
                  </w:r>
                </w:p>
              </w:tc>
              <w:tc>
                <w:tcPr>
                  <w:tcW w:w="882" w:type="dxa"/>
                  <w:tcBorders>
                    <w:tl2br w:val="nil"/>
                    <w:tr2bl w:val="nil"/>
                  </w:tcBorders>
                  <w:shd w:val="clear" w:color="auto" w:fill="auto"/>
                  <w:vAlign w:val="center"/>
                </w:tcPr>
                <w:p w14:paraId="4E482F7B">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符合性</w:t>
                  </w:r>
                </w:p>
              </w:tc>
            </w:tr>
            <w:tr w14:paraId="350CED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tcBorders>
                    <w:tl2br w:val="nil"/>
                    <w:tr2bl w:val="nil"/>
                  </w:tcBorders>
                  <w:shd w:val="clear" w:color="auto" w:fill="auto"/>
                  <w:vAlign w:val="center"/>
                </w:tcPr>
                <w:p w14:paraId="6B1E05E7">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3061" w:type="dxa"/>
                  <w:tcBorders>
                    <w:tl2br w:val="nil"/>
                    <w:tr2bl w:val="nil"/>
                  </w:tcBorders>
                  <w:shd w:val="clear" w:color="auto" w:fill="auto"/>
                </w:tcPr>
                <w:p w14:paraId="79D56514">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产生粉尘和有毒有害气体的作业区应采取除尘和有毒有害气体收集措施。扬尘点应设置吸尘罩和收尘设备，有毒有害气体逸散区应设置 吸附(吸收)转化装置，保证作业区粉尘、有害气体浓度满足GBZ2.1的要求。</w:t>
                  </w:r>
                </w:p>
              </w:tc>
              <w:tc>
                <w:tcPr>
                  <w:tcW w:w="2830" w:type="dxa"/>
                  <w:tcBorders>
                    <w:tl2br w:val="nil"/>
                    <w:tr2bl w:val="nil"/>
                  </w:tcBorders>
                  <w:shd w:val="clear" w:color="auto" w:fill="auto"/>
                </w:tcPr>
                <w:p w14:paraId="0A939B57">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本项目生产过程中不会产生有毒有害气体，主要为粉尘，通过厂房封闭、粉料密闭储存、厂区内设置喷淋设施降尘、地面硬化、设置洗车池等措施后，对周围环境影响较小。</w:t>
                  </w:r>
                </w:p>
              </w:tc>
              <w:tc>
                <w:tcPr>
                  <w:tcW w:w="882" w:type="dxa"/>
                  <w:tcBorders>
                    <w:tl2br w:val="nil"/>
                    <w:tr2bl w:val="nil"/>
                  </w:tcBorders>
                  <w:shd w:val="clear" w:color="auto" w:fill="auto"/>
                  <w:vAlign w:val="center"/>
                </w:tcPr>
                <w:p w14:paraId="5BBB21CF">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0B55D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tcBorders>
                    <w:tl2br w:val="nil"/>
                    <w:tr2bl w:val="nil"/>
                  </w:tcBorders>
                  <w:shd w:val="clear" w:color="auto" w:fill="auto"/>
                  <w:vAlign w:val="center"/>
                </w:tcPr>
                <w:p w14:paraId="4C0B7EA7">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3061" w:type="dxa"/>
                  <w:tcBorders>
                    <w:tl2br w:val="nil"/>
                    <w:tr2bl w:val="nil"/>
                  </w:tcBorders>
                  <w:shd w:val="clear" w:color="auto" w:fill="auto"/>
                </w:tcPr>
                <w:p w14:paraId="7006BACF">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应采取大气污染控制措施，大气污染物排放应满足特定行业排放(控制)标准的要求。没有特定行业污染排放(控制)标准的，应满足 GB16297 的要求，特征污染物排放(控制)应满足环境影响评价要求。</w:t>
                  </w:r>
                </w:p>
              </w:tc>
              <w:tc>
                <w:tcPr>
                  <w:tcW w:w="2830" w:type="dxa"/>
                  <w:tcBorders>
                    <w:tl2br w:val="nil"/>
                    <w:tr2bl w:val="nil"/>
                  </w:tcBorders>
                  <w:shd w:val="clear" w:color="auto" w:fill="auto"/>
                </w:tcPr>
                <w:p w14:paraId="4D3997DA">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本项目生产过程中不会产生有毒有害气体，主要为粉尘，通过厂房封闭、粉料密闭储存、厂区内设置喷淋设施降尘、地面硬化、设置洗车池等措施后，对周围环境影响较小。</w:t>
                  </w:r>
                </w:p>
              </w:tc>
              <w:tc>
                <w:tcPr>
                  <w:tcW w:w="882" w:type="dxa"/>
                  <w:tcBorders>
                    <w:tl2br w:val="nil"/>
                    <w:tr2bl w:val="nil"/>
                  </w:tcBorders>
                  <w:shd w:val="clear" w:color="auto" w:fill="auto"/>
                  <w:vAlign w:val="center"/>
                </w:tcPr>
                <w:p w14:paraId="35835B64">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41E20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tcBorders>
                    <w:tl2br w:val="nil"/>
                    <w:tr2bl w:val="nil"/>
                  </w:tcBorders>
                  <w:shd w:val="clear" w:color="auto" w:fill="auto"/>
                  <w:vAlign w:val="center"/>
                </w:tcPr>
                <w:p w14:paraId="768AF3B7">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w:t>
                  </w:r>
                </w:p>
              </w:tc>
              <w:tc>
                <w:tcPr>
                  <w:tcW w:w="3061" w:type="dxa"/>
                  <w:tcBorders>
                    <w:tl2br w:val="nil"/>
                    <w:tr2bl w:val="nil"/>
                  </w:tcBorders>
                  <w:shd w:val="clear" w:color="auto" w:fill="auto"/>
                </w:tcPr>
                <w:p w14:paraId="4BB4B734">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产生的污泥、底渣、废油类等固体废物应按照其管理属性分别处置。不能自行综合利用或处置的，应交给有相应资质和处理能力的企业进行综合利用或处置。</w:t>
                  </w:r>
                </w:p>
              </w:tc>
              <w:tc>
                <w:tcPr>
                  <w:tcW w:w="2830" w:type="dxa"/>
                  <w:tcBorders>
                    <w:tl2br w:val="nil"/>
                    <w:tr2bl w:val="nil"/>
                  </w:tcBorders>
                  <w:shd w:val="clear" w:color="auto" w:fill="auto"/>
                </w:tcPr>
                <w:p w14:paraId="6EE52C51">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项目沉淀池沉渣定期清掏后综合利用。</w:t>
                  </w:r>
                </w:p>
              </w:tc>
              <w:tc>
                <w:tcPr>
                  <w:tcW w:w="882" w:type="dxa"/>
                  <w:tcBorders>
                    <w:tl2br w:val="nil"/>
                    <w:tr2bl w:val="nil"/>
                  </w:tcBorders>
                  <w:shd w:val="clear" w:color="auto" w:fill="auto"/>
                  <w:vAlign w:val="center"/>
                </w:tcPr>
                <w:p w14:paraId="68E204E0">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4B1C7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9" w:type="dxa"/>
                  <w:tcBorders>
                    <w:tl2br w:val="nil"/>
                    <w:tr2bl w:val="nil"/>
                  </w:tcBorders>
                  <w:shd w:val="clear" w:color="auto" w:fill="auto"/>
                  <w:vAlign w:val="center"/>
                </w:tcPr>
                <w:p w14:paraId="16AC5410">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w:t>
                  </w:r>
                </w:p>
              </w:tc>
              <w:tc>
                <w:tcPr>
                  <w:tcW w:w="3061" w:type="dxa"/>
                  <w:tcBorders>
                    <w:tl2br w:val="nil"/>
                    <w:tr2bl w:val="nil"/>
                  </w:tcBorders>
                  <w:shd w:val="clear" w:color="auto" w:fill="auto"/>
                </w:tcPr>
                <w:p w14:paraId="6C219D23">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危险废物的贮存、包装、处置等应符合 GB 18597、HJ2042 等危险废物专用标准的要求。</w:t>
                  </w:r>
                </w:p>
              </w:tc>
              <w:tc>
                <w:tcPr>
                  <w:tcW w:w="2830" w:type="dxa"/>
                  <w:tcBorders>
                    <w:tl2br w:val="nil"/>
                    <w:tr2bl w:val="nil"/>
                  </w:tcBorders>
                  <w:shd w:val="clear" w:color="auto" w:fill="auto"/>
                </w:tcPr>
                <w:p w14:paraId="609631D0">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项目危险废物暂存于危废贮存点，定期交由资质单位处置。</w:t>
                  </w:r>
                </w:p>
              </w:tc>
              <w:tc>
                <w:tcPr>
                  <w:tcW w:w="882" w:type="dxa"/>
                  <w:tcBorders>
                    <w:tl2br w:val="nil"/>
                    <w:tr2bl w:val="nil"/>
                  </w:tcBorders>
                  <w:shd w:val="clear" w:color="auto" w:fill="auto"/>
                  <w:vAlign w:val="center"/>
                </w:tcPr>
                <w:p w14:paraId="7D01DA31">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bl>
          <w:p w14:paraId="5940FC9C">
            <w:pPr>
              <w:widowControl/>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由上表可知，本项目符合《固体废物再生利用污染防治技术导则》中的相关要求。</w:t>
            </w:r>
          </w:p>
          <w:p w14:paraId="2D27C191">
            <w:pPr>
              <w:widowControl/>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5</w:t>
            </w:r>
            <w:r>
              <w:rPr>
                <w:rFonts w:hint="eastAsia" w:eastAsia="宋体"/>
                <w:b/>
                <w:bCs/>
                <w:color w:val="000000" w:themeColor="text1"/>
                <w14:textFill>
                  <w14:solidFill>
                    <w14:schemeClr w14:val="tx1"/>
                  </w14:solidFill>
                </w14:textFill>
              </w:rPr>
              <w:t>、项目与《建筑垃圾污染控制技术规范》（HJ1462-2026）符合性分析</w:t>
            </w:r>
          </w:p>
          <w:p w14:paraId="472A5E43">
            <w:pPr>
              <w:adjustRightInd w:val="0"/>
              <w:snapToGrid w:val="0"/>
              <w:jc w:val="center"/>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 xml:space="preserve">表1-4  </w:t>
            </w:r>
            <w:r>
              <w:rPr>
                <w:rFonts w:hint="eastAsia" w:eastAsia="宋体"/>
                <w:b/>
                <w:bCs/>
                <w:color w:val="000000" w:themeColor="text1"/>
                <w:kern w:val="0"/>
                <w14:textFill>
                  <w14:solidFill>
                    <w14:schemeClr w14:val="tx1"/>
                  </w14:solidFill>
                </w14:textFill>
              </w:rPr>
              <w:t>项目与《建筑垃圾污染控制技术规范》（HJ1462-2026）符合性分析表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49"/>
              <w:gridCol w:w="3056"/>
              <w:gridCol w:w="2835"/>
              <w:gridCol w:w="882"/>
            </w:tblGrid>
            <w:tr w14:paraId="17627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01BD563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序号</w:t>
                  </w:r>
                </w:p>
              </w:tc>
              <w:tc>
                <w:tcPr>
                  <w:tcW w:w="3056" w:type="dxa"/>
                  <w:tcBorders>
                    <w:tl2br w:val="nil"/>
                    <w:tr2bl w:val="nil"/>
                  </w:tcBorders>
                  <w:shd w:val="clear" w:color="auto" w:fill="auto"/>
                  <w:vAlign w:val="center"/>
                </w:tcPr>
                <w:p w14:paraId="57A1EC80">
                  <w:pPr>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控制</w:t>
                  </w:r>
                  <w:r>
                    <w:rPr>
                      <w:rFonts w:eastAsia="宋体"/>
                      <w:color w:val="000000" w:themeColor="text1"/>
                      <w:sz w:val="21"/>
                      <w:szCs w:val="21"/>
                      <w14:textFill>
                        <w14:solidFill>
                          <w14:schemeClr w14:val="tx1"/>
                        </w14:solidFill>
                      </w14:textFill>
                    </w:rPr>
                    <w:t>要求</w:t>
                  </w:r>
                </w:p>
              </w:tc>
              <w:tc>
                <w:tcPr>
                  <w:tcW w:w="2835" w:type="dxa"/>
                  <w:tcBorders>
                    <w:tl2br w:val="nil"/>
                    <w:tr2bl w:val="nil"/>
                  </w:tcBorders>
                  <w:shd w:val="clear" w:color="auto" w:fill="auto"/>
                  <w:vAlign w:val="center"/>
                </w:tcPr>
                <w:p w14:paraId="79FAC6E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本项目情况</w:t>
                  </w:r>
                </w:p>
              </w:tc>
              <w:tc>
                <w:tcPr>
                  <w:tcW w:w="882" w:type="dxa"/>
                  <w:tcBorders>
                    <w:tl2br w:val="nil"/>
                    <w:tr2bl w:val="nil"/>
                  </w:tcBorders>
                  <w:shd w:val="clear" w:color="auto" w:fill="auto"/>
                  <w:vAlign w:val="center"/>
                </w:tcPr>
                <w:p w14:paraId="24ACE1E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符合性</w:t>
                  </w:r>
                </w:p>
              </w:tc>
            </w:tr>
            <w:tr w14:paraId="32F6C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37C28C8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3056" w:type="dxa"/>
                  <w:tcBorders>
                    <w:tl2br w:val="nil"/>
                    <w:tr2bl w:val="nil"/>
                  </w:tcBorders>
                  <w:shd w:val="clear" w:color="auto" w:fill="auto"/>
                  <w:vAlign w:val="center"/>
                </w:tcPr>
                <w:p w14:paraId="3D94CD69">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应根据建筑垃圾的成分和当地需求因地制宜选择资源化利用技术。</w:t>
                  </w:r>
                </w:p>
              </w:tc>
              <w:tc>
                <w:tcPr>
                  <w:tcW w:w="2835" w:type="dxa"/>
                  <w:tcBorders>
                    <w:tl2br w:val="nil"/>
                    <w:tr2bl w:val="nil"/>
                  </w:tcBorders>
                  <w:shd w:val="clear" w:color="auto" w:fill="auto"/>
                  <w:vAlign w:val="center"/>
                </w:tcPr>
                <w:p w14:paraId="109916DB">
                  <w:pP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本项目将</w:t>
                  </w:r>
                  <w:r>
                    <w:rPr>
                      <w:rFonts w:hint="eastAsia" w:eastAsia="宋体"/>
                      <w:color w:val="000000" w:themeColor="text1"/>
                      <w:sz w:val="21"/>
                      <w:szCs w:val="21"/>
                      <w14:textFill>
                        <w14:solidFill>
                          <w14:schemeClr w14:val="tx1"/>
                        </w14:solidFill>
                      </w14:textFill>
                    </w:rPr>
                    <w:t>收集的</w:t>
                  </w:r>
                  <w:r>
                    <w:rPr>
                      <w:rFonts w:eastAsia="宋体"/>
                      <w:color w:val="000000" w:themeColor="text1"/>
                      <w:sz w:val="21"/>
                      <w:szCs w:val="21"/>
                      <w14:textFill>
                        <w14:solidFill>
                          <w14:schemeClr w14:val="tx1"/>
                        </w14:solidFill>
                      </w14:textFill>
                    </w:rPr>
                    <w:t>混凝土类、砖瓦砌块类和石材类进行破碎筛分，再生骨料用于现有预拌混凝土生产线，再生水稳料</w:t>
                  </w:r>
                  <w:r>
                    <w:rPr>
                      <w:rFonts w:hint="eastAsia" w:eastAsia="宋体"/>
                      <w:color w:val="000000" w:themeColor="text1"/>
                      <w:sz w:val="21"/>
                      <w:szCs w:val="21"/>
                      <w14:textFill>
                        <w14:solidFill>
                          <w14:schemeClr w14:val="tx1"/>
                        </w14:solidFill>
                      </w14:textFill>
                    </w:rPr>
                    <w:t>外售</w:t>
                  </w:r>
                  <w:r>
                    <w:rPr>
                      <w:rFonts w:eastAsia="宋体"/>
                      <w:color w:val="000000" w:themeColor="text1"/>
                      <w:sz w:val="21"/>
                      <w:szCs w:val="21"/>
                      <w14:textFill>
                        <w14:solidFill>
                          <w14:schemeClr w14:val="tx1"/>
                        </w14:solidFill>
                      </w14:textFill>
                    </w:rPr>
                    <w:t>。</w:t>
                  </w:r>
                </w:p>
              </w:tc>
              <w:tc>
                <w:tcPr>
                  <w:tcW w:w="882" w:type="dxa"/>
                  <w:tcBorders>
                    <w:tl2br w:val="nil"/>
                    <w:tr2bl w:val="nil"/>
                  </w:tcBorders>
                  <w:shd w:val="clear" w:color="auto" w:fill="auto"/>
                  <w:vAlign w:val="center"/>
                </w:tcPr>
                <w:p w14:paraId="5C0E7DA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158EF8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40E04BD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3056" w:type="dxa"/>
                  <w:tcBorders>
                    <w:tl2br w:val="nil"/>
                    <w:tr2bl w:val="nil"/>
                  </w:tcBorders>
                  <w:shd w:val="clear" w:color="auto" w:fill="auto"/>
                  <w:vAlign w:val="center"/>
                </w:tcPr>
                <w:p w14:paraId="77C9442C">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建筑垃圾堆放区应采取防扬尘措施，其中4.2 c）堆放区应增加防雨淋措施。</w:t>
                  </w:r>
                </w:p>
              </w:tc>
              <w:tc>
                <w:tcPr>
                  <w:tcW w:w="2835" w:type="dxa"/>
                  <w:tcBorders>
                    <w:tl2br w:val="nil"/>
                    <w:tr2bl w:val="nil"/>
                  </w:tcBorders>
                  <w:shd w:val="clear" w:color="auto" w:fill="auto"/>
                  <w:vAlign w:val="center"/>
                </w:tcPr>
                <w:p w14:paraId="7F495579">
                  <w:pP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本项目设置钢架结构，全封闭式建筑垃圾料仓。</w:t>
                  </w:r>
                </w:p>
              </w:tc>
              <w:tc>
                <w:tcPr>
                  <w:tcW w:w="882" w:type="dxa"/>
                  <w:tcBorders>
                    <w:tl2br w:val="nil"/>
                    <w:tr2bl w:val="nil"/>
                  </w:tcBorders>
                  <w:shd w:val="clear" w:color="auto" w:fill="auto"/>
                  <w:vAlign w:val="center"/>
                </w:tcPr>
                <w:p w14:paraId="3B610F2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50890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28F15B7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w:t>
                  </w:r>
                </w:p>
              </w:tc>
              <w:tc>
                <w:tcPr>
                  <w:tcW w:w="3056" w:type="dxa"/>
                  <w:tcBorders>
                    <w:tl2br w:val="nil"/>
                    <w:tr2bl w:val="nil"/>
                  </w:tcBorders>
                  <w:shd w:val="clear" w:color="auto" w:fill="auto"/>
                  <w:vAlign w:val="center"/>
                </w:tcPr>
                <w:p w14:paraId="4E4DDDBC">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建筑垃圾资源化利用过程收集的废水宜进行循环利用，无法循环利用的废水应收集处理。</w:t>
                  </w:r>
                </w:p>
              </w:tc>
              <w:tc>
                <w:tcPr>
                  <w:tcW w:w="2835" w:type="dxa"/>
                  <w:tcBorders>
                    <w:tl2br w:val="nil"/>
                    <w:tr2bl w:val="nil"/>
                  </w:tcBorders>
                  <w:shd w:val="clear" w:color="auto" w:fill="auto"/>
                  <w:vAlign w:val="center"/>
                </w:tcPr>
                <w:p w14:paraId="1C404D6A">
                  <w:pP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本项目不涉及。</w:t>
                  </w:r>
                </w:p>
              </w:tc>
              <w:tc>
                <w:tcPr>
                  <w:tcW w:w="882" w:type="dxa"/>
                  <w:tcBorders>
                    <w:tl2br w:val="nil"/>
                    <w:tr2bl w:val="nil"/>
                  </w:tcBorders>
                  <w:shd w:val="clear" w:color="auto" w:fill="auto"/>
                  <w:vAlign w:val="center"/>
                </w:tcPr>
                <w:p w14:paraId="69E6A65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71B9E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333FEA9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w:t>
                  </w:r>
                </w:p>
              </w:tc>
              <w:tc>
                <w:tcPr>
                  <w:tcW w:w="3056" w:type="dxa"/>
                  <w:tcBorders>
                    <w:tl2br w:val="nil"/>
                    <w:tr2bl w:val="nil"/>
                  </w:tcBorders>
                  <w:shd w:val="clear" w:color="auto" w:fill="auto"/>
                  <w:vAlign w:val="center"/>
                </w:tcPr>
                <w:p w14:paraId="1BE4616C">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分选产生的木材、塑料等可燃杂物宜优先进行再生利用，不能再生利用的可采用焚烧、热解的专</w:t>
                  </w:r>
                </w:p>
                <w:p w14:paraId="3618A5C9">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用设备设施进行处置或水泥窑协同处置，产生的废渣宜进行资源化利用或填埋处置。</w:t>
                  </w:r>
                </w:p>
              </w:tc>
              <w:tc>
                <w:tcPr>
                  <w:tcW w:w="2835" w:type="dxa"/>
                  <w:tcBorders>
                    <w:tl2br w:val="nil"/>
                    <w:tr2bl w:val="nil"/>
                  </w:tcBorders>
                  <w:shd w:val="clear" w:color="auto" w:fill="auto"/>
                  <w:vAlign w:val="center"/>
                </w:tcPr>
                <w:p w14:paraId="6A9CE98E">
                  <w:pP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本项目分拣杂质主要废金属、废木材，经分类后暂存至建筑垃圾加工车间内一般固废暂存区，定期外售。</w:t>
                  </w:r>
                </w:p>
              </w:tc>
              <w:tc>
                <w:tcPr>
                  <w:tcW w:w="882" w:type="dxa"/>
                  <w:tcBorders>
                    <w:tl2br w:val="nil"/>
                    <w:tr2bl w:val="nil"/>
                  </w:tcBorders>
                  <w:shd w:val="clear" w:color="auto" w:fill="auto"/>
                  <w:vAlign w:val="center"/>
                </w:tcPr>
                <w:p w14:paraId="20B8EF1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bl>
          <w:p w14:paraId="273D75B0">
            <w:pPr>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由上表可知，本项目符合</w:t>
            </w:r>
            <w:r>
              <w:rPr>
                <w:rFonts w:hint="eastAsia" w:eastAsia="宋体"/>
                <w:bCs/>
                <w:color w:val="000000" w:themeColor="text1"/>
                <w:kern w:val="0"/>
                <w14:textFill>
                  <w14:solidFill>
                    <w14:schemeClr w14:val="tx1"/>
                  </w14:solidFill>
                </w14:textFill>
              </w:rPr>
              <w:t>《建筑垃圾污染控制技术规范》（HJ1462-2026）</w:t>
            </w:r>
            <w:r>
              <w:rPr>
                <w:rFonts w:eastAsia="宋体"/>
                <w:bCs/>
                <w:color w:val="000000" w:themeColor="text1"/>
                <w14:textFill>
                  <w14:solidFill>
                    <w14:schemeClr w14:val="tx1"/>
                  </w14:solidFill>
                </w14:textFill>
              </w:rPr>
              <w:t>中的相关要求。</w:t>
            </w:r>
          </w:p>
          <w:p w14:paraId="15D1EB2B">
            <w:pPr>
              <w:pStyle w:val="2"/>
              <w:ind w:left="480"/>
              <w:rPr>
                <w:color w:val="000000" w:themeColor="text1"/>
                <w14:textFill>
                  <w14:solidFill>
                    <w14:schemeClr w14:val="tx1"/>
                  </w14:solidFill>
                </w14:textFill>
              </w:rPr>
            </w:pPr>
          </w:p>
          <w:p w14:paraId="6DF14DAC">
            <w:pPr>
              <w:widowControl/>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6</w:t>
            </w:r>
            <w:r>
              <w:rPr>
                <w:rFonts w:hint="eastAsia" w:eastAsia="宋体"/>
                <w:b/>
                <w:bCs/>
                <w:color w:val="000000" w:themeColor="text1"/>
                <w14:textFill>
                  <w14:solidFill>
                    <w14:schemeClr w14:val="tx1"/>
                  </w14:solidFill>
                </w14:textFill>
              </w:rPr>
              <w:t>、项目与《建筑垃圾处理技术标准》（CJJ/T34-2019）符合性分析</w:t>
            </w:r>
          </w:p>
          <w:p w14:paraId="1D608377">
            <w:pPr>
              <w:pStyle w:val="2"/>
              <w:ind w:left="0" w:leftChars="0" w:firstLine="0"/>
              <w:rPr>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表1</w:t>
            </w:r>
            <w:r>
              <w:rPr>
                <w:rFonts w:eastAsia="宋体"/>
                <w:b/>
                <w:bCs/>
                <w:color w:val="000000" w:themeColor="text1"/>
                <w14:textFill>
                  <w14:solidFill>
                    <w14:schemeClr w14:val="tx1"/>
                  </w14:solidFill>
                </w14:textFill>
              </w:rPr>
              <w:t>-5</w:t>
            </w:r>
            <w:r>
              <w:rPr>
                <w:rFonts w:hint="eastAsia" w:eastAsia="宋体"/>
                <w:b/>
                <w:bCs/>
                <w:color w:val="000000" w:themeColor="text1"/>
                <w14:textFill>
                  <w14:solidFill>
                    <w14:schemeClr w14:val="tx1"/>
                  </w14:solidFill>
                </w14:textFill>
              </w:rPr>
              <w:t>项目与《建筑垃圾处理技术标准》（CJJ/T34-2019）符合性分析</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649"/>
              <w:gridCol w:w="3197"/>
              <w:gridCol w:w="2694"/>
              <w:gridCol w:w="882"/>
            </w:tblGrid>
            <w:tr w14:paraId="20ABE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38D9F1DB">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序号</w:t>
                  </w:r>
                </w:p>
              </w:tc>
              <w:tc>
                <w:tcPr>
                  <w:tcW w:w="3197" w:type="dxa"/>
                  <w:tcBorders>
                    <w:tl2br w:val="nil"/>
                    <w:tr2bl w:val="nil"/>
                  </w:tcBorders>
                  <w:shd w:val="clear" w:color="auto" w:fill="auto"/>
                  <w:vAlign w:val="center"/>
                </w:tcPr>
                <w:p w14:paraId="1C2042E4">
                  <w:pPr>
                    <w:widowControl/>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环境保护</w:t>
                  </w:r>
                </w:p>
              </w:tc>
              <w:tc>
                <w:tcPr>
                  <w:tcW w:w="2694" w:type="dxa"/>
                  <w:tcBorders>
                    <w:tl2br w:val="nil"/>
                    <w:tr2bl w:val="nil"/>
                  </w:tcBorders>
                  <w:shd w:val="clear" w:color="auto" w:fill="auto"/>
                  <w:vAlign w:val="center"/>
                </w:tcPr>
                <w:p w14:paraId="1CB2E0A0">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本项目情况</w:t>
                  </w:r>
                </w:p>
              </w:tc>
              <w:tc>
                <w:tcPr>
                  <w:tcW w:w="882" w:type="dxa"/>
                  <w:tcBorders>
                    <w:tl2br w:val="nil"/>
                    <w:tr2bl w:val="nil"/>
                  </w:tcBorders>
                  <w:shd w:val="clear" w:color="auto" w:fill="auto"/>
                  <w:vAlign w:val="center"/>
                </w:tcPr>
                <w:p w14:paraId="15600BA8">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符合性</w:t>
                  </w:r>
                </w:p>
              </w:tc>
            </w:tr>
            <w:tr w14:paraId="72B4C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7D092BA1">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3197" w:type="dxa"/>
                  <w:tcBorders>
                    <w:tl2br w:val="nil"/>
                    <w:tr2bl w:val="nil"/>
                  </w:tcBorders>
                  <w:shd w:val="clear" w:color="auto" w:fill="auto"/>
                  <w:vAlign w:val="center"/>
                </w:tcPr>
                <w:p w14:paraId="63DBAA56">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资源化利用和填埋处置工程应有雨、污分流设施，防止污染周边环境。</w:t>
                  </w:r>
                </w:p>
              </w:tc>
              <w:tc>
                <w:tcPr>
                  <w:tcW w:w="2694" w:type="dxa"/>
                  <w:tcBorders>
                    <w:tl2br w:val="nil"/>
                    <w:tr2bl w:val="nil"/>
                  </w:tcBorders>
                  <w:shd w:val="clear" w:color="auto" w:fill="auto"/>
                  <w:vAlign w:val="center"/>
                </w:tcPr>
                <w:p w14:paraId="7D227FFA">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本项目设置雨、污分流设施。</w:t>
                  </w:r>
                </w:p>
              </w:tc>
              <w:tc>
                <w:tcPr>
                  <w:tcW w:w="882" w:type="dxa"/>
                  <w:tcBorders>
                    <w:tl2br w:val="nil"/>
                    <w:tr2bl w:val="nil"/>
                  </w:tcBorders>
                  <w:shd w:val="clear" w:color="auto" w:fill="auto"/>
                  <w:vAlign w:val="center"/>
                </w:tcPr>
                <w:p w14:paraId="2F9498C0">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469D5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1D0AA130">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3197" w:type="dxa"/>
                  <w:tcBorders>
                    <w:tl2br w:val="nil"/>
                    <w:tr2bl w:val="nil"/>
                  </w:tcBorders>
                  <w:shd w:val="clear" w:color="auto" w:fill="auto"/>
                  <w:vAlign w:val="center"/>
                </w:tcPr>
                <w:p w14:paraId="168F4BF5">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资源化处理工程应通过洒水降尘、封闭设备、局部抽吸等措施控制粉尘污染，并应符合下列规定</w:t>
                  </w:r>
                  <w:r>
                    <w:rPr>
                      <w:rFonts w:eastAsia="宋体"/>
                      <w:color w:val="000000" w:themeColor="text1"/>
                      <w:sz w:val="21"/>
                      <w:szCs w:val="21"/>
                      <w14:textFill>
                        <w14:solidFill>
                          <w14:schemeClr w14:val="tx1"/>
                        </w14:solidFill>
                      </w14:textFill>
                    </w:rPr>
                    <w:t>：</w:t>
                  </w:r>
                </w:p>
                <w:p w14:paraId="03CF00D7">
                  <w:pPr>
                    <w:widowControl/>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r>
                    <w:rPr>
                      <w:rFonts w:hint="eastAsia" w:eastAsia="宋体"/>
                      <w:color w:val="000000" w:themeColor="text1"/>
                      <w:sz w:val="21"/>
                      <w:szCs w:val="21"/>
                      <w14:textFill>
                        <w14:solidFill>
                          <w14:schemeClr w14:val="tx1"/>
                        </w14:solidFill>
                      </w14:textFill>
                    </w:rPr>
                    <w:t>雾化洒水降尘措施洒水强度和频率根据温度、面积、建筑垃圾物料性质、风速等条件设置。</w:t>
                  </w:r>
                </w:p>
                <w:p w14:paraId="3BD66E34">
                  <w:pPr>
                    <w:pStyle w:val="2"/>
                    <w:ind w:left="0" w:leftChars="0" w:firstLine="0"/>
                    <w:rPr>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eastAsia="宋体"/>
                      <w:color w:val="000000" w:themeColor="text1"/>
                      <w:sz w:val="21"/>
                      <w:szCs w:val="21"/>
                      <w14:textFill>
                        <w14:solidFill>
                          <w14:schemeClr w14:val="tx1"/>
                        </w14:solidFill>
                      </w14:textFill>
                    </w:rPr>
                    <w:t>局部抽吸换气次数不宜低于6次/h，含尘气体经过除尘装置处理后，排放应按现行国家标准《大气污染物综合排放标准》GB 16297规定执行。</w:t>
                  </w:r>
                </w:p>
              </w:tc>
              <w:tc>
                <w:tcPr>
                  <w:tcW w:w="2694" w:type="dxa"/>
                  <w:tcBorders>
                    <w:tl2br w:val="nil"/>
                    <w:tr2bl w:val="nil"/>
                  </w:tcBorders>
                  <w:shd w:val="clear" w:color="auto" w:fill="auto"/>
                  <w:vAlign w:val="center"/>
                </w:tcPr>
                <w:p w14:paraId="34D027C4">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r>
                    <w:rPr>
                      <w:rFonts w:eastAsia="宋体"/>
                      <w:color w:val="000000" w:themeColor="text1"/>
                      <w:sz w:val="21"/>
                      <w:szCs w:val="21"/>
                      <w14:textFill>
                        <w14:solidFill>
                          <w14:schemeClr w14:val="tx1"/>
                        </w14:solidFill>
                      </w14:textFill>
                    </w:rPr>
                    <w:t>.</w:t>
                  </w:r>
                  <w:r>
                    <w:rPr>
                      <w:rFonts w:hint="eastAsia" w:eastAsia="宋体"/>
                      <w:color w:val="000000" w:themeColor="text1"/>
                      <w:sz w:val="21"/>
                      <w:szCs w:val="21"/>
                      <w14:textFill>
                        <w14:solidFill>
                          <w14:schemeClr w14:val="tx1"/>
                        </w14:solidFill>
                      </w14:textFill>
                    </w:rPr>
                    <w:t>本项目设置高压喷淋装置，每次洒水2次，每次洒水5min，喷头流量为0.4m³/min</w:t>
                  </w:r>
                </w:p>
                <w:p w14:paraId="2C4E8A79">
                  <w:pPr>
                    <w:widowControl/>
                    <w:rPr>
                      <w:color w:val="000000" w:themeColor="text1"/>
                      <w14:textFill>
                        <w14:solidFill>
                          <w14:schemeClr w14:val="tx1"/>
                        </w14:solidFill>
                      </w14:textFill>
                    </w:rPr>
                  </w:pPr>
                  <w:r>
                    <w:rPr>
                      <w:rFonts w:hint="eastAsia" w:eastAsia="宋体"/>
                      <w:color w:val="000000" w:themeColor="text1"/>
                      <w:sz w:val="21"/>
                      <w:szCs w:val="21"/>
                      <w14:textFill>
                        <w14:solidFill>
                          <w14:schemeClr w14:val="tx1"/>
                        </w14:solidFill>
                      </w14:textFill>
                    </w:rPr>
                    <w:t>2</w:t>
                  </w:r>
                  <w:r>
                    <w:rPr>
                      <w:rFonts w:eastAsia="宋体"/>
                      <w:color w:val="000000" w:themeColor="text1"/>
                      <w:sz w:val="21"/>
                      <w:szCs w:val="21"/>
                      <w14:textFill>
                        <w14:solidFill>
                          <w14:schemeClr w14:val="tx1"/>
                        </w14:solidFill>
                      </w14:textFill>
                    </w:rPr>
                    <w:t>.</w:t>
                  </w:r>
                  <w:r>
                    <w:rPr>
                      <w:rFonts w:hint="eastAsia" w:eastAsia="宋体"/>
                      <w:color w:val="000000" w:themeColor="text1"/>
                      <w:sz w:val="21"/>
                      <w:szCs w:val="21"/>
                      <w14:textFill>
                        <w14:solidFill>
                          <w14:schemeClr w14:val="tx1"/>
                        </w14:solidFill>
                      </w14:textFill>
                    </w:rPr>
                    <w:t>建筑垃圾加工生产线进行封闭处理，给料台和破碎机出口各设置1个集气罩，收集后经1台高效脉冲袋式除尘器（4#，除尘效率99%）处理后由15m高排气筒（DA004）排放，排放满足《大气污染物综合排放标准》（GB16297-1996）表2中二级标准限值要求。</w:t>
                  </w:r>
                </w:p>
              </w:tc>
              <w:tc>
                <w:tcPr>
                  <w:tcW w:w="882" w:type="dxa"/>
                  <w:tcBorders>
                    <w:tl2br w:val="nil"/>
                    <w:tr2bl w:val="nil"/>
                  </w:tcBorders>
                  <w:shd w:val="clear" w:color="auto" w:fill="auto"/>
                  <w:vAlign w:val="center"/>
                </w:tcPr>
                <w:p w14:paraId="5C2305AB">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r w14:paraId="6E58F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49" w:type="dxa"/>
                  <w:tcBorders>
                    <w:tl2br w:val="nil"/>
                    <w:tr2bl w:val="nil"/>
                  </w:tcBorders>
                  <w:shd w:val="clear" w:color="auto" w:fill="auto"/>
                  <w:vAlign w:val="center"/>
                </w:tcPr>
                <w:p w14:paraId="1D095D41">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w:t>
                  </w:r>
                </w:p>
              </w:tc>
              <w:tc>
                <w:tcPr>
                  <w:tcW w:w="3197" w:type="dxa"/>
                  <w:tcBorders>
                    <w:tl2br w:val="nil"/>
                    <w:tr2bl w:val="nil"/>
                  </w:tcBorders>
                  <w:shd w:val="clear" w:color="auto" w:fill="auto"/>
                  <w:vAlign w:val="center"/>
                </w:tcPr>
                <w:p w14:paraId="37258A70">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建筑垃圾处理全过程噪声控制应符合下列规定：</w:t>
                  </w:r>
                </w:p>
                <w:p w14:paraId="444B6AFF">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1建筑垃圾收集、运输、处理系统应选取低噪声运输车辆，车辆在车厢开启、关闭、卸料时产生的噪声不应超过82dB(A)；</w:t>
                  </w:r>
                </w:p>
                <w:p w14:paraId="381E52CD">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2宜通过建立缓冲带、设置噪声屏障或封闭车间控制处理工程噪声；</w:t>
                  </w:r>
                </w:p>
                <w:p w14:paraId="7E5B5856">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3资源化处理车间，宜采取隔声罩、隔声间或者在车间建筑内墙附加吸声材料等方式降低噪声；</w:t>
                  </w:r>
                </w:p>
                <w:p w14:paraId="0B4B4F4C">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4场(厂)界噪声应符合现行国家标准《工业企业厂界环境噪声排放标准》GB12348的规定。</w:t>
                  </w:r>
                </w:p>
              </w:tc>
              <w:tc>
                <w:tcPr>
                  <w:tcW w:w="2694" w:type="dxa"/>
                  <w:tcBorders>
                    <w:tl2br w:val="nil"/>
                    <w:tr2bl w:val="nil"/>
                  </w:tcBorders>
                  <w:shd w:val="clear" w:color="auto" w:fill="auto"/>
                  <w:vAlign w:val="center"/>
                </w:tcPr>
                <w:p w14:paraId="632DD16D">
                  <w:pPr>
                    <w:widowControl/>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本项目选用低噪声设备，采取隔声、减振等措施。加强运输管理和车辆维护，厂界噪声符合《工业企业厂界环境噪声排放标准》（GB12348-2008）中2类标准。</w:t>
                  </w:r>
                </w:p>
              </w:tc>
              <w:tc>
                <w:tcPr>
                  <w:tcW w:w="882" w:type="dxa"/>
                  <w:tcBorders>
                    <w:tl2br w:val="nil"/>
                    <w:tr2bl w:val="nil"/>
                  </w:tcBorders>
                  <w:shd w:val="clear" w:color="auto" w:fill="auto"/>
                  <w:vAlign w:val="center"/>
                </w:tcPr>
                <w:p w14:paraId="6FC832FD">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符合</w:t>
                  </w:r>
                </w:p>
              </w:tc>
            </w:tr>
          </w:tbl>
          <w:p w14:paraId="68FB5C85">
            <w:pPr>
              <w:widowControl/>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由上表可知，本项目符合</w:t>
            </w:r>
            <w:r>
              <w:rPr>
                <w:rFonts w:hint="eastAsia" w:eastAsia="宋体"/>
                <w:bCs/>
                <w:color w:val="000000" w:themeColor="text1"/>
                <w14:textFill>
                  <w14:solidFill>
                    <w14:schemeClr w14:val="tx1"/>
                  </w14:solidFill>
                </w14:textFill>
              </w:rPr>
              <w:t>《建筑垃圾处理技术标准》（CJJ/T34-2019）</w:t>
            </w:r>
            <w:r>
              <w:rPr>
                <w:rFonts w:eastAsia="宋体"/>
                <w:bCs/>
                <w:color w:val="000000" w:themeColor="text1"/>
                <w14:textFill>
                  <w14:solidFill>
                    <w14:schemeClr w14:val="tx1"/>
                  </w14:solidFill>
                </w14:textFill>
              </w:rPr>
              <w:t>中的相关要求。</w:t>
            </w:r>
          </w:p>
          <w:p w14:paraId="15209959">
            <w:pPr>
              <w:widowControl/>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7、选址合理性分析</w:t>
            </w:r>
          </w:p>
          <w:p w14:paraId="07B5310A">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本项目厂址位于宁夏回族自治区固原市彭阳县王洼镇北洼村，已取得彭阳县王洼镇人民政府出具的《关于同意北洼村土地参股项目的批复》。项目所在地配套水、电基础设施齐全，交通便利。不在风景区和保护区，不在生态脆弱区和特殊地貌景观区，本地区无重点保护生态品种及濒危生物物种。</w:t>
            </w:r>
            <w:r>
              <w:rPr>
                <w:rFonts w:hint="eastAsia" w:ascii="Times New Roman" w:eastAsia="宋体" w:cs="Times New Roman"/>
                <w:color w:val="000000" w:themeColor="text1"/>
                <w14:textFill>
                  <w14:solidFill>
                    <w14:schemeClr w14:val="tx1"/>
                  </w14:solidFill>
                </w14:textFill>
              </w:rPr>
              <w:t>不属于发震断层、滑坡、泥石流、沼泽、流沙及采矿陷落区等地区。不易收到洪水、潮水或内涝的威胁，</w:t>
            </w:r>
            <w:r>
              <w:rPr>
                <w:rFonts w:ascii="Times New Roman" w:eastAsia="宋体" w:cs="Times New Roman"/>
                <w:color w:val="000000" w:themeColor="text1"/>
                <w14:textFill>
                  <w14:solidFill>
                    <w14:schemeClr w14:val="tx1"/>
                  </w14:solidFill>
                </w14:textFill>
              </w:rPr>
              <w:t>符合</w:t>
            </w:r>
            <w:r>
              <w:rPr>
                <w:rFonts w:hint="eastAsia" w:ascii="Times New Roman" w:eastAsia="宋体" w:cs="Times New Roman"/>
                <w:color w:val="000000" w:themeColor="text1"/>
                <w14:textFill>
                  <w14:solidFill>
                    <w14:schemeClr w14:val="tx1"/>
                  </w14:solidFill>
                </w14:textFill>
              </w:rPr>
              <w:t>《建筑垃圾处理技术标准》（CJJ/T34-2019）中的选址要求。</w:t>
            </w:r>
            <w:r>
              <w:rPr>
                <w:rFonts w:ascii="Times New Roman" w:eastAsia="宋体" w:cs="Times New Roman"/>
                <w:color w:val="000000" w:themeColor="text1"/>
                <w14:textFill>
                  <w14:solidFill>
                    <w14:schemeClr w14:val="tx1"/>
                  </w14:solidFill>
                </w14:textFill>
              </w:rPr>
              <w:t>在采取本评价提出的污染防治并严格落实的前提下，不会对周围居民正常生活产生影响。</w:t>
            </w:r>
            <w:r>
              <w:rPr>
                <w:rFonts w:hint="eastAsia" w:ascii="Times New Roman" w:eastAsia="宋体" w:cs="Times New Roman"/>
                <w:color w:val="000000" w:themeColor="text1"/>
                <w14:textFill>
                  <w14:solidFill>
                    <w14:schemeClr w14:val="tx1"/>
                  </w14:solidFill>
                </w14:textFill>
              </w:rPr>
              <w:t>从</w:t>
            </w:r>
            <w:r>
              <w:rPr>
                <w:rFonts w:ascii="Times New Roman" w:eastAsia="宋体" w:cs="Times New Roman"/>
                <w:color w:val="000000" w:themeColor="text1"/>
                <w14:textFill>
                  <w14:solidFill>
                    <w14:schemeClr w14:val="tx1"/>
                  </w14:solidFill>
                </w14:textFill>
              </w:rPr>
              <w:t>环境保护角度考虑，本项目选址合理。</w:t>
            </w:r>
          </w:p>
          <w:p w14:paraId="4D27031B">
            <w:pPr>
              <w:rPr>
                <w:color w:val="000000" w:themeColor="text1"/>
                <w14:textFill>
                  <w14:solidFill>
                    <w14:schemeClr w14:val="tx1"/>
                  </w14:solidFill>
                </w14:textFill>
              </w:rPr>
            </w:pPr>
          </w:p>
          <w:p w14:paraId="6CAEFEAB">
            <w:pPr>
              <w:pStyle w:val="2"/>
              <w:ind w:left="480"/>
              <w:rPr>
                <w:color w:val="000000" w:themeColor="text1"/>
                <w14:textFill>
                  <w14:solidFill>
                    <w14:schemeClr w14:val="tx1"/>
                  </w14:solidFill>
                </w14:textFill>
              </w:rPr>
            </w:pPr>
          </w:p>
          <w:p w14:paraId="116BD54D">
            <w:pPr>
              <w:rPr>
                <w:color w:val="000000" w:themeColor="text1"/>
                <w14:textFill>
                  <w14:solidFill>
                    <w14:schemeClr w14:val="tx1"/>
                  </w14:solidFill>
                </w14:textFill>
              </w:rPr>
            </w:pPr>
          </w:p>
          <w:p w14:paraId="70E2AD82">
            <w:pPr>
              <w:pStyle w:val="2"/>
              <w:ind w:left="480"/>
              <w:rPr>
                <w:color w:val="000000" w:themeColor="text1"/>
                <w14:textFill>
                  <w14:solidFill>
                    <w14:schemeClr w14:val="tx1"/>
                  </w14:solidFill>
                </w14:textFill>
              </w:rPr>
            </w:pPr>
          </w:p>
          <w:p w14:paraId="43273974">
            <w:pPr>
              <w:rPr>
                <w:color w:val="000000" w:themeColor="text1"/>
                <w14:textFill>
                  <w14:solidFill>
                    <w14:schemeClr w14:val="tx1"/>
                  </w14:solidFill>
                </w14:textFill>
              </w:rPr>
            </w:pPr>
          </w:p>
          <w:p w14:paraId="52D40044">
            <w:pPr>
              <w:pStyle w:val="2"/>
              <w:ind w:left="480"/>
              <w:rPr>
                <w:color w:val="000000" w:themeColor="text1"/>
                <w14:textFill>
                  <w14:solidFill>
                    <w14:schemeClr w14:val="tx1"/>
                  </w14:solidFill>
                </w14:textFill>
              </w:rPr>
            </w:pPr>
          </w:p>
          <w:p w14:paraId="3FBE6368">
            <w:pPr>
              <w:rPr>
                <w:color w:val="000000" w:themeColor="text1"/>
                <w14:textFill>
                  <w14:solidFill>
                    <w14:schemeClr w14:val="tx1"/>
                  </w14:solidFill>
                </w14:textFill>
              </w:rPr>
            </w:pPr>
          </w:p>
          <w:p w14:paraId="05F86D25">
            <w:pPr>
              <w:pStyle w:val="2"/>
              <w:ind w:left="480"/>
              <w:rPr>
                <w:color w:val="000000" w:themeColor="text1"/>
                <w14:textFill>
                  <w14:solidFill>
                    <w14:schemeClr w14:val="tx1"/>
                  </w14:solidFill>
                </w14:textFill>
              </w:rPr>
            </w:pPr>
          </w:p>
          <w:p w14:paraId="267FC82F">
            <w:pPr>
              <w:rPr>
                <w:color w:val="000000" w:themeColor="text1"/>
                <w14:textFill>
                  <w14:solidFill>
                    <w14:schemeClr w14:val="tx1"/>
                  </w14:solidFill>
                </w14:textFill>
              </w:rPr>
            </w:pPr>
          </w:p>
          <w:p w14:paraId="0F2F7F34">
            <w:pPr>
              <w:pStyle w:val="2"/>
              <w:ind w:left="480"/>
              <w:rPr>
                <w:color w:val="000000" w:themeColor="text1"/>
                <w14:textFill>
                  <w14:solidFill>
                    <w14:schemeClr w14:val="tx1"/>
                  </w14:solidFill>
                </w14:textFill>
              </w:rPr>
            </w:pPr>
          </w:p>
          <w:p w14:paraId="2C2FB659">
            <w:pPr>
              <w:rPr>
                <w:color w:val="000000" w:themeColor="text1"/>
                <w14:textFill>
                  <w14:solidFill>
                    <w14:schemeClr w14:val="tx1"/>
                  </w14:solidFill>
                </w14:textFill>
              </w:rPr>
            </w:pPr>
          </w:p>
          <w:p w14:paraId="3D73409C">
            <w:pPr>
              <w:pStyle w:val="2"/>
              <w:ind w:left="480"/>
              <w:rPr>
                <w:color w:val="000000" w:themeColor="text1"/>
                <w14:textFill>
                  <w14:solidFill>
                    <w14:schemeClr w14:val="tx1"/>
                  </w14:solidFill>
                </w14:textFill>
              </w:rPr>
            </w:pPr>
          </w:p>
          <w:p w14:paraId="09827711">
            <w:pPr>
              <w:rPr>
                <w:color w:val="000000" w:themeColor="text1"/>
                <w14:textFill>
                  <w14:solidFill>
                    <w14:schemeClr w14:val="tx1"/>
                  </w14:solidFill>
                </w14:textFill>
              </w:rPr>
            </w:pPr>
          </w:p>
          <w:p w14:paraId="72E9A0DA">
            <w:pPr>
              <w:rPr>
                <w:color w:val="000000" w:themeColor="text1"/>
                <w14:textFill>
                  <w14:solidFill>
                    <w14:schemeClr w14:val="tx1"/>
                  </w14:solidFill>
                </w14:textFill>
              </w:rPr>
            </w:pPr>
          </w:p>
          <w:p w14:paraId="07CCBCF1">
            <w:pPr>
              <w:pStyle w:val="2"/>
              <w:ind w:left="480"/>
              <w:rPr>
                <w:color w:val="000000" w:themeColor="text1"/>
                <w14:textFill>
                  <w14:solidFill>
                    <w14:schemeClr w14:val="tx1"/>
                  </w14:solidFill>
                </w14:textFill>
              </w:rPr>
            </w:pPr>
          </w:p>
          <w:p w14:paraId="547912D6">
            <w:pPr>
              <w:rPr>
                <w:color w:val="000000" w:themeColor="text1"/>
                <w14:textFill>
                  <w14:solidFill>
                    <w14:schemeClr w14:val="tx1"/>
                  </w14:solidFill>
                </w14:textFill>
              </w:rPr>
            </w:pPr>
          </w:p>
          <w:p w14:paraId="43D478CE">
            <w:pPr>
              <w:pStyle w:val="2"/>
              <w:ind w:left="480"/>
              <w:rPr>
                <w:color w:val="000000" w:themeColor="text1"/>
                <w14:textFill>
                  <w14:solidFill>
                    <w14:schemeClr w14:val="tx1"/>
                  </w14:solidFill>
                </w14:textFill>
              </w:rPr>
            </w:pPr>
          </w:p>
          <w:p w14:paraId="492B413D">
            <w:pPr>
              <w:rPr>
                <w:color w:val="000000" w:themeColor="text1"/>
                <w14:textFill>
                  <w14:solidFill>
                    <w14:schemeClr w14:val="tx1"/>
                  </w14:solidFill>
                </w14:textFill>
              </w:rPr>
            </w:pPr>
          </w:p>
          <w:p w14:paraId="1B72A92A">
            <w:pPr>
              <w:pStyle w:val="2"/>
              <w:ind w:left="480"/>
              <w:rPr>
                <w:color w:val="000000" w:themeColor="text1"/>
                <w14:textFill>
                  <w14:solidFill>
                    <w14:schemeClr w14:val="tx1"/>
                  </w14:solidFill>
                </w14:textFill>
              </w:rPr>
            </w:pPr>
          </w:p>
          <w:p w14:paraId="18D0683B">
            <w:pPr>
              <w:rPr>
                <w:color w:val="000000" w:themeColor="text1"/>
                <w14:textFill>
                  <w14:solidFill>
                    <w14:schemeClr w14:val="tx1"/>
                  </w14:solidFill>
                </w14:textFill>
              </w:rPr>
            </w:pPr>
          </w:p>
          <w:p w14:paraId="08DB3031">
            <w:pPr>
              <w:rPr>
                <w:color w:val="000000" w:themeColor="text1"/>
                <w14:textFill>
                  <w14:solidFill>
                    <w14:schemeClr w14:val="tx1"/>
                  </w14:solidFill>
                </w14:textFill>
              </w:rPr>
            </w:pPr>
          </w:p>
          <w:p w14:paraId="5BD47D13">
            <w:pPr>
              <w:pStyle w:val="2"/>
              <w:ind w:left="480"/>
              <w:rPr>
                <w:color w:val="000000" w:themeColor="text1"/>
                <w14:textFill>
                  <w14:solidFill>
                    <w14:schemeClr w14:val="tx1"/>
                  </w14:solidFill>
                </w14:textFill>
              </w:rPr>
            </w:pPr>
          </w:p>
          <w:p w14:paraId="2FF108CD">
            <w:pPr>
              <w:rPr>
                <w:color w:val="000000" w:themeColor="text1"/>
                <w14:textFill>
                  <w14:solidFill>
                    <w14:schemeClr w14:val="tx1"/>
                  </w14:solidFill>
                </w14:textFill>
              </w:rPr>
            </w:pPr>
          </w:p>
          <w:p w14:paraId="4CEB6DA6">
            <w:pPr>
              <w:pStyle w:val="2"/>
              <w:ind w:left="480"/>
              <w:rPr>
                <w:color w:val="000000" w:themeColor="text1"/>
                <w14:textFill>
                  <w14:solidFill>
                    <w14:schemeClr w14:val="tx1"/>
                  </w14:solidFill>
                </w14:textFill>
              </w:rPr>
            </w:pPr>
          </w:p>
          <w:p w14:paraId="7EDA5696">
            <w:pPr>
              <w:rPr>
                <w:color w:val="000000" w:themeColor="text1"/>
                <w14:textFill>
                  <w14:solidFill>
                    <w14:schemeClr w14:val="tx1"/>
                  </w14:solidFill>
                </w14:textFill>
              </w:rPr>
            </w:pPr>
          </w:p>
          <w:p w14:paraId="1938BE2B">
            <w:pPr>
              <w:pStyle w:val="2"/>
              <w:ind w:left="480"/>
              <w:rPr>
                <w:color w:val="000000" w:themeColor="text1"/>
                <w14:textFill>
                  <w14:solidFill>
                    <w14:schemeClr w14:val="tx1"/>
                  </w14:solidFill>
                </w14:textFill>
              </w:rPr>
            </w:pPr>
          </w:p>
          <w:p w14:paraId="30E42CE5">
            <w:pPr>
              <w:rPr>
                <w:color w:val="000000" w:themeColor="text1"/>
                <w14:textFill>
                  <w14:solidFill>
                    <w14:schemeClr w14:val="tx1"/>
                  </w14:solidFill>
                </w14:textFill>
              </w:rPr>
            </w:pPr>
          </w:p>
          <w:p w14:paraId="3C9B2CA7">
            <w:pPr>
              <w:pStyle w:val="2"/>
              <w:ind w:left="480"/>
              <w:rPr>
                <w:color w:val="000000" w:themeColor="text1"/>
                <w14:textFill>
                  <w14:solidFill>
                    <w14:schemeClr w14:val="tx1"/>
                  </w14:solidFill>
                </w14:textFill>
              </w:rPr>
            </w:pPr>
          </w:p>
          <w:p w14:paraId="41AFFE63">
            <w:pPr>
              <w:rPr>
                <w:rFonts w:eastAsia="宋体"/>
                <w:color w:val="000000" w:themeColor="text1"/>
                <w14:textFill>
                  <w14:solidFill>
                    <w14:schemeClr w14:val="tx1"/>
                  </w14:solidFill>
                </w14:textFill>
              </w:rPr>
            </w:pPr>
          </w:p>
        </w:tc>
      </w:tr>
    </w:tbl>
    <w:p w14:paraId="14E88600">
      <w:pPr>
        <w:spacing w:line="360" w:lineRule="auto"/>
        <w:outlineLvl w:val="0"/>
        <w:rPr>
          <w:rFonts w:eastAsia="黑体"/>
          <w:color w:val="000000" w:themeColor="text1"/>
          <w:sz w:val="30"/>
          <w14:textFill>
            <w14:solidFill>
              <w14:schemeClr w14:val="tx1"/>
            </w14:solidFill>
          </w14:textFill>
        </w:rPr>
        <w:sectPr>
          <w:pgSz w:w="11906" w:h="16838"/>
          <w:pgMar w:top="1701" w:right="1531" w:bottom="1701" w:left="1531" w:header="851" w:footer="1077" w:gutter="0"/>
          <w:pgNumType w:start="1"/>
          <w:cols w:space="720" w:num="1"/>
          <w:docGrid w:linePitch="326" w:charSpace="0"/>
        </w:sectPr>
      </w:pPr>
    </w:p>
    <w:p w14:paraId="376971E3">
      <w:pPr>
        <w:pStyle w:val="33"/>
        <w:adjustRightInd w:val="0"/>
        <w:snapToGrid w:val="0"/>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二、建设项目工程分析</w:t>
      </w:r>
    </w:p>
    <w:tbl>
      <w:tblPr>
        <w:tblStyle w:val="36"/>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0"/>
        <w:gridCol w:w="8646"/>
      </w:tblGrid>
      <w:tr w14:paraId="4DD16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0" w:type="dxa"/>
            <w:tcBorders>
              <w:bottom w:val="single" w:color="auto" w:sz="4" w:space="0"/>
            </w:tcBorders>
            <w:vAlign w:val="center"/>
          </w:tcPr>
          <w:p w14:paraId="6342DAAB">
            <w:pPr>
              <w:pStyle w:val="33"/>
              <w:adjustRightInd w:val="0"/>
              <w:snapToGrid w:val="0"/>
              <w:spacing w:before="0" w:beforeAutospacing="0" w:after="0" w:afterAutospacing="0"/>
              <w:jc w:val="center"/>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b/>
                <w:bCs/>
                <w:color w:val="000000" w:themeColor="text1"/>
                <w:szCs w:val="24"/>
                <w14:textFill>
                  <w14:solidFill>
                    <w14:schemeClr w14:val="tx1"/>
                  </w14:solidFill>
                </w14:textFill>
              </w:rPr>
              <w:t>建设内容</w:t>
            </w:r>
          </w:p>
        </w:tc>
        <w:tc>
          <w:tcPr>
            <w:tcW w:w="8646" w:type="dxa"/>
            <w:tcBorders>
              <w:bottom w:val="single" w:color="auto" w:sz="4" w:space="0"/>
            </w:tcBorders>
            <w:vAlign w:val="center"/>
          </w:tcPr>
          <w:p w14:paraId="16CBBDB9">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1、项目背景</w:t>
            </w:r>
          </w:p>
          <w:p w14:paraId="213A0F64">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宁夏昊际建材有限公司成立于2025年6月9日，注册资本2500万元人民币，注册地址位于宁夏固原市彭阳县王洼镇北洼村印子掌01号。于2025年11月16日取得固原市生态局彭阳分局《关于宁夏昊际建材有限公司年产30万方预拌混凝士搅拌站项目环影响报告表的批复》（固环彭审【2025】17号），项目占地面积18413.76m</w:t>
            </w:r>
            <w:r>
              <w:rPr>
                <w:rFonts w:ascii="Times New Roman" w:eastAsia="宋体" w:cs="Times New Roman"/>
                <w:color w:val="000000" w:themeColor="text1"/>
                <w:vertAlign w:val="superscript"/>
                <w14:textFill>
                  <w14:solidFill>
                    <w14:schemeClr w14:val="tx1"/>
                  </w14:solidFill>
                </w14:textFill>
              </w:rPr>
              <w:t>2</w:t>
            </w:r>
            <w:r>
              <w:rPr>
                <w:rFonts w:ascii="Times New Roman" w:eastAsia="宋体" w:cs="Times New Roman"/>
                <w:color w:val="000000" w:themeColor="text1"/>
                <w14:textFill>
                  <w14:solidFill>
                    <w14:schemeClr w14:val="tx1"/>
                  </w14:solidFill>
                </w14:textFill>
              </w:rPr>
              <w:t>，现已建成混凝土搅拌生产线2条，钢架结构全封闭原料库2座2500m</w:t>
            </w:r>
            <w:r>
              <w:rPr>
                <w:rFonts w:ascii="Times New Roman" w:eastAsia="宋体" w:cs="Times New Roman"/>
                <w:color w:val="000000" w:themeColor="text1"/>
                <w:vertAlign w:val="superscript"/>
                <w14:textFill>
                  <w14:solidFill>
                    <w14:schemeClr w14:val="tx1"/>
                  </w14:solidFill>
                </w14:textFill>
              </w:rPr>
              <w:t>2</w:t>
            </w:r>
            <w:r>
              <w:rPr>
                <w:rFonts w:ascii="Times New Roman" w:eastAsia="宋体" w:cs="Times New Roman"/>
                <w:color w:val="000000" w:themeColor="text1"/>
                <w14:textFill>
                  <w14:solidFill>
                    <w14:schemeClr w14:val="tx1"/>
                  </w14:solidFill>
                </w14:textFill>
              </w:rPr>
              <w:t>，5个200t水泥储罐，配套废气、废水处理设施、危废贮存点、车辆冲洗平台及办公区等，项目目前已进入工程验收阶段。</w:t>
            </w:r>
          </w:p>
          <w:p w14:paraId="4B6D371C">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公司核心业务以预拌混凝土为主营方向，以石灰石深加工为“主辅联动”产业，以建筑垃圾回收资源化利用为“反哺循环”产业。致力打造一个产业循环、相辅相成、废弃物资源化利用的新兴建材企业。</w:t>
            </w:r>
          </w:p>
          <w:p w14:paraId="1D8DE931">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现根据市场及经营发展需要，宁夏昊际建材有限公司拟在现有厂区内空地投资建设宁夏昊际健材有限公司年产30万方预拌混凝士搅拌站二期项目，主要建设石灰石加工车间及建筑垃圾加工车间，设置1条石灰石加工生产线、1条建筑垃圾加工生产线及配套工程。</w:t>
            </w:r>
          </w:p>
          <w:p w14:paraId="5B730EFC">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2、建设内容及规模</w:t>
            </w:r>
          </w:p>
          <w:p w14:paraId="6812C092">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本项目占地面积5000m</w:t>
            </w:r>
            <w:r>
              <w:rPr>
                <w:rFonts w:ascii="Times New Roman" w:eastAsia="宋体" w:cs="Times New Roman"/>
                <w:color w:val="000000" w:themeColor="text1"/>
                <w:vertAlign w:val="superscript"/>
                <w14:textFill>
                  <w14:solidFill>
                    <w14:schemeClr w14:val="tx1"/>
                  </w14:solidFill>
                </w14:textFill>
              </w:rPr>
              <w:t>2</w:t>
            </w:r>
            <w:r>
              <w:rPr>
                <w:rFonts w:ascii="Times New Roman" w:eastAsia="宋体" w:cs="Times New Roman"/>
                <w:color w:val="000000" w:themeColor="text1"/>
                <w14:textFill>
                  <w14:solidFill>
                    <w14:schemeClr w14:val="tx1"/>
                  </w14:solidFill>
                </w14:textFill>
              </w:rPr>
              <w:t>，</w:t>
            </w:r>
            <w:r>
              <w:rPr>
                <w:rFonts w:ascii="Times New Roman" w:eastAsia="宋体" w:cs="Times New Roman"/>
                <w:snapToGrid w:val="0"/>
                <w:color w:val="000000" w:themeColor="text1"/>
                <w:kern w:val="0"/>
                <w14:textFill>
                  <w14:solidFill>
                    <w14:schemeClr w14:val="tx1"/>
                  </w14:solidFill>
                </w14:textFill>
              </w:rPr>
              <w:t>项目工程组成主要有主体工程、储运工程、辅助工程、公用工程和环保工程等</w:t>
            </w:r>
            <w:r>
              <w:rPr>
                <w:rFonts w:ascii="Times New Roman" w:eastAsia="宋体" w:cs="Times New Roman"/>
                <w:color w:val="000000" w:themeColor="text1"/>
                <w14:textFill>
                  <w14:solidFill>
                    <w14:schemeClr w14:val="tx1"/>
                  </w14:solidFill>
                </w14:textFill>
              </w:rPr>
              <w:t>，项目工程组成情况见下表</w:t>
            </w:r>
            <w:r>
              <w:rPr>
                <w:rFonts w:ascii="Times New Roman" w:eastAsia="宋体" w:cs="Times New Roman"/>
                <w:snapToGrid w:val="0"/>
                <w:color w:val="000000" w:themeColor="text1"/>
                <w:kern w:val="0"/>
                <w14:textFill>
                  <w14:solidFill>
                    <w14:schemeClr w14:val="tx1"/>
                  </w14:solidFill>
                </w14:textFill>
              </w:rPr>
              <w:t>。</w:t>
            </w:r>
          </w:p>
          <w:p w14:paraId="327297E0">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表2-1                  项目工程组成一览表</w:t>
            </w:r>
          </w:p>
          <w:tbl>
            <w:tblPr>
              <w:tblStyle w:val="36"/>
              <w:tblW w:w="8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97"/>
              <w:gridCol w:w="477"/>
              <w:gridCol w:w="898"/>
              <w:gridCol w:w="5828"/>
              <w:gridCol w:w="592"/>
            </w:tblGrid>
            <w:tr w14:paraId="3C1A1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tcBorders>
                    <w:tl2br w:val="nil"/>
                    <w:tr2bl w:val="nil"/>
                  </w:tcBorders>
                  <w:vAlign w:val="center"/>
                </w:tcPr>
                <w:p w14:paraId="7139495C">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分类</w:t>
                  </w:r>
                </w:p>
              </w:tc>
              <w:tc>
                <w:tcPr>
                  <w:tcW w:w="1375" w:type="dxa"/>
                  <w:gridSpan w:val="2"/>
                  <w:tcBorders>
                    <w:tl2br w:val="nil"/>
                    <w:tr2bl w:val="nil"/>
                  </w:tcBorders>
                  <w:vAlign w:val="center"/>
                </w:tcPr>
                <w:p w14:paraId="3DC03839">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工程名称</w:t>
                  </w:r>
                </w:p>
              </w:tc>
              <w:tc>
                <w:tcPr>
                  <w:tcW w:w="5828" w:type="dxa"/>
                  <w:tcBorders>
                    <w:tl2br w:val="nil"/>
                    <w:tr2bl w:val="nil"/>
                  </w:tcBorders>
                  <w:vAlign w:val="center"/>
                </w:tcPr>
                <w:p w14:paraId="1239A878">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项目组成</w:t>
                  </w:r>
                </w:p>
              </w:tc>
              <w:tc>
                <w:tcPr>
                  <w:tcW w:w="592" w:type="dxa"/>
                  <w:tcBorders>
                    <w:tl2br w:val="nil"/>
                    <w:tr2bl w:val="nil"/>
                  </w:tcBorders>
                  <w:vAlign w:val="center"/>
                </w:tcPr>
                <w:p w14:paraId="4900BB31">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备注</w:t>
                  </w:r>
                </w:p>
              </w:tc>
            </w:tr>
            <w:tr w14:paraId="1ADBE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restart"/>
                  <w:tcBorders>
                    <w:tl2br w:val="nil"/>
                    <w:tr2bl w:val="nil"/>
                  </w:tcBorders>
                  <w:vAlign w:val="center"/>
                </w:tcPr>
                <w:p w14:paraId="501B53FE">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主体</w:t>
                  </w:r>
                </w:p>
                <w:p w14:paraId="43721A1B">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工程</w:t>
                  </w:r>
                </w:p>
              </w:tc>
              <w:tc>
                <w:tcPr>
                  <w:tcW w:w="1375" w:type="dxa"/>
                  <w:gridSpan w:val="2"/>
                  <w:tcBorders>
                    <w:tl2br w:val="nil"/>
                    <w:tr2bl w:val="nil"/>
                  </w:tcBorders>
                  <w:vAlign w:val="center"/>
                </w:tcPr>
                <w:p w14:paraId="0B6047B1">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石灰石加工车间</w:t>
                  </w:r>
                </w:p>
              </w:tc>
              <w:tc>
                <w:tcPr>
                  <w:tcW w:w="5828" w:type="dxa"/>
                  <w:tcBorders>
                    <w:tl2br w:val="nil"/>
                    <w:tr2bl w:val="nil"/>
                  </w:tcBorders>
                  <w:vAlign w:val="center"/>
                </w:tcPr>
                <w:p w14:paraId="07AB0887">
                  <w:pPr>
                    <w:snapToGrid w:val="0"/>
                    <w:ind w:firstLine="420" w:firstLineChars="200"/>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钢结构，1F，车间高度10m，主要用于石灰石加工，</w:t>
                  </w:r>
                  <w:r>
                    <w:rPr>
                      <w:rFonts w:eastAsia="宋体"/>
                      <w:color w:val="000000" w:themeColor="text1"/>
                      <w:sz w:val="21"/>
                      <w:szCs w:val="21"/>
                      <w14:textFill>
                        <w14:solidFill>
                          <w14:schemeClr w14:val="tx1"/>
                        </w14:solidFill>
                      </w14:textFill>
                    </w:rPr>
                    <w:t>位于厂区东北侧，占地面积1200</w:t>
                  </w:r>
                  <w:r>
                    <w:rPr>
                      <w:rFonts w:eastAsia="宋体"/>
                      <w:color w:val="000000" w:themeColor="text1"/>
                      <w:kern w:val="0"/>
                      <w:sz w:val="21"/>
                      <w:szCs w:val="21"/>
                      <w:lang w:bidi="ar"/>
                      <w14:textFill>
                        <w14:solidFill>
                          <w14:schemeClr w14:val="tx1"/>
                        </w14:solidFill>
                      </w14:textFill>
                    </w:rPr>
                    <w:t>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kern w:val="0"/>
                      <w:sz w:val="21"/>
                      <w:szCs w:val="21"/>
                      <w:lang w:bidi="ar"/>
                      <w14:textFill>
                        <w14:solidFill>
                          <w14:schemeClr w14:val="tx1"/>
                        </w14:solidFill>
                      </w14:textFill>
                    </w:rPr>
                    <w:t>，</w:t>
                  </w:r>
                  <w:r>
                    <w:rPr>
                      <w:rFonts w:eastAsia="宋体"/>
                      <w:color w:val="000000" w:themeColor="text1"/>
                      <w:sz w:val="21"/>
                      <w:szCs w:val="21"/>
                      <w14:textFill>
                        <w14:solidFill>
                          <w14:schemeClr w14:val="tx1"/>
                        </w14:solidFill>
                      </w14:textFill>
                    </w:rPr>
                    <w:t>3台欧版磨粉机从东至西依次摆放，2个1000t石灰石粉罐仓位于厂房内西侧。</w:t>
                  </w:r>
                </w:p>
              </w:tc>
              <w:tc>
                <w:tcPr>
                  <w:tcW w:w="592" w:type="dxa"/>
                  <w:tcBorders>
                    <w:tl2br w:val="nil"/>
                    <w:tr2bl w:val="nil"/>
                  </w:tcBorders>
                  <w:vAlign w:val="center"/>
                </w:tcPr>
                <w:p w14:paraId="4772D180">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新建</w:t>
                  </w:r>
                </w:p>
              </w:tc>
            </w:tr>
            <w:tr w14:paraId="2EB9F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012C75A1">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21A9569D">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建筑垃圾加工车间</w:t>
                  </w:r>
                </w:p>
              </w:tc>
              <w:tc>
                <w:tcPr>
                  <w:tcW w:w="5828" w:type="dxa"/>
                  <w:tcBorders>
                    <w:tl2br w:val="nil"/>
                    <w:tr2bl w:val="nil"/>
                  </w:tcBorders>
                  <w:vAlign w:val="center"/>
                </w:tcPr>
                <w:p w14:paraId="786C968E">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钢结构，1F，车间高度10m，主要用于</w:t>
                  </w:r>
                  <w:r>
                    <w:rPr>
                      <w:rFonts w:eastAsia="宋体"/>
                      <w:color w:val="000000" w:themeColor="text1"/>
                      <w:sz w:val="21"/>
                      <w:szCs w:val="21"/>
                      <w14:textFill>
                        <w14:solidFill>
                          <w14:schemeClr w14:val="tx1"/>
                        </w14:solidFill>
                      </w14:textFill>
                    </w:rPr>
                    <w:t>建筑垃圾加工，位于厂区西北侧，占地面积1000</w:t>
                  </w:r>
                  <w:r>
                    <w:rPr>
                      <w:rFonts w:eastAsia="宋体"/>
                      <w:color w:val="000000" w:themeColor="text1"/>
                      <w:kern w:val="0"/>
                      <w:sz w:val="21"/>
                      <w:szCs w:val="21"/>
                      <w:lang w:bidi="ar"/>
                      <w14:textFill>
                        <w14:solidFill>
                          <w14:schemeClr w14:val="tx1"/>
                        </w14:solidFill>
                      </w14:textFill>
                    </w:rPr>
                    <w:t>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sz w:val="21"/>
                      <w:szCs w:val="21"/>
                      <w14:textFill>
                        <w14:solidFill>
                          <w14:schemeClr w14:val="tx1"/>
                        </w14:solidFill>
                      </w14:textFill>
                    </w:rPr>
                    <w:t>，主要安装破碎机、振动筛、洗砂机等生产设备。</w:t>
                  </w:r>
                </w:p>
              </w:tc>
              <w:tc>
                <w:tcPr>
                  <w:tcW w:w="592" w:type="dxa"/>
                  <w:tcBorders>
                    <w:tl2br w:val="nil"/>
                    <w:tr2bl w:val="nil"/>
                  </w:tcBorders>
                  <w:vAlign w:val="center"/>
                </w:tcPr>
                <w:p w14:paraId="78D8C2E6">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新建</w:t>
                  </w:r>
                </w:p>
              </w:tc>
            </w:tr>
            <w:tr w14:paraId="4442A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restart"/>
                  <w:tcBorders>
                    <w:tl2br w:val="nil"/>
                    <w:tr2bl w:val="nil"/>
                  </w:tcBorders>
                  <w:vAlign w:val="center"/>
                </w:tcPr>
                <w:p w14:paraId="30315D91">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储运工程</w:t>
                  </w:r>
                </w:p>
              </w:tc>
              <w:tc>
                <w:tcPr>
                  <w:tcW w:w="1375" w:type="dxa"/>
                  <w:gridSpan w:val="2"/>
                  <w:tcBorders>
                    <w:tl2br w:val="nil"/>
                    <w:tr2bl w:val="nil"/>
                  </w:tcBorders>
                  <w:vAlign w:val="center"/>
                </w:tcPr>
                <w:p w14:paraId="70DF5771">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石灰石料仓</w:t>
                  </w:r>
                </w:p>
              </w:tc>
              <w:tc>
                <w:tcPr>
                  <w:tcW w:w="5828" w:type="dxa"/>
                  <w:tcBorders>
                    <w:tl2br w:val="nil"/>
                    <w:tr2bl w:val="nil"/>
                  </w:tcBorders>
                  <w:vAlign w:val="center"/>
                </w:tcPr>
                <w:p w14:paraId="432A8D1A">
                  <w:pPr>
                    <w:widowControl/>
                    <w:ind w:firstLine="420" w:firstLineChars="200"/>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钢架结构，全封闭式料仓，用于储存石灰石原辅材料，位于石灰石加工车间内，建筑面积为500m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sz w:val="21"/>
                      <w:szCs w:val="21"/>
                      <w14:textFill>
                        <w14:solidFill>
                          <w14:schemeClr w14:val="tx1"/>
                        </w14:solidFill>
                      </w14:textFill>
                    </w:rPr>
                    <w:t>。</w:t>
                  </w:r>
                </w:p>
              </w:tc>
              <w:tc>
                <w:tcPr>
                  <w:tcW w:w="592" w:type="dxa"/>
                  <w:tcBorders>
                    <w:tl2br w:val="nil"/>
                    <w:tr2bl w:val="nil"/>
                  </w:tcBorders>
                  <w:vAlign w:val="center"/>
                </w:tcPr>
                <w:p w14:paraId="5273EC72">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sz w:val="21"/>
                      <w:szCs w:val="21"/>
                      <w14:textFill>
                        <w14:solidFill>
                          <w14:schemeClr w14:val="tx1"/>
                        </w14:solidFill>
                      </w14:textFill>
                    </w:rPr>
                    <w:t>新建</w:t>
                  </w:r>
                </w:p>
              </w:tc>
            </w:tr>
            <w:tr w14:paraId="25FFF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4D320877">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137B9CFE">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建筑垃圾料仓</w:t>
                  </w:r>
                </w:p>
              </w:tc>
              <w:tc>
                <w:tcPr>
                  <w:tcW w:w="5828" w:type="dxa"/>
                  <w:tcBorders>
                    <w:tl2br w:val="nil"/>
                    <w:tr2bl w:val="nil"/>
                  </w:tcBorders>
                  <w:vAlign w:val="center"/>
                </w:tcPr>
                <w:p w14:paraId="084274FF">
                  <w:pPr>
                    <w:widowControl/>
                    <w:ind w:firstLine="420" w:firstLineChars="200"/>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钢架结构，全封闭式料仓，用于储存建筑垃圾，位于建筑垃圾加工车间内，建筑面积为500m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sz w:val="21"/>
                      <w:szCs w:val="21"/>
                      <w14:textFill>
                        <w14:solidFill>
                          <w14:schemeClr w14:val="tx1"/>
                        </w14:solidFill>
                      </w14:textFill>
                    </w:rPr>
                    <w:t>。</w:t>
                  </w:r>
                </w:p>
              </w:tc>
              <w:tc>
                <w:tcPr>
                  <w:tcW w:w="592" w:type="dxa"/>
                  <w:tcBorders>
                    <w:tl2br w:val="nil"/>
                    <w:tr2bl w:val="nil"/>
                  </w:tcBorders>
                  <w:vAlign w:val="center"/>
                </w:tcPr>
                <w:p w14:paraId="788F215E">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新建</w:t>
                  </w:r>
                </w:p>
              </w:tc>
            </w:tr>
            <w:tr w14:paraId="34C9B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68E5589E">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41858E26">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再生水稳料及再生骨料仓</w:t>
                  </w:r>
                </w:p>
              </w:tc>
              <w:tc>
                <w:tcPr>
                  <w:tcW w:w="5828" w:type="dxa"/>
                  <w:tcBorders>
                    <w:tl2br w:val="nil"/>
                    <w:tr2bl w:val="nil"/>
                  </w:tcBorders>
                  <w:vAlign w:val="center"/>
                </w:tcPr>
                <w:p w14:paraId="3BAB1F19">
                  <w:pPr>
                    <w:widowControl/>
                    <w:ind w:firstLine="420" w:firstLineChars="200"/>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钢架结构，全封闭式料仓，用于储存再生水稳料及再生骨料，位于厂区西侧，建筑面积为1300m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kern w:val="0"/>
                      <w:sz w:val="21"/>
                      <w:szCs w:val="21"/>
                      <w:lang w:bidi="ar"/>
                      <w14:textFill>
                        <w14:solidFill>
                          <w14:schemeClr w14:val="tx1"/>
                        </w14:solidFill>
                      </w14:textFill>
                    </w:rPr>
                    <w:t>。</w:t>
                  </w:r>
                </w:p>
              </w:tc>
              <w:tc>
                <w:tcPr>
                  <w:tcW w:w="592" w:type="dxa"/>
                  <w:tcBorders>
                    <w:tl2br w:val="nil"/>
                    <w:tr2bl w:val="nil"/>
                  </w:tcBorders>
                  <w:vAlign w:val="center"/>
                </w:tcPr>
                <w:p w14:paraId="2ED4CD03">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新建</w:t>
                  </w:r>
                </w:p>
              </w:tc>
            </w:tr>
            <w:tr w14:paraId="4D14C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4A177FF0">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0293FBF9">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石灰石粉罐仓</w:t>
                  </w:r>
                </w:p>
              </w:tc>
              <w:tc>
                <w:tcPr>
                  <w:tcW w:w="5828" w:type="dxa"/>
                  <w:tcBorders>
                    <w:tl2br w:val="nil"/>
                    <w:tr2bl w:val="nil"/>
                  </w:tcBorders>
                  <w:vAlign w:val="center"/>
                </w:tcPr>
                <w:p w14:paraId="02363483">
                  <w:pPr>
                    <w:widowControl/>
                    <w:ind w:firstLine="420" w:firstLineChars="200"/>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建设1000t石灰石粉罐仓2个，用于储存石灰石粉</w:t>
                  </w:r>
                  <w:r>
                    <w:rPr>
                      <w:rFonts w:eastAsia="宋体"/>
                      <w:color w:val="000000" w:themeColor="text1"/>
                      <w:sz w:val="21"/>
                      <w:szCs w:val="21"/>
                      <w14:textFill>
                        <w14:solidFill>
                          <w14:schemeClr w14:val="tx1"/>
                        </w14:solidFill>
                      </w14:textFill>
                    </w:rPr>
                    <w:t>。</w:t>
                  </w:r>
                </w:p>
              </w:tc>
              <w:tc>
                <w:tcPr>
                  <w:tcW w:w="592" w:type="dxa"/>
                  <w:tcBorders>
                    <w:tl2br w:val="nil"/>
                    <w:tr2bl w:val="nil"/>
                  </w:tcBorders>
                  <w:vAlign w:val="center"/>
                </w:tcPr>
                <w:p w14:paraId="748929C8">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sz w:val="21"/>
                      <w:szCs w:val="21"/>
                      <w14:textFill>
                        <w14:solidFill>
                          <w14:schemeClr w14:val="tx1"/>
                        </w14:solidFill>
                      </w14:textFill>
                    </w:rPr>
                    <w:t>新建</w:t>
                  </w:r>
                </w:p>
              </w:tc>
            </w:tr>
            <w:tr w14:paraId="1C61D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restart"/>
                  <w:tcBorders>
                    <w:tl2br w:val="nil"/>
                    <w:tr2bl w:val="nil"/>
                  </w:tcBorders>
                  <w:vAlign w:val="center"/>
                </w:tcPr>
                <w:p w14:paraId="30B8D0E5">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辅助工程</w:t>
                  </w:r>
                </w:p>
              </w:tc>
              <w:tc>
                <w:tcPr>
                  <w:tcW w:w="1375" w:type="dxa"/>
                  <w:gridSpan w:val="2"/>
                  <w:tcBorders>
                    <w:tl2br w:val="nil"/>
                    <w:tr2bl w:val="nil"/>
                  </w:tcBorders>
                  <w:vAlign w:val="center"/>
                </w:tcPr>
                <w:p w14:paraId="3D32A347">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办公区</w:t>
                  </w:r>
                </w:p>
              </w:tc>
              <w:tc>
                <w:tcPr>
                  <w:tcW w:w="5828" w:type="dxa"/>
                  <w:tcBorders>
                    <w:tl2br w:val="nil"/>
                    <w:tr2bl w:val="nil"/>
                  </w:tcBorders>
                  <w:vAlign w:val="center"/>
                </w:tcPr>
                <w:p w14:paraId="5AAEBC93">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建筑面积300m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kern w:val="0"/>
                      <w:sz w:val="21"/>
                      <w:szCs w:val="21"/>
                      <w:lang w:bidi="ar"/>
                      <w14:textFill>
                        <w14:solidFill>
                          <w14:schemeClr w14:val="tx1"/>
                        </w14:solidFill>
                      </w14:textFill>
                    </w:rPr>
                    <w:t>，位于厂区东北侧，设置办公室及实验室等。</w:t>
                  </w:r>
                </w:p>
              </w:tc>
              <w:tc>
                <w:tcPr>
                  <w:tcW w:w="592" w:type="dxa"/>
                  <w:tcBorders>
                    <w:tl2br w:val="nil"/>
                    <w:tr2bl w:val="nil"/>
                  </w:tcBorders>
                  <w:vAlign w:val="center"/>
                </w:tcPr>
                <w:p w14:paraId="7C852ED0">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依托</w:t>
                  </w:r>
                </w:p>
              </w:tc>
            </w:tr>
            <w:tr w14:paraId="28CC0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AC7DD37">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407E67B7">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洗车平台</w:t>
                  </w:r>
                </w:p>
              </w:tc>
              <w:tc>
                <w:tcPr>
                  <w:tcW w:w="5828" w:type="dxa"/>
                  <w:tcBorders>
                    <w:tl2br w:val="nil"/>
                    <w:tr2bl w:val="nil"/>
                  </w:tcBorders>
                  <w:vAlign w:val="center"/>
                </w:tcPr>
                <w:p w14:paraId="4C5D9E10">
                  <w:pPr>
                    <w:widowControl/>
                    <w:ind w:firstLine="420" w:firstLineChars="200"/>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1座，位于厂区东南侧，建筑面积100m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kern w:val="0"/>
                      <w:sz w:val="21"/>
                      <w:szCs w:val="21"/>
                      <w:lang w:bidi="ar"/>
                      <w14:textFill>
                        <w14:solidFill>
                          <w14:schemeClr w14:val="tx1"/>
                        </w14:solidFill>
                      </w14:textFill>
                    </w:rPr>
                    <w:t>，设置1座三级沉淀池，抗渗混凝土结构（总容积80m</w:t>
                  </w:r>
                  <w:r>
                    <w:rPr>
                      <w:rFonts w:eastAsia="宋体"/>
                      <w:color w:val="000000" w:themeColor="text1"/>
                      <w:kern w:val="0"/>
                      <w:sz w:val="21"/>
                      <w:szCs w:val="21"/>
                      <w:vertAlign w:val="superscript"/>
                      <w:lang w:bidi="ar"/>
                      <w14:textFill>
                        <w14:solidFill>
                          <w14:schemeClr w14:val="tx1"/>
                        </w14:solidFill>
                      </w14:textFill>
                    </w:rPr>
                    <w:t>3</w:t>
                  </w:r>
                  <w:r>
                    <w:rPr>
                      <w:rFonts w:eastAsia="宋体"/>
                      <w:color w:val="000000" w:themeColor="text1"/>
                      <w:kern w:val="0"/>
                      <w:sz w:val="21"/>
                      <w:szCs w:val="21"/>
                      <w:lang w:bidi="ar"/>
                      <w14:textFill>
                        <w14:solidFill>
                          <w14:schemeClr w14:val="tx1"/>
                        </w14:solidFill>
                      </w14:textFill>
                    </w:rPr>
                    <w:t>），主要用于运输车辆清洗。</w:t>
                  </w:r>
                </w:p>
              </w:tc>
              <w:tc>
                <w:tcPr>
                  <w:tcW w:w="592" w:type="dxa"/>
                  <w:tcBorders>
                    <w:tl2br w:val="nil"/>
                    <w:tr2bl w:val="nil"/>
                  </w:tcBorders>
                  <w:vAlign w:val="center"/>
                </w:tcPr>
                <w:p w14:paraId="3E85A9B3">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依托</w:t>
                  </w:r>
                </w:p>
              </w:tc>
            </w:tr>
            <w:tr w14:paraId="36398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restart"/>
                  <w:tcBorders>
                    <w:tl2br w:val="nil"/>
                    <w:tr2bl w:val="nil"/>
                  </w:tcBorders>
                  <w:vAlign w:val="center"/>
                </w:tcPr>
                <w:p w14:paraId="2C56479B">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公用</w:t>
                  </w:r>
                </w:p>
                <w:p w14:paraId="0505D82F">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工程</w:t>
                  </w:r>
                </w:p>
              </w:tc>
              <w:tc>
                <w:tcPr>
                  <w:tcW w:w="1375" w:type="dxa"/>
                  <w:gridSpan w:val="2"/>
                  <w:tcBorders>
                    <w:tl2br w:val="nil"/>
                    <w:tr2bl w:val="nil"/>
                  </w:tcBorders>
                  <w:vAlign w:val="center"/>
                </w:tcPr>
                <w:p w14:paraId="4C433281">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给水</w:t>
                  </w:r>
                </w:p>
              </w:tc>
              <w:tc>
                <w:tcPr>
                  <w:tcW w:w="5828" w:type="dxa"/>
                  <w:tcBorders>
                    <w:tl2br w:val="nil"/>
                    <w:tr2bl w:val="nil"/>
                  </w:tcBorders>
                  <w:vAlign w:val="center"/>
                </w:tcPr>
                <w:p w14:paraId="48F557E1">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生产用水由王洼煤矿矿井再生水提供，生活用水由北洼村供水系统提供。</w:t>
                  </w:r>
                </w:p>
              </w:tc>
              <w:tc>
                <w:tcPr>
                  <w:tcW w:w="592" w:type="dxa"/>
                  <w:tcBorders>
                    <w:tl2br w:val="nil"/>
                    <w:tr2bl w:val="nil"/>
                  </w:tcBorders>
                  <w:vAlign w:val="center"/>
                </w:tcPr>
                <w:p w14:paraId="0739247D">
                  <w:pPr>
                    <w:snapToGrid w:val="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00C67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85924E2">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6EE8E497">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供电</w:t>
                  </w:r>
                </w:p>
              </w:tc>
              <w:tc>
                <w:tcPr>
                  <w:tcW w:w="5828" w:type="dxa"/>
                  <w:tcBorders>
                    <w:tl2br w:val="nil"/>
                    <w:tr2bl w:val="nil"/>
                  </w:tcBorders>
                  <w:vAlign w:val="center"/>
                </w:tcPr>
                <w:p w14:paraId="779663AC">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由彭阳县供电电网接入。</w:t>
                  </w:r>
                </w:p>
              </w:tc>
              <w:tc>
                <w:tcPr>
                  <w:tcW w:w="592" w:type="dxa"/>
                  <w:tcBorders>
                    <w:tl2br w:val="nil"/>
                    <w:tr2bl w:val="nil"/>
                  </w:tcBorders>
                  <w:vAlign w:val="center"/>
                </w:tcPr>
                <w:p w14:paraId="5F7AB033">
                  <w:pPr>
                    <w:snapToGrid w:val="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6C576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restart"/>
                  <w:tcBorders>
                    <w:tl2br w:val="nil"/>
                    <w:tr2bl w:val="nil"/>
                  </w:tcBorders>
                  <w:vAlign w:val="center"/>
                </w:tcPr>
                <w:p w14:paraId="580ED79D">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环保</w:t>
                  </w:r>
                </w:p>
                <w:p w14:paraId="67CBCD4B">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工程</w:t>
                  </w:r>
                </w:p>
                <w:p w14:paraId="4C72756E">
                  <w:pPr>
                    <w:pStyle w:val="2"/>
                    <w:ind w:left="480"/>
                    <w:rPr>
                      <w:color w:val="000000" w:themeColor="text1"/>
                      <w14:textFill>
                        <w14:solidFill>
                          <w14:schemeClr w14:val="tx1"/>
                        </w14:solidFill>
                      </w14:textFill>
                    </w:rPr>
                  </w:pPr>
                </w:p>
              </w:tc>
              <w:tc>
                <w:tcPr>
                  <w:tcW w:w="477" w:type="dxa"/>
                  <w:vMerge w:val="restart"/>
                  <w:tcBorders>
                    <w:tl2br w:val="nil"/>
                    <w:tr2bl w:val="nil"/>
                  </w:tcBorders>
                  <w:vAlign w:val="center"/>
                </w:tcPr>
                <w:p w14:paraId="5E0FE8A2">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废气治理</w:t>
                  </w:r>
                </w:p>
              </w:tc>
              <w:tc>
                <w:tcPr>
                  <w:tcW w:w="898" w:type="dxa"/>
                  <w:tcBorders>
                    <w:tl2br w:val="nil"/>
                    <w:tr2bl w:val="nil"/>
                  </w:tcBorders>
                  <w:vAlign w:val="center"/>
                </w:tcPr>
                <w:p w14:paraId="235C695E">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石灰石卸料及堆存粉尘</w:t>
                  </w:r>
                </w:p>
              </w:tc>
              <w:tc>
                <w:tcPr>
                  <w:tcW w:w="5828" w:type="dxa"/>
                  <w:tcBorders>
                    <w:tl2br w:val="nil"/>
                    <w:tr2bl w:val="nil"/>
                  </w:tcBorders>
                  <w:vAlign w:val="center"/>
                </w:tcPr>
                <w:p w14:paraId="2B42FECF">
                  <w:pPr>
                    <w:widowControl/>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石灰石料仓</w:t>
                  </w:r>
                  <w:r>
                    <w:rPr>
                      <w:rFonts w:eastAsia="宋体"/>
                      <w:color w:val="000000" w:themeColor="text1"/>
                      <w:kern w:val="0"/>
                      <w:sz w:val="21"/>
                      <w:szCs w:val="21"/>
                      <w:lang w:bidi="ar"/>
                      <w14:textFill>
                        <w14:solidFill>
                          <w14:schemeClr w14:val="tx1"/>
                        </w14:solidFill>
                      </w14:textFill>
                    </w:rPr>
                    <w:t>全封闭，正常生产时仓门关闭，仓内设置1套喷雾降尘装置，通过洒水降尘后仓内粉尘无组织排放。</w:t>
                  </w:r>
                </w:p>
              </w:tc>
              <w:tc>
                <w:tcPr>
                  <w:tcW w:w="592" w:type="dxa"/>
                  <w:tcBorders>
                    <w:tl2br w:val="nil"/>
                    <w:tr2bl w:val="nil"/>
                  </w:tcBorders>
                  <w:vAlign w:val="center"/>
                </w:tcPr>
                <w:p w14:paraId="443625DD">
                  <w:pPr>
                    <w:widowControl/>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3BB98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4B86CE61">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0DA83B2E">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09F30252">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石灰石投料、磨粉粉尘</w:t>
                  </w:r>
                </w:p>
              </w:tc>
              <w:tc>
                <w:tcPr>
                  <w:tcW w:w="5828" w:type="dxa"/>
                  <w:tcBorders>
                    <w:tl2br w:val="nil"/>
                    <w:tr2bl w:val="nil"/>
                  </w:tcBorders>
                  <w:vAlign w:val="center"/>
                </w:tcPr>
                <w:p w14:paraId="4AACB684">
                  <w:pPr>
                    <w:widowControl/>
                    <w:ind w:firstLine="420" w:firstLineChars="200"/>
                    <w:rPr>
                      <w:rFonts w:eastAsia="宋体"/>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投料口</w:t>
                  </w:r>
                  <w:r>
                    <w:rPr>
                      <w:rFonts w:eastAsia="宋体"/>
                      <w:bCs/>
                      <w:color w:val="000000" w:themeColor="text1"/>
                      <w:sz w:val="21"/>
                      <w:szCs w:val="21"/>
                      <w:lang w:bidi="en-US"/>
                      <w14:textFill>
                        <w14:solidFill>
                          <w14:schemeClr w14:val="tx1"/>
                        </w14:solidFill>
                      </w14:textFill>
                    </w:rPr>
                    <w:t>设置1个集气罩（集气效率90%）</w:t>
                  </w:r>
                  <w:r>
                    <w:rPr>
                      <w:rFonts w:eastAsia="宋体"/>
                      <w:bCs/>
                      <w:color w:val="000000" w:themeColor="text1"/>
                      <w:sz w:val="21"/>
                      <w:szCs w:val="21"/>
                      <w14:textFill>
                        <w14:solidFill>
                          <w14:schemeClr w14:val="tx1"/>
                        </w14:solidFill>
                      </w14:textFill>
                    </w:rPr>
                    <w:t>对产生的粉尘进行收集，</w:t>
                  </w:r>
                  <w:r>
                    <w:rPr>
                      <w:rFonts w:eastAsia="宋体"/>
                      <w:color w:val="000000" w:themeColor="text1"/>
                      <w:sz w:val="21"/>
                      <w:szCs w:val="21"/>
                      <w14:textFill>
                        <w14:solidFill>
                          <w14:schemeClr w14:val="tx1"/>
                        </w14:solidFill>
                      </w14:textFill>
                    </w:rPr>
                    <w:t>粉磨机为封闭式结构，3台磨粉机产生的含尘气体通过密闭管道收集汇总，汇同</w:t>
                  </w:r>
                  <w:r>
                    <w:rPr>
                      <w:rFonts w:eastAsia="宋体"/>
                      <w:bCs/>
                      <w:color w:val="000000" w:themeColor="text1"/>
                      <w:sz w:val="21"/>
                      <w:szCs w:val="21"/>
                      <w14:textFill>
                        <w14:solidFill>
                          <w14:schemeClr w14:val="tx1"/>
                        </w14:solidFill>
                      </w14:textFill>
                    </w:rPr>
                    <w:t>投料粉尘</w:t>
                  </w:r>
                  <w:r>
                    <w:rPr>
                      <w:rFonts w:eastAsia="宋体"/>
                      <w:color w:val="000000" w:themeColor="text1"/>
                      <w:sz w:val="21"/>
                      <w:szCs w:val="21"/>
                      <w14:textFill>
                        <w14:solidFill>
                          <w14:schemeClr w14:val="tx1"/>
                        </w14:solidFill>
                      </w14:textFill>
                    </w:rPr>
                    <w:t>一同送入1台高效脉冲袋式除尘器（3#，除尘效率99%）处理后由15m高排气筒（DA003）排放。</w:t>
                  </w:r>
                </w:p>
              </w:tc>
              <w:tc>
                <w:tcPr>
                  <w:tcW w:w="592" w:type="dxa"/>
                  <w:tcBorders>
                    <w:tl2br w:val="nil"/>
                    <w:tr2bl w:val="nil"/>
                  </w:tcBorders>
                  <w:vAlign w:val="center"/>
                </w:tcPr>
                <w:p w14:paraId="5EE2BEAB">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12929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08FE0AA5">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14EB071A">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177C3BE7">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石灰石罐仓储存粉尘</w:t>
                  </w:r>
                </w:p>
              </w:tc>
              <w:tc>
                <w:tcPr>
                  <w:tcW w:w="5828" w:type="dxa"/>
                  <w:tcBorders>
                    <w:tl2br w:val="nil"/>
                    <w:tr2bl w:val="nil"/>
                  </w:tcBorders>
                  <w:vAlign w:val="center"/>
                </w:tcPr>
                <w:p w14:paraId="1412BD06">
                  <w:pPr>
                    <w:widowControl/>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每座罐仓仓顶自带高效脉冲布袋除尘器（除尘效率99%）处理后由顶部排放。</w:t>
                  </w:r>
                </w:p>
              </w:tc>
              <w:tc>
                <w:tcPr>
                  <w:tcW w:w="592" w:type="dxa"/>
                  <w:tcBorders>
                    <w:tl2br w:val="nil"/>
                    <w:tr2bl w:val="nil"/>
                  </w:tcBorders>
                  <w:vAlign w:val="center"/>
                </w:tcPr>
                <w:p w14:paraId="2DEA5A2F">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35F39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1BAECC73">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1BE6288D">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67AE7BB7">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建筑垃圾卸料及堆存粉尘</w:t>
                  </w:r>
                </w:p>
              </w:tc>
              <w:tc>
                <w:tcPr>
                  <w:tcW w:w="5828" w:type="dxa"/>
                  <w:tcBorders>
                    <w:tl2br w:val="nil"/>
                    <w:tr2bl w:val="nil"/>
                  </w:tcBorders>
                  <w:vAlign w:val="center"/>
                </w:tcPr>
                <w:p w14:paraId="2BCD1B29">
                  <w:pPr>
                    <w:widowControl/>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建筑垃圾料仓</w:t>
                  </w:r>
                  <w:r>
                    <w:rPr>
                      <w:rFonts w:eastAsia="宋体"/>
                      <w:color w:val="000000" w:themeColor="text1"/>
                      <w:kern w:val="0"/>
                      <w:sz w:val="21"/>
                      <w:szCs w:val="21"/>
                      <w:lang w:bidi="ar"/>
                      <w14:textFill>
                        <w14:solidFill>
                          <w14:schemeClr w14:val="tx1"/>
                        </w14:solidFill>
                      </w14:textFill>
                    </w:rPr>
                    <w:t>全封闭，正常生产时仓门关闭，仓内设置1套喷雾降尘装置，通过洒水降尘后仓内粉尘无组织排放。</w:t>
                  </w:r>
                </w:p>
              </w:tc>
              <w:tc>
                <w:tcPr>
                  <w:tcW w:w="592" w:type="dxa"/>
                  <w:tcBorders>
                    <w:tl2br w:val="nil"/>
                    <w:tr2bl w:val="nil"/>
                  </w:tcBorders>
                  <w:vAlign w:val="center"/>
                </w:tcPr>
                <w:p w14:paraId="7697BB26">
                  <w:pPr>
                    <w:widowControl/>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2EC47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CF64CBF">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6FEB2DBA">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2C461974">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建筑垃圾给料、破碎、筛分粉尘</w:t>
                  </w:r>
                </w:p>
              </w:tc>
              <w:tc>
                <w:tcPr>
                  <w:tcW w:w="5828" w:type="dxa"/>
                  <w:tcBorders>
                    <w:tl2br w:val="nil"/>
                    <w:tr2bl w:val="nil"/>
                  </w:tcBorders>
                  <w:vAlign w:val="center"/>
                </w:tcPr>
                <w:p w14:paraId="184B4BBD">
                  <w:pPr>
                    <w:widowControl/>
                    <w:ind w:firstLine="420" w:firstLineChars="200"/>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建筑垃圾加工生产线进行封闭处理，</w:t>
                  </w:r>
                  <w:r>
                    <w:rPr>
                      <w:rFonts w:eastAsia="宋体"/>
                      <w:color w:val="000000" w:themeColor="text1"/>
                      <w:sz w:val="21"/>
                      <w:szCs w:val="21"/>
                      <w14:textFill>
                        <w14:solidFill>
                          <w14:schemeClr w14:val="tx1"/>
                        </w14:solidFill>
                      </w14:textFill>
                    </w:rPr>
                    <w:t>给料台和破碎机出口各设置1个集气罩（集气效率90%），收集后经1台高效脉冲袋式除尘器（4#，除尘效率99%）处理后由15m高排气筒（DA004）排放。</w:t>
                  </w:r>
                </w:p>
              </w:tc>
              <w:tc>
                <w:tcPr>
                  <w:tcW w:w="592" w:type="dxa"/>
                  <w:tcBorders>
                    <w:tl2br w:val="nil"/>
                    <w:tr2bl w:val="nil"/>
                  </w:tcBorders>
                  <w:vAlign w:val="center"/>
                </w:tcPr>
                <w:p w14:paraId="1BA547E9">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2498A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42ECFA4F">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184B84CA">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2431F5ED">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再生骨料及再生水稳料装卸堆存粉尘</w:t>
                  </w:r>
                </w:p>
              </w:tc>
              <w:tc>
                <w:tcPr>
                  <w:tcW w:w="5828" w:type="dxa"/>
                  <w:tcBorders>
                    <w:tl2br w:val="nil"/>
                    <w:tr2bl w:val="nil"/>
                  </w:tcBorders>
                  <w:vAlign w:val="center"/>
                </w:tcPr>
                <w:p w14:paraId="2BB455F2">
                  <w:pPr>
                    <w:widowControl/>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再生骨料及再生水稳料料仓</w:t>
                  </w:r>
                  <w:r>
                    <w:rPr>
                      <w:rFonts w:eastAsia="宋体"/>
                      <w:color w:val="000000" w:themeColor="text1"/>
                      <w:kern w:val="0"/>
                      <w:sz w:val="21"/>
                      <w:szCs w:val="21"/>
                      <w:lang w:bidi="ar"/>
                      <w14:textFill>
                        <w14:solidFill>
                          <w14:schemeClr w14:val="tx1"/>
                        </w14:solidFill>
                      </w14:textFill>
                    </w:rPr>
                    <w:t>全封闭，正常生产时仓门关闭，仓内设置1套喷雾降尘装置，通过洒水降尘后仓内粉尘无组织排放。</w:t>
                  </w:r>
                </w:p>
              </w:tc>
              <w:tc>
                <w:tcPr>
                  <w:tcW w:w="592" w:type="dxa"/>
                  <w:tcBorders>
                    <w:tl2br w:val="nil"/>
                    <w:tr2bl w:val="nil"/>
                  </w:tcBorders>
                  <w:vAlign w:val="center"/>
                </w:tcPr>
                <w:p w14:paraId="4051FE61">
                  <w:pPr>
                    <w:widowControl/>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407941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0EE8FDF6">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1B636C5C">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5040BC6B">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车辆运输扬尘</w:t>
                  </w:r>
                </w:p>
              </w:tc>
              <w:tc>
                <w:tcPr>
                  <w:tcW w:w="5828" w:type="dxa"/>
                  <w:tcBorders>
                    <w:tl2br w:val="nil"/>
                    <w:tr2bl w:val="nil"/>
                  </w:tcBorders>
                  <w:vAlign w:val="center"/>
                </w:tcPr>
                <w:p w14:paraId="5E893B26">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在厂区进出口设置洗车设备；对厂区内运输道路地面进行硬化，保持厂区路面清洁，进行洒水抑尘。</w:t>
                  </w:r>
                </w:p>
              </w:tc>
              <w:tc>
                <w:tcPr>
                  <w:tcW w:w="592" w:type="dxa"/>
                  <w:tcBorders>
                    <w:tl2br w:val="nil"/>
                    <w:tr2bl w:val="nil"/>
                  </w:tcBorders>
                  <w:vAlign w:val="center"/>
                </w:tcPr>
                <w:p w14:paraId="51AEF852">
                  <w:pPr>
                    <w:snapToGrid w:val="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353DB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06D756D1">
                  <w:pPr>
                    <w:snapToGrid w:val="0"/>
                    <w:jc w:val="center"/>
                    <w:rPr>
                      <w:rFonts w:eastAsia="宋体"/>
                      <w:color w:val="000000" w:themeColor="text1"/>
                      <w:sz w:val="21"/>
                      <w:szCs w:val="21"/>
                      <w14:textFill>
                        <w14:solidFill>
                          <w14:schemeClr w14:val="tx1"/>
                        </w14:solidFill>
                      </w14:textFill>
                    </w:rPr>
                  </w:pPr>
                </w:p>
              </w:tc>
              <w:tc>
                <w:tcPr>
                  <w:tcW w:w="477" w:type="dxa"/>
                  <w:vMerge w:val="restart"/>
                  <w:tcBorders>
                    <w:tl2br w:val="nil"/>
                    <w:tr2bl w:val="nil"/>
                  </w:tcBorders>
                  <w:vAlign w:val="center"/>
                </w:tcPr>
                <w:p w14:paraId="0E2A528A">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废水治理</w:t>
                  </w:r>
                </w:p>
              </w:tc>
              <w:tc>
                <w:tcPr>
                  <w:tcW w:w="898" w:type="dxa"/>
                  <w:tcBorders>
                    <w:tl2br w:val="nil"/>
                    <w:tr2bl w:val="nil"/>
                  </w:tcBorders>
                  <w:vAlign w:val="center"/>
                </w:tcPr>
                <w:p w14:paraId="08AD3DF8">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生活污水</w:t>
                  </w:r>
                </w:p>
              </w:tc>
              <w:tc>
                <w:tcPr>
                  <w:tcW w:w="5828" w:type="dxa"/>
                  <w:tcBorders>
                    <w:tl2br w:val="nil"/>
                    <w:tr2bl w:val="nil"/>
                  </w:tcBorders>
                  <w:vAlign w:val="center"/>
                </w:tcPr>
                <w:p w14:paraId="792F11A8">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本项目不提供食宿，生活污水主要为员工洗漱废水，用于厂区抑尘，粪污依托现有防渗旱厕，定期清掏用于厂区周边绿化或周边农田施肥。</w:t>
                  </w:r>
                </w:p>
              </w:tc>
              <w:tc>
                <w:tcPr>
                  <w:tcW w:w="592" w:type="dxa"/>
                  <w:tcBorders>
                    <w:tl2br w:val="nil"/>
                    <w:tr2bl w:val="nil"/>
                  </w:tcBorders>
                  <w:vAlign w:val="center"/>
                </w:tcPr>
                <w:p w14:paraId="1DC54D93">
                  <w:pPr>
                    <w:snapToGrid w:val="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0DD8D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2654278">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11B3CFA9">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3A32469C">
                  <w:pPr>
                    <w:widowControl/>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车辆清洗废水</w:t>
                  </w:r>
                </w:p>
              </w:tc>
              <w:tc>
                <w:tcPr>
                  <w:tcW w:w="5828" w:type="dxa"/>
                  <w:tcBorders>
                    <w:tl2br w:val="nil"/>
                    <w:tr2bl w:val="nil"/>
                  </w:tcBorders>
                  <w:vAlign w:val="center"/>
                </w:tcPr>
                <w:p w14:paraId="35CB9BB3">
                  <w:pPr>
                    <w:widowControl/>
                    <w:ind w:firstLine="420" w:firstLineChars="200"/>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车辆清洗废水依托现有砂石分离机预处理后再经三级沉淀池沉淀处理，最终全部回用于混凝土搅拌，不外排。</w:t>
                  </w:r>
                </w:p>
              </w:tc>
              <w:tc>
                <w:tcPr>
                  <w:tcW w:w="592" w:type="dxa"/>
                  <w:tcBorders>
                    <w:tl2br w:val="nil"/>
                    <w:tr2bl w:val="nil"/>
                  </w:tcBorders>
                  <w:vAlign w:val="center"/>
                </w:tcPr>
                <w:p w14:paraId="5F20F160">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35ACE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2CD4B7C">
                  <w:pPr>
                    <w:snapToGrid w:val="0"/>
                    <w:jc w:val="center"/>
                    <w:rPr>
                      <w:rFonts w:eastAsia="宋体"/>
                      <w:color w:val="000000" w:themeColor="text1"/>
                      <w:sz w:val="21"/>
                      <w:szCs w:val="21"/>
                      <w14:textFill>
                        <w14:solidFill>
                          <w14:schemeClr w14:val="tx1"/>
                        </w14:solidFill>
                      </w14:textFill>
                    </w:rPr>
                  </w:pPr>
                </w:p>
              </w:tc>
              <w:tc>
                <w:tcPr>
                  <w:tcW w:w="1375" w:type="dxa"/>
                  <w:gridSpan w:val="2"/>
                  <w:tcBorders>
                    <w:tl2br w:val="nil"/>
                    <w:tr2bl w:val="nil"/>
                  </w:tcBorders>
                  <w:vAlign w:val="center"/>
                </w:tcPr>
                <w:p w14:paraId="28D5BA8D">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噪声治理</w:t>
                  </w:r>
                </w:p>
              </w:tc>
              <w:tc>
                <w:tcPr>
                  <w:tcW w:w="5828" w:type="dxa"/>
                  <w:tcBorders>
                    <w:tl2br w:val="nil"/>
                    <w:tr2bl w:val="nil"/>
                  </w:tcBorders>
                  <w:vAlign w:val="center"/>
                </w:tcPr>
                <w:p w14:paraId="2A627948">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选用低噪声设备，采取隔声、减振等措施。</w:t>
                  </w:r>
                </w:p>
              </w:tc>
              <w:tc>
                <w:tcPr>
                  <w:tcW w:w="592" w:type="dxa"/>
                  <w:tcBorders>
                    <w:tl2br w:val="nil"/>
                    <w:tr2bl w:val="nil"/>
                  </w:tcBorders>
                  <w:vAlign w:val="center"/>
                </w:tcPr>
                <w:p w14:paraId="1ED392A1">
                  <w:pPr>
                    <w:snapToGrid w:val="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17CE00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45CBC762">
                  <w:pPr>
                    <w:snapToGrid w:val="0"/>
                    <w:jc w:val="center"/>
                    <w:rPr>
                      <w:rFonts w:eastAsia="宋体"/>
                      <w:color w:val="000000" w:themeColor="text1"/>
                      <w:sz w:val="21"/>
                      <w:szCs w:val="21"/>
                      <w14:textFill>
                        <w14:solidFill>
                          <w14:schemeClr w14:val="tx1"/>
                        </w14:solidFill>
                      </w14:textFill>
                    </w:rPr>
                  </w:pPr>
                </w:p>
              </w:tc>
              <w:tc>
                <w:tcPr>
                  <w:tcW w:w="477" w:type="dxa"/>
                  <w:vMerge w:val="restart"/>
                  <w:tcBorders>
                    <w:tl2br w:val="nil"/>
                    <w:tr2bl w:val="nil"/>
                  </w:tcBorders>
                  <w:vAlign w:val="center"/>
                </w:tcPr>
                <w:p w14:paraId="35ACCF59">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固废治理</w:t>
                  </w:r>
                </w:p>
              </w:tc>
              <w:tc>
                <w:tcPr>
                  <w:tcW w:w="898" w:type="dxa"/>
                  <w:vMerge w:val="restart"/>
                  <w:tcBorders>
                    <w:tl2br w:val="nil"/>
                    <w:tr2bl w:val="nil"/>
                  </w:tcBorders>
                  <w:vAlign w:val="center"/>
                </w:tcPr>
                <w:p w14:paraId="419B4D84">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一般固废</w:t>
                  </w:r>
                </w:p>
              </w:tc>
              <w:tc>
                <w:tcPr>
                  <w:tcW w:w="5828" w:type="dxa"/>
                  <w:tcBorders>
                    <w:tl2br w:val="nil"/>
                    <w:tr2bl w:val="nil"/>
                  </w:tcBorders>
                  <w:vAlign w:val="center"/>
                </w:tcPr>
                <w:p w14:paraId="7DF9A607">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布袋除尘器收尘灰收集后回用于生产；分拣杂质经分类后暂存至建筑垃圾加工车间内一般固废暂存区，定期外售</w:t>
                  </w:r>
                  <w:r>
                    <w:rPr>
                      <w:rFonts w:eastAsia="宋体"/>
                      <w:color w:val="000000" w:themeColor="text1"/>
                      <w:spacing w:val="9"/>
                      <w:sz w:val="21"/>
                      <w:szCs w:val="21"/>
                      <w14:textFill>
                        <w14:solidFill>
                          <w14:schemeClr w14:val="tx1"/>
                        </w14:solidFill>
                      </w14:textFill>
                    </w:rPr>
                    <w:t>。</w:t>
                  </w:r>
                </w:p>
              </w:tc>
              <w:tc>
                <w:tcPr>
                  <w:tcW w:w="592" w:type="dxa"/>
                  <w:tcBorders>
                    <w:tl2br w:val="nil"/>
                    <w:tr2bl w:val="nil"/>
                  </w:tcBorders>
                  <w:vAlign w:val="center"/>
                </w:tcPr>
                <w:p w14:paraId="6D635C04">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新建</w:t>
                  </w:r>
                </w:p>
              </w:tc>
            </w:tr>
            <w:tr w14:paraId="2B57F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10D77639">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34DF10DF">
                  <w:pPr>
                    <w:snapToGrid w:val="0"/>
                    <w:jc w:val="center"/>
                    <w:rPr>
                      <w:rFonts w:eastAsia="宋体"/>
                      <w:color w:val="000000" w:themeColor="text1"/>
                      <w:sz w:val="21"/>
                      <w:szCs w:val="21"/>
                      <w14:textFill>
                        <w14:solidFill>
                          <w14:schemeClr w14:val="tx1"/>
                        </w14:solidFill>
                      </w14:textFill>
                    </w:rPr>
                  </w:pPr>
                </w:p>
              </w:tc>
              <w:tc>
                <w:tcPr>
                  <w:tcW w:w="898" w:type="dxa"/>
                  <w:vMerge w:val="continue"/>
                  <w:tcBorders>
                    <w:tl2br w:val="nil"/>
                    <w:tr2bl w:val="nil"/>
                  </w:tcBorders>
                  <w:vAlign w:val="center"/>
                </w:tcPr>
                <w:p w14:paraId="6C96FC46">
                  <w:pPr>
                    <w:snapToGrid w:val="0"/>
                    <w:jc w:val="center"/>
                    <w:rPr>
                      <w:rFonts w:eastAsia="宋体"/>
                      <w:color w:val="000000" w:themeColor="text1"/>
                      <w:sz w:val="21"/>
                      <w:szCs w:val="21"/>
                      <w14:textFill>
                        <w14:solidFill>
                          <w14:schemeClr w14:val="tx1"/>
                        </w14:solidFill>
                      </w14:textFill>
                    </w:rPr>
                  </w:pPr>
                </w:p>
              </w:tc>
              <w:tc>
                <w:tcPr>
                  <w:tcW w:w="5828" w:type="dxa"/>
                  <w:tcBorders>
                    <w:tl2br w:val="nil"/>
                    <w:tr2bl w:val="nil"/>
                  </w:tcBorders>
                  <w:vAlign w:val="center"/>
                </w:tcPr>
                <w:p w14:paraId="7758EB48">
                  <w:pPr>
                    <w:snapToGrid w:val="0"/>
                    <w:ind w:firstLine="420" w:firstLineChars="200"/>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分离砂石作为混凝土生产原料，沉淀池沉渣与再生水稳料混合作为成品外售。</w:t>
                  </w:r>
                </w:p>
              </w:tc>
              <w:tc>
                <w:tcPr>
                  <w:tcW w:w="592" w:type="dxa"/>
                  <w:tcBorders>
                    <w:tl2br w:val="nil"/>
                    <w:tr2bl w:val="nil"/>
                  </w:tcBorders>
                  <w:vAlign w:val="center"/>
                </w:tcPr>
                <w:p w14:paraId="2947320D">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37084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503D80E">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0F846CA7">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6648F4CB">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w:t>
                  </w:r>
                </w:p>
              </w:tc>
              <w:tc>
                <w:tcPr>
                  <w:tcW w:w="5828" w:type="dxa"/>
                  <w:tcBorders>
                    <w:tl2br w:val="nil"/>
                    <w:tr2bl w:val="nil"/>
                  </w:tcBorders>
                  <w:vAlign w:val="center"/>
                </w:tcPr>
                <w:p w14:paraId="17E3FD72">
                  <w:pPr>
                    <w:widowControl/>
                    <w:ind w:firstLine="420" w:firstLineChars="200"/>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设备维护产生的废机油集中收集后暂存于现有5m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kern w:val="0"/>
                      <w:sz w:val="21"/>
                      <w:szCs w:val="21"/>
                      <w:lang w:bidi="ar"/>
                      <w14:textFill>
                        <w14:solidFill>
                          <w14:schemeClr w14:val="tx1"/>
                        </w14:solidFill>
                      </w14:textFill>
                    </w:rPr>
                    <w:t>危废贮存点，定期交由有资质的单位处理。</w:t>
                  </w:r>
                </w:p>
              </w:tc>
              <w:tc>
                <w:tcPr>
                  <w:tcW w:w="592" w:type="dxa"/>
                  <w:tcBorders>
                    <w:tl2br w:val="nil"/>
                    <w:tr2bl w:val="nil"/>
                  </w:tcBorders>
                  <w:vAlign w:val="center"/>
                </w:tcPr>
                <w:p w14:paraId="207EAEE5">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r w14:paraId="58C71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7" w:type="dxa"/>
                  <w:vMerge w:val="continue"/>
                  <w:tcBorders>
                    <w:tl2br w:val="nil"/>
                    <w:tr2bl w:val="nil"/>
                  </w:tcBorders>
                  <w:vAlign w:val="center"/>
                </w:tcPr>
                <w:p w14:paraId="54BF0143">
                  <w:pPr>
                    <w:snapToGrid w:val="0"/>
                    <w:jc w:val="center"/>
                    <w:rPr>
                      <w:rFonts w:eastAsia="宋体"/>
                      <w:color w:val="000000" w:themeColor="text1"/>
                      <w:sz w:val="21"/>
                      <w:szCs w:val="21"/>
                      <w14:textFill>
                        <w14:solidFill>
                          <w14:schemeClr w14:val="tx1"/>
                        </w14:solidFill>
                      </w14:textFill>
                    </w:rPr>
                  </w:pPr>
                </w:p>
              </w:tc>
              <w:tc>
                <w:tcPr>
                  <w:tcW w:w="477" w:type="dxa"/>
                  <w:vMerge w:val="continue"/>
                  <w:tcBorders>
                    <w:tl2br w:val="nil"/>
                    <w:tr2bl w:val="nil"/>
                  </w:tcBorders>
                  <w:vAlign w:val="center"/>
                </w:tcPr>
                <w:p w14:paraId="3EA04CF1">
                  <w:pPr>
                    <w:snapToGrid w:val="0"/>
                    <w:jc w:val="center"/>
                    <w:rPr>
                      <w:rFonts w:eastAsia="宋体"/>
                      <w:color w:val="000000" w:themeColor="text1"/>
                      <w:sz w:val="21"/>
                      <w:szCs w:val="21"/>
                      <w14:textFill>
                        <w14:solidFill>
                          <w14:schemeClr w14:val="tx1"/>
                        </w14:solidFill>
                      </w14:textFill>
                    </w:rPr>
                  </w:pPr>
                </w:p>
              </w:tc>
              <w:tc>
                <w:tcPr>
                  <w:tcW w:w="898" w:type="dxa"/>
                  <w:tcBorders>
                    <w:tl2br w:val="nil"/>
                    <w:tr2bl w:val="nil"/>
                  </w:tcBorders>
                  <w:vAlign w:val="center"/>
                </w:tcPr>
                <w:p w14:paraId="26B49F15">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生活垃圾</w:t>
                  </w:r>
                </w:p>
              </w:tc>
              <w:tc>
                <w:tcPr>
                  <w:tcW w:w="5828" w:type="dxa"/>
                  <w:tcBorders>
                    <w:tl2br w:val="nil"/>
                    <w:tr2bl w:val="nil"/>
                  </w:tcBorders>
                  <w:vAlign w:val="center"/>
                </w:tcPr>
                <w:p w14:paraId="7A47A0D2">
                  <w:pPr>
                    <w:widowControl/>
                    <w:ind w:firstLine="420" w:firstLineChars="200"/>
                    <w:rPr>
                      <w:rFonts w:eastAsia="宋体"/>
                      <w:color w:val="000000" w:themeColor="text1"/>
                      <w:kern w:val="0"/>
                      <w:sz w:val="21"/>
                      <w:szCs w:val="21"/>
                      <w:lang w:bidi="ar"/>
                      <w14:textFill>
                        <w14:solidFill>
                          <w14:schemeClr w14:val="tx1"/>
                        </w14:solidFill>
                      </w14:textFill>
                    </w:rPr>
                  </w:pPr>
                  <w:r>
                    <w:rPr>
                      <w:rFonts w:eastAsia="宋体"/>
                      <w:bCs/>
                      <w:color w:val="000000" w:themeColor="text1"/>
                      <w:kern w:val="0"/>
                      <w:sz w:val="21"/>
                      <w:szCs w:val="21"/>
                      <w:lang w:bidi="ar"/>
                      <w14:textFill>
                        <w14:solidFill>
                          <w14:schemeClr w14:val="tx1"/>
                        </w14:solidFill>
                      </w14:textFill>
                    </w:rPr>
                    <w:t>通过厂区现有垃圾收集设施集中收集后，交由环卫部门处理。</w:t>
                  </w:r>
                </w:p>
              </w:tc>
              <w:tc>
                <w:tcPr>
                  <w:tcW w:w="592" w:type="dxa"/>
                  <w:tcBorders>
                    <w:tl2br w:val="nil"/>
                    <w:tr2bl w:val="nil"/>
                  </w:tcBorders>
                  <w:vAlign w:val="center"/>
                </w:tcPr>
                <w:p w14:paraId="28F1A156">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依托</w:t>
                  </w:r>
                </w:p>
              </w:tc>
            </w:tr>
          </w:tbl>
          <w:p w14:paraId="5EE6E11F">
            <w:pPr>
              <w:pStyle w:val="4"/>
              <w:ind w:firstLine="482"/>
              <w:rPr>
                <w:color w:val="000000" w:themeColor="text1"/>
                <w14:textFill>
                  <w14:solidFill>
                    <w14:schemeClr w14:val="tx1"/>
                  </w14:solidFill>
                </w14:textFill>
              </w:rPr>
            </w:pPr>
          </w:p>
          <w:p w14:paraId="5563FCBD">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3、现有工程依托可行性分析</w:t>
            </w:r>
          </w:p>
          <w:p w14:paraId="77E3B25B">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（1）公用工程依托可行性</w:t>
            </w:r>
          </w:p>
          <w:p w14:paraId="6F3B76B5">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根据现场调查，厂区内供电管网、给水管网、防渗旱厕、生活垃圾收集设施均已建成，可满足本项目的生产需要。因此，项目依托厂区供电管网、给水管网、防渗旱厕、生活垃圾收集设施可行。</w:t>
            </w:r>
          </w:p>
          <w:p w14:paraId="16BE461C">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（2）洗车平台及车辆清洗废水处理处理措施依托可行性</w:t>
            </w:r>
          </w:p>
          <w:p w14:paraId="270EA088">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根据现场调查，厂区内洗车平台已建设完成，洗车平台设置3个清洗台，设置1座三级沉淀池，抗渗混凝土结构（总容积80m</w:t>
            </w:r>
            <w:r>
              <w:rPr>
                <w:rFonts w:eastAsia="宋体"/>
                <w:color w:val="000000" w:themeColor="text1"/>
                <w:kern w:val="0"/>
                <w:vertAlign w:val="superscript"/>
                <w14:textFill>
                  <w14:solidFill>
                    <w14:schemeClr w14:val="tx1"/>
                  </w14:solidFill>
                </w14:textFill>
              </w:rPr>
              <w:t>3</w:t>
            </w:r>
            <w:r>
              <w:rPr>
                <w:rFonts w:eastAsia="宋体"/>
                <w:color w:val="000000" w:themeColor="text1"/>
                <w:kern w:val="0"/>
                <w14:textFill>
                  <w14:solidFill>
                    <w14:schemeClr w14:val="tx1"/>
                  </w14:solidFill>
                </w14:textFill>
              </w:rPr>
              <w:t>），洗车废水经砂石分离机预处理后再经三级沉淀池沉淀处理，最终全部回用于混凝土搅拌，不外排。原有项目清洗运输车辆103次/d，洗车冲洗废水产生量为32.96m</w:t>
            </w:r>
            <w:r>
              <w:rPr>
                <w:rFonts w:eastAsia="宋体"/>
                <w:color w:val="000000" w:themeColor="text1"/>
                <w:kern w:val="0"/>
                <w:vertAlign w:val="superscript"/>
                <w14:textFill>
                  <w14:solidFill>
                    <w14:schemeClr w14:val="tx1"/>
                  </w14:solidFill>
                </w14:textFill>
              </w:rPr>
              <w:t>3</w:t>
            </w:r>
            <w:r>
              <w:rPr>
                <w:rFonts w:eastAsia="宋体"/>
                <w:color w:val="000000" w:themeColor="text1"/>
                <w:kern w:val="0"/>
                <w14:textFill>
                  <w14:solidFill>
                    <w14:schemeClr w14:val="tx1"/>
                  </w14:solidFill>
                </w14:textFill>
              </w:rPr>
              <w:t>/d，沉淀池尚有47.04m</w:t>
            </w:r>
            <w:r>
              <w:rPr>
                <w:rFonts w:eastAsia="宋体"/>
                <w:color w:val="000000" w:themeColor="text1"/>
                <w:kern w:val="0"/>
                <w:vertAlign w:val="superscript"/>
                <w14:textFill>
                  <w14:solidFill>
                    <w14:schemeClr w14:val="tx1"/>
                  </w14:solidFill>
                </w14:textFill>
              </w:rPr>
              <w:t>3</w:t>
            </w:r>
            <w:r>
              <w:rPr>
                <w:rFonts w:eastAsia="宋体"/>
                <w:color w:val="000000" w:themeColor="text1"/>
                <w:kern w:val="0"/>
                <w14:textFill>
                  <w14:solidFill>
                    <w14:schemeClr w14:val="tx1"/>
                  </w14:solidFill>
                </w14:textFill>
              </w:rPr>
              <w:t>/d的处理能力，本项目新增清洗运输车辆26次/d，洗车冲洗废水产生量为</w:t>
            </w:r>
            <w:r>
              <w:rPr>
                <w:rFonts w:eastAsia="宋体"/>
                <w:color w:val="000000" w:themeColor="text1"/>
                <w14:textFill>
                  <w14:solidFill>
                    <w14:schemeClr w14:val="tx1"/>
                  </w14:solidFill>
                </w14:textFill>
              </w:rPr>
              <w:t>8.32m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/d，</w:t>
            </w:r>
            <w:r>
              <w:rPr>
                <w:rFonts w:eastAsia="宋体"/>
                <w:color w:val="000000" w:themeColor="text1"/>
                <w:kern w:val="0"/>
                <w14:textFill>
                  <w14:solidFill>
                    <w14:schemeClr w14:val="tx1"/>
                  </w14:solidFill>
                </w14:textFill>
              </w:rPr>
              <w:t>新增量较少，未超过沉淀池的处理能力，依托可行。</w:t>
            </w:r>
          </w:p>
          <w:p w14:paraId="25214444">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（3）危险废物贮存点依托可行性</w:t>
            </w:r>
          </w:p>
          <w:p w14:paraId="53C7C034">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根据现场调查，厂区内危险废物贮存点已建设完成，占地面积5m²，主要用于存放废机油，设计最大贮存能力为1t，危险废物贮存点的建设满足《危险废物贮存污染控制标准》（GB18597-2023）中的相关要求。原有项目废机油产生量为0.05t/a，本项目废机油产生量为0.01t/a，属于危险废物贮存点接收的危险废物类别，且本项目废机油产生量较小，危险废物贮存点依托可行。</w:t>
            </w:r>
          </w:p>
          <w:p w14:paraId="6993FCC5">
            <w:pPr>
              <w:adjustRightInd w:val="0"/>
              <w:spacing w:line="360" w:lineRule="auto"/>
              <w:ind w:left="48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4、主要产品及产能</w:t>
            </w:r>
          </w:p>
          <w:p w14:paraId="6D5507E0">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表2-2                本项目产品及产能一览表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561"/>
              <w:gridCol w:w="1275"/>
              <w:gridCol w:w="4711"/>
            </w:tblGrid>
            <w:tr w14:paraId="48C5B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Align w:val="center"/>
                </w:tcPr>
                <w:p w14:paraId="721C154E">
                  <w:pPr>
                    <w:pStyle w:val="68"/>
                    <w:adjustRightInd/>
                    <w:snapToGrid/>
                    <w:spacing w:before="24" w:after="24"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序号</w:t>
                  </w:r>
                </w:p>
              </w:tc>
              <w:tc>
                <w:tcPr>
                  <w:tcW w:w="929" w:type="pct"/>
                  <w:vAlign w:val="center"/>
                </w:tcPr>
                <w:p w14:paraId="3A6A5822">
                  <w:pPr>
                    <w:pStyle w:val="68"/>
                    <w:adjustRightInd/>
                    <w:snapToGrid/>
                    <w:spacing w:before="24" w:after="24"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产品名称</w:t>
                  </w:r>
                </w:p>
              </w:tc>
              <w:tc>
                <w:tcPr>
                  <w:tcW w:w="759" w:type="pct"/>
                  <w:vAlign w:val="center"/>
                </w:tcPr>
                <w:p w14:paraId="1CC3E180">
                  <w:pPr>
                    <w:pStyle w:val="68"/>
                    <w:adjustRightInd/>
                    <w:snapToGrid/>
                    <w:spacing w:before="24" w:after="24"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数量</w:t>
                  </w:r>
                </w:p>
              </w:tc>
              <w:tc>
                <w:tcPr>
                  <w:tcW w:w="2805" w:type="pct"/>
                  <w:vAlign w:val="center"/>
                </w:tcPr>
                <w:p w14:paraId="47349F08">
                  <w:pPr>
                    <w:pStyle w:val="68"/>
                    <w:adjustRightInd/>
                    <w:snapToGrid/>
                    <w:spacing w:before="24" w:after="24"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备注</w:t>
                  </w:r>
                </w:p>
              </w:tc>
            </w:tr>
            <w:tr w14:paraId="6B171F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Align w:val="center"/>
                </w:tcPr>
                <w:p w14:paraId="653EA0E5">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c>
                <w:tcPr>
                  <w:tcW w:w="929" w:type="pct"/>
                  <w:vAlign w:val="center"/>
                </w:tcPr>
                <w:p w14:paraId="2EAF6F39">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石灰石粉</w:t>
                  </w:r>
                </w:p>
              </w:tc>
              <w:tc>
                <w:tcPr>
                  <w:tcW w:w="759" w:type="pct"/>
                  <w:vAlign w:val="center"/>
                </w:tcPr>
                <w:p w14:paraId="1B4AA51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30万t/a</w:t>
                  </w:r>
                </w:p>
              </w:tc>
              <w:tc>
                <w:tcPr>
                  <w:tcW w:w="2805" w:type="pct"/>
                  <w:vAlign w:val="center"/>
                </w:tcPr>
                <w:p w14:paraId="22CB44B2">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lang w:bidi="ar"/>
                      <w14:textFill>
                        <w14:solidFill>
                          <w14:schemeClr w14:val="tx1"/>
                        </w14:solidFill>
                      </w14:textFill>
                    </w:rPr>
                    <w:t>粒径小于0.6mm，作为脱硫剂外售</w:t>
                  </w:r>
                </w:p>
              </w:tc>
            </w:tr>
            <w:tr w14:paraId="2B4FB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Align w:val="center"/>
                </w:tcPr>
                <w:p w14:paraId="711E8738">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w:t>
                  </w:r>
                </w:p>
              </w:tc>
              <w:tc>
                <w:tcPr>
                  <w:tcW w:w="929" w:type="pct"/>
                  <w:vAlign w:val="center"/>
                </w:tcPr>
                <w:p w14:paraId="3B3666B5">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再生骨料</w:t>
                  </w:r>
                </w:p>
              </w:tc>
              <w:tc>
                <w:tcPr>
                  <w:tcW w:w="759" w:type="pct"/>
                  <w:vAlign w:val="center"/>
                </w:tcPr>
                <w:p w14:paraId="310EEED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3万t/a</w:t>
                  </w:r>
                </w:p>
              </w:tc>
              <w:tc>
                <w:tcPr>
                  <w:tcW w:w="2805" w:type="pct"/>
                  <w:vAlign w:val="center"/>
                </w:tcPr>
                <w:p w14:paraId="6EE03B4C">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粒径小于</w:t>
                  </w:r>
                  <w:r>
                    <w:rPr>
                      <w:rFonts w:hint="eastAsia" w:ascii="Times New Roman" w:eastAsia="宋体"/>
                      <w:color w:val="000000" w:themeColor="text1"/>
                      <w:sz w:val="21"/>
                      <w:szCs w:val="21"/>
                      <w14:textFill>
                        <w14:solidFill>
                          <w14:schemeClr w14:val="tx1"/>
                        </w14:solidFill>
                      </w14:textFill>
                    </w:rPr>
                    <w:t>1</w:t>
                  </w:r>
                  <w:r>
                    <w:rPr>
                      <w:rFonts w:ascii="Times New Roman" w:eastAsia="宋体"/>
                      <w:color w:val="000000" w:themeColor="text1"/>
                      <w:sz w:val="21"/>
                      <w:szCs w:val="21"/>
                      <w14:textFill>
                        <w14:solidFill>
                          <w14:schemeClr w14:val="tx1"/>
                        </w14:solidFill>
                      </w14:textFill>
                    </w:rPr>
                    <w:t>5mm，用混凝土类建筑垃圾生产，成品用于现有预拌混凝土生产线</w:t>
                  </w:r>
                </w:p>
              </w:tc>
            </w:tr>
            <w:tr w14:paraId="0AD5F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8" w:type="pct"/>
                  <w:vAlign w:val="center"/>
                </w:tcPr>
                <w:p w14:paraId="08C43463">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3</w:t>
                  </w:r>
                </w:p>
              </w:tc>
              <w:tc>
                <w:tcPr>
                  <w:tcW w:w="929" w:type="pct"/>
                  <w:vAlign w:val="center"/>
                </w:tcPr>
                <w:p w14:paraId="6A1A70CF">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再生水稳料</w:t>
                  </w:r>
                </w:p>
              </w:tc>
              <w:tc>
                <w:tcPr>
                  <w:tcW w:w="759" w:type="pct"/>
                  <w:vAlign w:val="center"/>
                </w:tcPr>
                <w:p w14:paraId="1366B3E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2万t/a</w:t>
                  </w:r>
                </w:p>
              </w:tc>
              <w:tc>
                <w:tcPr>
                  <w:tcW w:w="2805" w:type="pct"/>
                  <w:vAlign w:val="center"/>
                </w:tcPr>
                <w:p w14:paraId="22BEBFEF">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粒径小于</w:t>
                  </w:r>
                  <w:r>
                    <w:rPr>
                      <w:rFonts w:hint="eastAsia" w:ascii="Times New Roman" w:eastAsia="宋体"/>
                      <w:color w:val="000000" w:themeColor="text1"/>
                      <w:sz w:val="21"/>
                      <w:szCs w:val="21"/>
                      <w14:textFill>
                        <w14:solidFill>
                          <w14:schemeClr w14:val="tx1"/>
                        </w14:solidFill>
                      </w14:textFill>
                    </w:rPr>
                    <w:t>1</w:t>
                  </w:r>
                  <w:r>
                    <w:rPr>
                      <w:rFonts w:ascii="Times New Roman" w:eastAsia="宋体"/>
                      <w:color w:val="000000" w:themeColor="text1"/>
                      <w:sz w:val="21"/>
                      <w:szCs w:val="21"/>
                      <w14:textFill>
                        <w14:solidFill>
                          <w14:schemeClr w14:val="tx1"/>
                        </w14:solidFill>
                      </w14:textFill>
                    </w:rPr>
                    <w:t>5mm用，砖瓦砌块类、石材类建筑垃圾生产，成品外售</w:t>
                  </w:r>
                </w:p>
              </w:tc>
            </w:tr>
          </w:tbl>
          <w:p w14:paraId="68BAD86C">
            <w:pPr>
              <w:pStyle w:val="71"/>
              <w:adjustRightInd/>
              <w:spacing w:before="120" w:beforeLines="50"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扩建前后产品及产能变化情况见下表。</w:t>
            </w:r>
          </w:p>
          <w:p w14:paraId="616A2142">
            <w:pPr>
              <w:adjustRightInd w:val="0"/>
              <w:snapToGrid w:val="0"/>
              <w:ind w:firstLine="482" w:firstLineChars="200"/>
              <w:rPr>
                <w:rFonts w:eastAsiaTheme="minorEastAsia"/>
                <w:b/>
                <w:bCs/>
                <w:snapToGrid w:val="0"/>
                <w:color w:val="000000" w:themeColor="text1"/>
                <w:kern w:val="0"/>
                <w14:textFill>
                  <w14:solidFill>
                    <w14:schemeClr w14:val="tx1"/>
                  </w14:solidFill>
                </w14:textFill>
              </w:rPr>
            </w:pPr>
            <w:r>
              <w:rPr>
                <w:rFonts w:eastAsiaTheme="minorEastAsia"/>
                <w:b/>
                <w:bCs/>
                <w:snapToGrid w:val="0"/>
                <w:color w:val="000000" w:themeColor="text1"/>
                <w:kern w:val="0"/>
                <w14:textFill>
                  <w14:solidFill>
                    <w14:schemeClr w14:val="tx1"/>
                  </w14:solidFill>
                </w14:textFill>
              </w:rPr>
              <w:t>表2-3           扩建前后产品及产能变化情况一览表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7"/>
              <w:gridCol w:w="2070"/>
              <w:gridCol w:w="2127"/>
              <w:gridCol w:w="1702"/>
              <w:gridCol w:w="1734"/>
            </w:tblGrid>
            <w:tr w14:paraId="73B3A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7" w:type="pct"/>
                  <w:vAlign w:val="center"/>
                </w:tcPr>
                <w:p w14:paraId="3F8ACF92">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序号</w:t>
                  </w:r>
                </w:p>
              </w:tc>
              <w:tc>
                <w:tcPr>
                  <w:tcW w:w="1232" w:type="pct"/>
                  <w:vAlign w:val="center"/>
                </w:tcPr>
                <w:p w14:paraId="4B49F1C6">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产品名称</w:t>
                  </w:r>
                </w:p>
              </w:tc>
              <w:tc>
                <w:tcPr>
                  <w:tcW w:w="1266" w:type="pct"/>
                  <w:vAlign w:val="center"/>
                </w:tcPr>
                <w:p w14:paraId="6ECD1BAF">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原有项目设计产能</w:t>
                  </w:r>
                </w:p>
              </w:tc>
              <w:tc>
                <w:tcPr>
                  <w:tcW w:w="1013" w:type="pct"/>
                  <w:vAlign w:val="center"/>
                </w:tcPr>
                <w:p w14:paraId="4DABF1D9">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扩建后产能</w:t>
                  </w:r>
                </w:p>
              </w:tc>
              <w:tc>
                <w:tcPr>
                  <w:tcW w:w="1032" w:type="pct"/>
                  <w:vAlign w:val="center"/>
                </w:tcPr>
                <w:p w14:paraId="5869F39D">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变化量</w:t>
                  </w:r>
                </w:p>
              </w:tc>
            </w:tr>
            <w:tr w14:paraId="2405D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7" w:type="pct"/>
                  <w:vAlign w:val="center"/>
                </w:tcPr>
                <w:p w14:paraId="4E786B5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1232" w:type="pct"/>
                  <w:vAlign w:val="center"/>
                </w:tcPr>
                <w:p w14:paraId="7CBA6B86">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商品混凝土</w:t>
                  </w:r>
                </w:p>
              </w:tc>
              <w:tc>
                <w:tcPr>
                  <w:tcW w:w="1266" w:type="pct"/>
                  <w:vAlign w:val="center"/>
                </w:tcPr>
                <w:p w14:paraId="16BBF71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300000t/a</w:t>
                  </w:r>
                </w:p>
              </w:tc>
              <w:tc>
                <w:tcPr>
                  <w:tcW w:w="1013" w:type="pct"/>
                  <w:vAlign w:val="center"/>
                </w:tcPr>
                <w:p w14:paraId="4403915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300000t/a</w:t>
                  </w:r>
                </w:p>
              </w:tc>
              <w:tc>
                <w:tcPr>
                  <w:tcW w:w="1032" w:type="pct"/>
                  <w:vAlign w:val="center"/>
                </w:tcPr>
                <w:p w14:paraId="57EC6C5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4D8DB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7" w:type="pct"/>
                  <w:vAlign w:val="center"/>
                </w:tcPr>
                <w:p w14:paraId="0FC3257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1232" w:type="pct"/>
                  <w:vAlign w:val="center"/>
                </w:tcPr>
                <w:p w14:paraId="4C81A0F2">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石灰石粉</w:t>
                  </w:r>
                </w:p>
              </w:tc>
              <w:tc>
                <w:tcPr>
                  <w:tcW w:w="1266" w:type="pct"/>
                  <w:vAlign w:val="center"/>
                </w:tcPr>
                <w:p w14:paraId="240845C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3" w:type="pct"/>
                  <w:vAlign w:val="center"/>
                </w:tcPr>
                <w:p w14:paraId="6C6978F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300000t/a</w:t>
                  </w:r>
                </w:p>
              </w:tc>
              <w:tc>
                <w:tcPr>
                  <w:tcW w:w="1032" w:type="pct"/>
                  <w:vAlign w:val="center"/>
                </w:tcPr>
                <w:p w14:paraId="2551C8B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+300000t/a</w:t>
                  </w:r>
                </w:p>
              </w:tc>
            </w:tr>
            <w:tr w14:paraId="1C2B0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7" w:type="pct"/>
                  <w:vAlign w:val="center"/>
                </w:tcPr>
                <w:p w14:paraId="51C164BF">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1232" w:type="pct"/>
                  <w:vAlign w:val="center"/>
                </w:tcPr>
                <w:p w14:paraId="0342D3AC">
                  <w:pPr>
                    <w:widowControl/>
                    <w:jc w:val="center"/>
                    <w:textAlignment w:val="top"/>
                    <w:rPr>
                      <w:rFonts w:eastAsiaTheme="minorEastAsia"/>
                      <w:bCs/>
                      <w:color w:val="000000" w:themeColor="text1"/>
                      <w:kern w:val="0"/>
                      <w:sz w:val="21"/>
                      <w:szCs w:val="21"/>
                      <w:lang w:bidi="ar"/>
                      <w14:textFill>
                        <w14:solidFill>
                          <w14:schemeClr w14:val="tx1"/>
                        </w14:solidFill>
                      </w14:textFill>
                    </w:rPr>
                  </w:pPr>
                  <w:r>
                    <w:rPr>
                      <w:rFonts w:eastAsia="宋体"/>
                      <w:color w:val="000000" w:themeColor="text1"/>
                      <w:sz w:val="21"/>
                      <w:szCs w:val="21"/>
                      <w14:textFill>
                        <w14:solidFill>
                          <w14:schemeClr w14:val="tx1"/>
                        </w14:solidFill>
                      </w14:textFill>
                    </w:rPr>
                    <w:t>再生骨料</w:t>
                  </w:r>
                </w:p>
              </w:tc>
              <w:tc>
                <w:tcPr>
                  <w:tcW w:w="1266" w:type="pct"/>
                  <w:vAlign w:val="center"/>
                </w:tcPr>
                <w:p w14:paraId="35BF309F">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3" w:type="pct"/>
                  <w:vAlign w:val="center"/>
                </w:tcPr>
                <w:p w14:paraId="02B91404">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30000t/a</w:t>
                  </w:r>
                </w:p>
              </w:tc>
              <w:tc>
                <w:tcPr>
                  <w:tcW w:w="1032" w:type="pct"/>
                  <w:vAlign w:val="center"/>
                </w:tcPr>
                <w:p w14:paraId="1141962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+30000t/a</w:t>
                  </w:r>
                </w:p>
              </w:tc>
            </w:tr>
            <w:tr w14:paraId="6DF60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57" w:type="pct"/>
                  <w:vAlign w:val="center"/>
                </w:tcPr>
                <w:p w14:paraId="3922191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1232" w:type="pct"/>
                  <w:vAlign w:val="center"/>
                </w:tcPr>
                <w:p w14:paraId="6C2966BD">
                  <w:pPr>
                    <w:widowControl/>
                    <w:jc w:val="center"/>
                    <w:textAlignment w:val="top"/>
                    <w:rPr>
                      <w:rFonts w:eastAsiaTheme="minorEastAsia"/>
                      <w:bCs/>
                      <w:color w:val="000000" w:themeColor="text1"/>
                      <w:kern w:val="0"/>
                      <w:sz w:val="21"/>
                      <w:szCs w:val="21"/>
                      <w:lang w:bidi="ar"/>
                      <w14:textFill>
                        <w14:solidFill>
                          <w14:schemeClr w14:val="tx1"/>
                        </w14:solidFill>
                      </w14:textFill>
                    </w:rPr>
                  </w:pPr>
                  <w:r>
                    <w:rPr>
                      <w:rFonts w:eastAsia="宋体"/>
                      <w:color w:val="000000" w:themeColor="text1"/>
                      <w:sz w:val="21"/>
                      <w:szCs w:val="21"/>
                      <w14:textFill>
                        <w14:solidFill>
                          <w14:schemeClr w14:val="tx1"/>
                        </w14:solidFill>
                      </w14:textFill>
                    </w:rPr>
                    <w:t>再生水稳料</w:t>
                  </w:r>
                </w:p>
              </w:tc>
              <w:tc>
                <w:tcPr>
                  <w:tcW w:w="1266" w:type="pct"/>
                  <w:vAlign w:val="center"/>
                </w:tcPr>
                <w:p w14:paraId="0B574345">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13" w:type="pct"/>
                  <w:vAlign w:val="center"/>
                </w:tcPr>
                <w:p w14:paraId="2DBC630B">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20000t/a</w:t>
                  </w:r>
                </w:p>
              </w:tc>
              <w:tc>
                <w:tcPr>
                  <w:tcW w:w="1032" w:type="pct"/>
                  <w:vAlign w:val="center"/>
                </w:tcPr>
                <w:p w14:paraId="2F30609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+20000t/a</w:t>
                  </w:r>
                </w:p>
              </w:tc>
            </w:tr>
          </w:tbl>
          <w:p w14:paraId="6A36255B">
            <w:pPr>
              <w:pStyle w:val="4"/>
              <w:spacing w:before="120" w:beforeLines="50"/>
              <w:ind w:firstLine="482"/>
              <w:rPr>
                <w:color w:val="000000" w:themeColor="text1"/>
                <w14:textFill>
                  <w14:solidFill>
                    <w14:schemeClr w14:val="tx1"/>
                  </w14:solidFill>
                </w14:textFill>
              </w:rPr>
            </w:pPr>
            <w:r>
              <w:rPr>
                <w:color w:val="000000" w:themeColor="text1"/>
                <w14:textFill>
                  <w14:solidFill>
                    <w14:schemeClr w14:val="tx1"/>
                  </w14:solidFill>
                </w14:textFill>
              </w:rPr>
              <w:t>5、主要设备</w:t>
            </w:r>
          </w:p>
          <w:p w14:paraId="3A440427">
            <w:pPr>
              <w:pStyle w:val="71"/>
              <w:adjustRightInd/>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主要的生产设备见下表。</w:t>
            </w:r>
          </w:p>
          <w:p w14:paraId="5E601BD1">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表2-4                 工程主要设备一览表</w:t>
            </w:r>
          </w:p>
          <w:tbl>
            <w:tblPr>
              <w:tblStyle w:val="36"/>
              <w:tblW w:w="83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3533"/>
              <w:gridCol w:w="2410"/>
              <w:gridCol w:w="1734"/>
            </w:tblGrid>
            <w:tr w14:paraId="39511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2817FDFD">
                  <w:pPr>
                    <w:pStyle w:val="68"/>
                    <w:adjustRightInd/>
                    <w:snapToGrid/>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序号</w:t>
                  </w:r>
                </w:p>
              </w:tc>
              <w:tc>
                <w:tcPr>
                  <w:tcW w:w="3533" w:type="dxa"/>
                  <w:vAlign w:val="center"/>
                </w:tcPr>
                <w:p w14:paraId="3B779D51">
                  <w:pPr>
                    <w:pStyle w:val="68"/>
                    <w:adjustRightInd/>
                    <w:snapToGrid/>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设备名称</w:t>
                  </w:r>
                </w:p>
              </w:tc>
              <w:tc>
                <w:tcPr>
                  <w:tcW w:w="2410" w:type="dxa"/>
                  <w:vAlign w:val="center"/>
                </w:tcPr>
                <w:p w14:paraId="76DAEE0F">
                  <w:pPr>
                    <w:pStyle w:val="68"/>
                    <w:adjustRightInd/>
                    <w:snapToGrid/>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型号</w:t>
                  </w:r>
                </w:p>
              </w:tc>
              <w:tc>
                <w:tcPr>
                  <w:tcW w:w="1734" w:type="dxa"/>
                  <w:vAlign w:val="center"/>
                </w:tcPr>
                <w:p w14:paraId="47EBBA26">
                  <w:pPr>
                    <w:pStyle w:val="68"/>
                    <w:adjustRightInd/>
                    <w:snapToGrid/>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数量（台）</w:t>
                  </w:r>
                </w:p>
              </w:tc>
            </w:tr>
            <w:tr w14:paraId="38BC2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761F294D">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c>
                <w:tcPr>
                  <w:tcW w:w="3533" w:type="dxa"/>
                  <w:vAlign w:val="center"/>
                </w:tcPr>
                <w:p w14:paraId="248075EC">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欧版磨粉机</w:t>
                  </w:r>
                </w:p>
              </w:tc>
              <w:tc>
                <w:tcPr>
                  <w:tcW w:w="2410" w:type="dxa"/>
                  <w:vAlign w:val="center"/>
                </w:tcPr>
                <w:p w14:paraId="6F389774">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MTW198GN</w:t>
                  </w:r>
                </w:p>
              </w:tc>
              <w:tc>
                <w:tcPr>
                  <w:tcW w:w="1734" w:type="dxa"/>
                  <w:vAlign w:val="center"/>
                </w:tcPr>
                <w:p w14:paraId="69172A3C">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3</w:t>
                  </w:r>
                </w:p>
              </w:tc>
            </w:tr>
            <w:tr w14:paraId="35FC1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25E234DA">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w:t>
                  </w:r>
                </w:p>
              </w:tc>
              <w:tc>
                <w:tcPr>
                  <w:tcW w:w="3533" w:type="dxa"/>
                  <w:vAlign w:val="center"/>
                </w:tcPr>
                <w:p w14:paraId="72124A9C">
                  <w:pPr>
                    <w:spacing w:line="228"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刮板输送机</w:t>
                  </w:r>
                </w:p>
              </w:tc>
              <w:tc>
                <w:tcPr>
                  <w:tcW w:w="2410" w:type="dxa"/>
                  <w:vAlign w:val="center"/>
                </w:tcPr>
                <w:p w14:paraId="42C54473">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1734" w:type="dxa"/>
                  <w:vAlign w:val="center"/>
                </w:tcPr>
                <w:p w14:paraId="24DFBA55">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r>
            <w:tr w14:paraId="2C0AF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24291E3C">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3</w:t>
                  </w:r>
                </w:p>
              </w:tc>
              <w:tc>
                <w:tcPr>
                  <w:tcW w:w="3533" w:type="dxa"/>
                  <w:vAlign w:val="center"/>
                </w:tcPr>
                <w:p w14:paraId="5879B252">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板链提升机</w:t>
                  </w:r>
                </w:p>
              </w:tc>
              <w:tc>
                <w:tcPr>
                  <w:tcW w:w="2410" w:type="dxa"/>
                  <w:vAlign w:val="center"/>
                </w:tcPr>
                <w:p w14:paraId="4FBADB6A">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1734" w:type="dxa"/>
                  <w:vAlign w:val="center"/>
                </w:tcPr>
                <w:p w14:paraId="4E80535D">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r>
            <w:tr w14:paraId="167C0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3C05AD0E">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4</w:t>
                  </w:r>
                </w:p>
              </w:tc>
              <w:tc>
                <w:tcPr>
                  <w:tcW w:w="3533" w:type="dxa"/>
                  <w:vAlign w:val="center"/>
                </w:tcPr>
                <w:p w14:paraId="40CCC209">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石灰石粉罐仓</w:t>
                  </w:r>
                </w:p>
              </w:tc>
              <w:tc>
                <w:tcPr>
                  <w:tcW w:w="2410" w:type="dxa"/>
                  <w:vAlign w:val="center"/>
                </w:tcPr>
                <w:p w14:paraId="0A3CA5D8">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1000t</w:t>
                  </w:r>
                </w:p>
              </w:tc>
              <w:tc>
                <w:tcPr>
                  <w:tcW w:w="1734" w:type="dxa"/>
                  <w:vAlign w:val="center"/>
                </w:tcPr>
                <w:p w14:paraId="53B30963">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w:t>
                  </w:r>
                </w:p>
              </w:tc>
            </w:tr>
            <w:tr w14:paraId="03657F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2EC4197B">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5</w:t>
                  </w:r>
                </w:p>
              </w:tc>
              <w:tc>
                <w:tcPr>
                  <w:tcW w:w="3533" w:type="dxa"/>
                  <w:vAlign w:val="center"/>
                </w:tcPr>
                <w:p w14:paraId="34124BC4">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破碎机</w:t>
                  </w:r>
                </w:p>
              </w:tc>
              <w:tc>
                <w:tcPr>
                  <w:tcW w:w="2410" w:type="dxa"/>
                  <w:vAlign w:val="center"/>
                </w:tcPr>
                <w:p w14:paraId="3CF16E01">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PE600×900</w:t>
                  </w:r>
                </w:p>
              </w:tc>
              <w:tc>
                <w:tcPr>
                  <w:tcW w:w="1734" w:type="dxa"/>
                  <w:vAlign w:val="center"/>
                </w:tcPr>
                <w:p w14:paraId="1515E100">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r>
            <w:tr w14:paraId="0F266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42CF5369">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6</w:t>
                  </w:r>
                </w:p>
              </w:tc>
              <w:tc>
                <w:tcPr>
                  <w:tcW w:w="3533" w:type="dxa"/>
                  <w:vAlign w:val="center"/>
                </w:tcPr>
                <w:p w14:paraId="26BFB1E5">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振动筛</w:t>
                  </w:r>
                </w:p>
              </w:tc>
              <w:tc>
                <w:tcPr>
                  <w:tcW w:w="2410" w:type="dxa"/>
                  <w:vAlign w:val="center"/>
                </w:tcPr>
                <w:p w14:paraId="2318745C">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1734" w:type="dxa"/>
                  <w:vAlign w:val="center"/>
                </w:tcPr>
                <w:p w14:paraId="7C34C2E9">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r>
            <w:tr w14:paraId="5C15E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67CC30A4">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7</w:t>
                  </w:r>
                </w:p>
              </w:tc>
              <w:tc>
                <w:tcPr>
                  <w:tcW w:w="3533" w:type="dxa"/>
                  <w:vAlign w:val="center"/>
                </w:tcPr>
                <w:p w14:paraId="1F73013C">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给料机</w:t>
                  </w:r>
                </w:p>
              </w:tc>
              <w:tc>
                <w:tcPr>
                  <w:tcW w:w="2410" w:type="dxa"/>
                  <w:vAlign w:val="center"/>
                </w:tcPr>
                <w:p w14:paraId="1A0325BA">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1734" w:type="dxa"/>
                  <w:vAlign w:val="center"/>
                </w:tcPr>
                <w:p w14:paraId="05CB1CA0">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r>
            <w:tr w14:paraId="0CC26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4F63426F">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8</w:t>
                  </w:r>
                </w:p>
              </w:tc>
              <w:tc>
                <w:tcPr>
                  <w:tcW w:w="3533" w:type="dxa"/>
                  <w:vAlign w:val="center"/>
                </w:tcPr>
                <w:p w14:paraId="2DF87258">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输送带</w:t>
                  </w:r>
                </w:p>
              </w:tc>
              <w:tc>
                <w:tcPr>
                  <w:tcW w:w="2410" w:type="dxa"/>
                  <w:vAlign w:val="center"/>
                </w:tcPr>
                <w:p w14:paraId="2F476187">
                  <w:pPr>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1000型×24m</w:t>
                  </w:r>
                </w:p>
              </w:tc>
              <w:tc>
                <w:tcPr>
                  <w:tcW w:w="1734" w:type="dxa"/>
                  <w:vAlign w:val="center"/>
                </w:tcPr>
                <w:p w14:paraId="60753D6D">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r>
            <w:tr w14:paraId="25DAC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vAlign w:val="center"/>
                </w:tcPr>
                <w:p w14:paraId="26B59417">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9</w:t>
                  </w:r>
                </w:p>
              </w:tc>
              <w:tc>
                <w:tcPr>
                  <w:tcW w:w="3533" w:type="dxa"/>
                  <w:vAlign w:val="center"/>
                </w:tcPr>
                <w:p w14:paraId="1EFF0316">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工具车</w:t>
                  </w:r>
                </w:p>
              </w:tc>
              <w:tc>
                <w:tcPr>
                  <w:tcW w:w="2410" w:type="dxa"/>
                  <w:vAlign w:val="center"/>
                </w:tcPr>
                <w:p w14:paraId="38261678">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p>
              </w:tc>
              <w:tc>
                <w:tcPr>
                  <w:tcW w:w="1734" w:type="dxa"/>
                  <w:vAlign w:val="center"/>
                </w:tcPr>
                <w:p w14:paraId="2838CB44">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3</w:t>
                  </w:r>
                </w:p>
              </w:tc>
            </w:tr>
          </w:tbl>
          <w:p w14:paraId="55616BF1">
            <w:pPr>
              <w:adjustRightInd w:val="0"/>
              <w:snapToGrid w:val="0"/>
              <w:spacing w:line="360" w:lineRule="auto"/>
              <w:ind w:left="480"/>
              <w:rPr>
                <w:rFonts w:eastAsia="宋体"/>
                <w:color w:val="000000" w:themeColor="text1"/>
                <w14:textFill>
                  <w14:solidFill>
                    <w14:schemeClr w14:val="tx1"/>
                  </w14:solidFill>
                </w14:textFill>
              </w:rPr>
            </w:pPr>
            <w:r>
              <w:rPr>
                <w:rFonts w:eastAsia="宋体"/>
                <w:b/>
                <w:color w:val="000000" w:themeColor="text1"/>
                <w14:textFill>
                  <w14:solidFill>
                    <w14:schemeClr w14:val="tx1"/>
                  </w14:solidFill>
                </w14:textFill>
              </w:rPr>
              <w:t>6、主要原辅材料的种类和用量</w:t>
            </w:r>
          </w:p>
          <w:p w14:paraId="6AC14FDC">
            <w:pPr>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本项目主要原辅材料的种类和用量见下表。</w:t>
            </w:r>
          </w:p>
          <w:p w14:paraId="1576EEAB">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表2-5        本项目主要原辅材料的种类和用量一览表        单位t/a</w:t>
            </w:r>
          </w:p>
          <w:tbl>
            <w:tblPr>
              <w:tblStyle w:val="36"/>
              <w:tblW w:w="839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84"/>
              <w:gridCol w:w="1134"/>
              <w:gridCol w:w="1418"/>
              <w:gridCol w:w="1429"/>
              <w:gridCol w:w="3425"/>
            </w:tblGrid>
            <w:tr w14:paraId="2AD66A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4" w:type="dxa"/>
                  <w:tcBorders>
                    <w:tl2br w:val="nil"/>
                    <w:tr2bl w:val="nil"/>
                  </w:tcBorders>
                  <w:shd w:val="clear" w:color="auto" w:fill="auto"/>
                  <w:vAlign w:val="center"/>
                </w:tcPr>
                <w:p w14:paraId="0EAEE21A">
                  <w:pPr>
                    <w:widowControl/>
                    <w:jc w:val="center"/>
                    <w:textAlignment w:val="center"/>
                    <w:rPr>
                      <w:rFonts w:eastAsia="宋体"/>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类别</w:t>
                  </w:r>
                </w:p>
              </w:tc>
              <w:tc>
                <w:tcPr>
                  <w:tcW w:w="1134" w:type="dxa"/>
                  <w:tcBorders>
                    <w:tl2br w:val="nil"/>
                    <w:tr2bl w:val="nil"/>
                  </w:tcBorders>
                  <w:shd w:val="clear" w:color="auto" w:fill="auto"/>
                  <w:vAlign w:val="center"/>
                </w:tcPr>
                <w:p w14:paraId="6624B9F6">
                  <w:pPr>
                    <w:widowControl/>
                    <w:jc w:val="center"/>
                    <w:textAlignment w:val="center"/>
                    <w:rPr>
                      <w:rFonts w:eastAsia="宋体"/>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名称</w:t>
                  </w:r>
                </w:p>
              </w:tc>
              <w:tc>
                <w:tcPr>
                  <w:tcW w:w="1418" w:type="dxa"/>
                  <w:tcBorders>
                    <w:tl2br w:val="nil"/>
                    <w:tr2bl w:val="nil"/>
                  </w:tcBorders>
                  <w:shd w:val="clear" w:color="auto" w:fill="auto"/>
                  <w:vAlign w:val="center"/>
                </w:tcPr>
                <w:p w14:paraId="29FF0D40">
                  <w:pPr>
                    <w:widowControl/>
                    <w:jc w:val="center"/>
                    <w:textAlignment w:val="center"/>
                    <w:rPr>
                      <w:rFonts w:eastAsia="宋体"/>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年消耗量</w:t>
                  </w:r>
                </w:p>
              </w:tc>
              <w:tc>
                <w:tcPr>
                  <w:tcW w:w="1429" w:type="dxa"/>
                  <w:tcBorders>
                    <w:tl2br w:val="nil"/>
                    <w:tr2bl w:val="nil"/>
                  </w:tcBorders>
                  <w:shd w:val="clear" w:color="auto" w:fill="auto"/>
                  <w:vAlign w:val="center"/>
                </w:tcPr>
                <w:p w14:paraId="38AC25E5">
                  <w:pPr>
                    <w:widowControl/>
                    <w:jc w:val="center"/>
                    <w:textAlignment w:val="center"/>
                    <w:rPr>
                      <w:rFonts w:eastAsia="宋体"/>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来源</w:t>
                  </w:r>
                </w:p>
              </w:tc>
              <w:tc>
                <w:tcPr>
                  <w:tcW w:w="3425" w:type="dxa"/>
                  <w:tcBorders>
                    <w:tl2br w:val="nil"/>
                    <w:tr2bl w:val="nil"/>
                  </w:tcBorders>
                  <w:shd w:val="clear" w:color="auto" w:fill="auto"/>
                  <w:vAlign w:val="center"/>
                </w:tcPr>
                <w:p w14:paraId="3F368D45">
                  <w:pPr>
                    <w:widowControl/>
                    <w:jc w:val="center"/>
                    <w:textAlignment w:val="center"/>
                    <w:rPr>
                      <w:rFonts w:eastAsia="宋体"/>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备注</w:t>
                  </w:r>
                </w:p>
              </w:tc>
            </w:tr>
            <w:tr w14:paraId="6FCDB0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4" w:type="dxa"/>
                  <w:vMerge w:val="restart"/>
                  <w:tcBorders>
                    <w:tl2br w:val="nil"/>
                    <w:tr2bl w:val="nil"/>
                  </w:tcBorders>
                  <w:shd w:val="clear" w:color="auto" w:fill="auto"/>
                  <w:vAlign w:val="center"/>
                </w:tcPr>
                <w:p w14:paraId="7EAF7AB1">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原辅材料</w:t>
                  </w:r>
                </w:p>
              </w:tc>
              <w:tc>
                <w:tcPr>
                  <w:tcW w:w="1134" w:type="dxa"/>
                  <w:tcBorders>
                    <w:tl2br w:val="nil"/>
                    <w:tr2bl w:val="nil"/>
                  </w:tcBorders>
                  <w:shd w:val="clear" w:color="auto" w:fill="auto"/>
                  <w:vAlign w:val="center"/>
                </w:tcPr>
                <w:p w14:paraId="2D02CFD0">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石灰石</w:t>
                  </w:r>
                </w:p>
              </w:tc>
              <w:tc>
                <w:tcPr>
                  <w:tcW w:w="1418" w:type="dxa"/>
                  <w:tcBorders>
                    <w:tl2br w:val="nil"/>
                    <w:tr2bl w:val="nil"/>
                  </w:tcBorders>
                  <w:shd w:val="clear" w:color="auto" w:fill="auto"/>
                  <w:vAlign w:val="center"/>
                </w:tcPr>
                <w:p w14:paraId="5FEB2D9C">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300000</w:t>
                  </w:r>
                </w:p>
              </w:tc>
              <w:tc>
                <w:tcPr>
                  <w:tcW w:w="1429" w:type="dxa"/>
                  <w:vMerge w:val="restart"/>
                  <w:tcBorders>
                    <w:tl2br w:val="nil"/>
                    <w:tr2bl w:val="nil"/>
                  </w:tcBorders>
                  <w:shd w:val="clear" w:color="auto" w:fill="auto"/>
                  <w:vAlign w:val="center"/>
                </w:tcPr>
                <w:p w14:paraId="5C41ABB6">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外购</w:t>
                  </w:r>
                </w:p>
              </w:tc>
              <w:tc>
                <w:tcPr>
                  <w:tcW w:w="3425" w:type="dxa"/>
                  <w:tcBorders>
                    <w:tl2br w:val="nil"/>
                    <w:tr2bl w:val="nil"/>
                  </w:tcBorders>
                  <w:shd w:val="clear" w:color="auto" w:fill="auto"/>
                  <w:vAlign w:val="center"/>
                </w:tcPr>
                <w:p w14:paraId="5E65507D">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粒径为0.5~3cm，主要成分为CaCO</w:t>
                  </w:r>
                  <w:r>
                    <w:rPr>
                      <w:rFonts w:eastAsia="宋体"/>
                      <w:color w:val="000000" w:themeColor="text1"/>
                      <w:kern w:val="0"/>
                      <w:sz w:val="21"/>
                      <w:szCs w:val="21"/>
                      <w:vertAlign w:val="subscript"/>
                      <w:lang w:bidi="ar"/>
                      <w14:textFill>
                        <w14:solidFill>
                          <w14:schemeClr w14:val="tx1"/>
                        </w14:solidFill>
                      </w14:textFill>
                    </w:rPr>
                    <w:t>3</w:t>
                  </w:r>
                  <w:r>
                    <w:rPr>
                      <w:rStyle w:val="160"/>
                      <w:rFonts w:hint="default" w:ascii="Times New Roman" w:hAnsi="Times New Roman" w:cs="Times New Roman"/>
                      <w:color w:val="000000" w:themeColor="text1"/>
                      <w:lang w:bidi="ar"/>
                      <w14:textFill>
                        <w14:solidFill>
                          <w14:schemeClr w14:val="tx1"/>
                        </w14:solidFill>
                      </w14:textFill>
                    </w:rPr>
                    <w:t>、</w:t>
                  </w:r>
                  <w:r>
                    <w:rPr>
                      <w:rFonts w:eastAsia="宋体"/>
                      <w:color w:val="000000" w:themeColor="text1"/>
                      <w:kern w:val="0"/>
                      <w:sz w:val="21"/>
                      <w:szCs w:val="21"/>
                      <w:lang w:bidi="ar"/>
                      <w14:textFill>
                        <w14:solidFill>
                          <w14:schemeClr w14:val="tx1"/>
                        </w14:solidFill>
                      </w14:textFill>
                    </w:rPr>
                    <w:t>SiO</w:t>
                  </w:r>
                  <w:r>
                    <w:rPr>
                      <w:rFonts w:eastAsia="宋体"/>
                      <w:color w:val="000000" w:themeColor="text1"/>
                      <w:kern w:val="0"/>
                      <w:sz w:val="21"/>
                      <w:szCs w:val="21"/>
                      <w:vertAlign w:val="subscript"/>
                      <w:lang w:bidi="ar"/>
                      <w14:textFill>
                        <w14:solidFill>
                          <w14:schemeClr w14:val="tx1"/>
                        </w14:solidFill>
                      </w14:textFill>
                    </w:rPr>
                    <w:t>2</w:t>
                  </w:r>
                  <w:r>
                    <w:rPr>
                      <w:rStyle w:val="160"/>
                      <w:rFonts w:hint="default" w:ascii="Times New Roman" w:hAnsi="Times New Roman" w:cs="Times New Roman"/>
                      <w:color w:val="000000" w:themeColor="text1"/>
                      <w:lang w:bidi="ar"/>
                      <w14:textFill>
                        <w14:solidFill>
                          <w14:schemeClr w14:val="tx1"/>
                        </w14:solidFill>
                      </w14:textFill>
                    </w:rPr>
                    <w:t>等</w:t>
                  </w:r>
                </w:p>
              </w:tc>
            </w:tr>
            <w:tr w14:paraId="3120D9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4" w:type="dxa"/>
                  <w:vMerge w:val="continue"/>
                  <w:tcBorders>
                    <w:tl2br w:val="nil"/>
                    <w:tr2bl w:val="nil"/>
                  </w:tcBorders>
                  <w:shd w:val="clear" w:color="auto" w:fill="auto"/>
                  <w:vAlign w:val="center"/>
                </w:tcPr>
                <w:p w14:paraId="40F5A6A7">
                  <w:pPr>
                    <w:jc w:val="center"/>
                    <w:rPr>
                      <w:rFonts w:eastAsia="宋体"/>
                      <w:color w:val="000000" w:themeColor="text1"/>
                      <w:spacing w:val="3"/>
                      <w:sz w:val="21"/>
                      <w:szCs w:val="21"/>
                      <w14:textFill>
                        <w14:solidFill>
                          <w14:schemeClr w14:val="tx1"/>
                        </w14:solidFill>
                      </w14:textFill>
                    </w:rPr>
                  </w:pPr>
                </w:p>
              </w:tc>
              <w:tc>
                <w:tcPr>
                  <w:tcW w:w="1134" w:type="dxa"/>
                  <w:tcBorders>
                    <w:tl2br w:val="nil"/>
                    <w:tr2bl w:val="nil"/>
                  </w:tcBorders>
                  <w:shd w:val="clear" w:color="auto" w:fill="auto"/>
                  <w:vAlign w:val="center"/>
                </w:tcPr>
                <w:p w14:paraId="2B072DE9">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建筑垃圾</w:t>
                  </w:r>
                </w:p>
              </w:tc>
              <w:tc>
                <w:tcPr>
                  <w:tcW w:w="1418" w:type="dxa"/>
                  <w:tcBorders>
                    <w:tl2br w:val="nil"/>
                    <w:tr2bl w:val="nil"/>
                  </w:tcBorders>
                  <w:shd w:val="clear" w:color="auto" w:fill="auto"/>
                  <w:vAlign w:val="center"/>
                </w:tcPr>
                <w:p w14:paraId="4D7903EF">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50050</w:t>
                  </w:r>
                </w:p>
              </w:tc>
              <w:tc>
                <w:tcPr>
                  <w:tcW w:w="1429" w:type="dxa"/>
                  <w:vMerge w:val="continue"/>
                  <w:tcBorders>
                    <w:tl2br w:val="nil"/>
                    <w:tr2bl w:val="nil"/>
                  </w:tcBorders>
                  <w:shd w:val="clear" w:color="auto" w:fill="auto"/>
                  <w:vAlign w:val="center"/>
                </w:tcPr>
                <w:p w14:paraId="3698BBD2">
                  <w:pPr>
                    <w:jc w:val="center"/>
                    <w:rPr>
                      <w:rFonts w:eastAsia="宋体"/>
                      <w:color w:val="000000" w:themeColor="text1"/>
                      <w:spacing w:val="3"/>
                      <w:sz w:val="21"/>
                      <w:szCs w:val="21"/>
                      <w14:textFill>
                        <w14:solidFill>
                          <w14:schemeClr w14:val="tx1"/>
                        </w14:solidFill>
                      </w14:textFill>
                    </w:rPr>
                  </w:pPr>
                </w:p>
              </w:tc>
              <w:tc>
                <w:tcPr>
                  <w:tcW w:w="3425" w:type="dxa"/>
                  <w:tcBorders>
                    <w:tl2br w:val="nil"/>
                    <w:tr2bl w:val="nil"/>
                  </w:tcBorders>
                  <w:shd w:val="clear" w:color="auto" w:fill="auto"/>
                  <w:vAlign w:val="center"/>
                </w:tcPr>
                <w:p w14:paraId="1C6A3285">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主要混凝土类、砖瓦砌块类、石材类</w:t>
                  </w:r>
                </w:p>
              </w:tc>
            </w:tr>
            <w:tr w14:paraId="7C14A7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3" w:hRule="atLeast"/>
                <w:jc w:val="center"/>
              </w:trPr>
              <w:tc>
                <w:tcPr>
                  <w:tcW w:w="984" w:type="dxa"/>
                  <w:tcBorders>
                    <w:tl2br w:val="nil"/>
                    <w:tr2bl w:val="nil"/>
                  </w:tcBorders>
                  <w:shd w:val="clear" w:color="auto" w:fill="auto"/>
                  <w:vAlign w:val="center"/>
                </w:tcPr>
                <w:p w14:paraId="0887879B">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能耗</w:t>
                  </w:r>
                </w:p>
              </w:tc>
              <w:tc>
                <w:tcPr>
                  <w:tcW w:w="1134" w:type="dxa"/>
                  <w:tcBorders>
                    <w:tl2br w:val="nil"/>
                    <w:tr2bl w:val="nil"/>
                  </w:tcBorders>
                  <w:shd w:val="clear" w:color="auto" w:fill="auto"/>
                  <w:vAlign w:val="center"/>
                </w:tcPr>
                <w:p w14:paraId="5269F915">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电</w:t>
                  </w:r>
                </w:p>
              </w:tc>
              <w:tc>
                <w:tcPr>
                  <w:tcW w:w="1418" w:type="dxa"/>
                  <w:tcBorders>
                    <w:tl2br w:val="nil"/>
                    <w:tr2bl w:val="nil"/>
                  </w:tcBorders>
                  <w:shd w:val="clear" w:color="auto" w:fill="auto"/>
                  <w:vAlign w:val="center"/>
                </w:tcPr>
                <w:p w14:paraId="4685882D">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14.75</w:t>
                  </w:r>
                  <w:r>
                    <w:rPr>
                      <w:rStyle w:val="160"/>
                      <w:rFonts w:hint="default" w:ascii="Times New Roman" w:hAnsi="Times New Roman" w:cs="Times New Roman"/>
                      <w:color w:val="000000" w:themeColor="text1"/>
                      <w:lang w:bidi="ar"/>
                      <w14:textFill>
                        <w14:solidFill>
                          <w14:schemeClr w14:val="tx1"/>
                        </w14:solidFill>
                      </w14:textFill>
                    </w:rPr>
                    <w:t>万</w:t>
                  </w:r>
                  <w:r>
                    <w:rPr>
                      <w:rFonts w:eastAsia="宋体"/>
                      <w:color w:val="000000" w:themeColor="text1"/>
                      <w:kern w:val="0"/>
                      <w:sz w:val="21"/>
                      <w:szCs w:val="21"/>
                      <w:lang w:bidi="ar"/>
                      <w14:textFill>
                        <w14:solidFill>
                          <w14:schemeClr w14:val="tx1"/>
                        </w14:solidFill>
                      </w14:textFill>
                    </w:rPr>
                    <w:t>kW.h</w:t>
                  </w:r>
                </w:p>
              </w:tc>
              <w:tc>
                <w:tcPr>
                  <w:tcW w:w="1429" w:type="dxa"/>
                  <w:tcBorders>
                    <w:tl2br w:val="nil"/>
                    <w:tr2bl w:val="nil"/>
                  </w:tcBorders>
                  <w:shd w:val="clear" w:color="auto" w:fill="auto"/>
                  <w:vAlign w:val="center"/>
                </w:tcPr>
                <w:p w14:paraId="0BC5EF42">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市政电网</w:t>
                  </w:r>
                </w:p>
              </w:tc>
              <w:tc>
                <w:tcPr>
                  <w:tcW w:w="3425" w:type="dxa"/>
                  <w:tcBorders>
                    <w:tl2br w:val="nil"/>
                    <w:tr2bl w:val="nil"/>
                  </w:tcBorders>
                  <w:shd w:val="clear" w:color="auto" w:fill="auto"/>
                  <w:vAlign w:val="center"/>
                </w:tcPr>
                <w:p w14:paraId="43786056">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w:t>
                  </w:r>
                </w:p>
              </w:tc>
            </w:tr>
            <w:tr w14:paraId="51A833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4" w:type="dxa"/>
                  <w:tcBorders>
                    <w:tl2br w:val="nil"/>
                    <w:tr2bl w:val="nil"/>
                  </w:tcBorders>
                  <w:shd w:val="clear" w:color="auto" w:fill="auto"/>
                  <w:vAlign w:val="center"/>
                </w:tcPr>
                <w:p w14:paraId="3F61EEB6">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水耗</w:t>
                  </w:r>
                </w:p>
              </w:tc>
              <w:tc>
                <w:tcPr>
                  <w:tcW w:w="1134" w:type="dxa"/>
                  <w:tcBorders>
                    <w:tl2br w:val="nil"/>
                    <w:tr2bl w:val="nil"/>
                  </w:tcBorders>
                  <w:shd w:val="clear" w:color="auto" w:fill="auto"/>
                  <w:vAlign w:val="center"/>
                </w:tcPr>
                <w:p w14:paraId="2B0FA4A5">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新鲜水</w:t>
                  </w:r>
                </w:p>
              </w:tc>
              <w:tc>
                <w:tcPr>
                  <w:tcW w:w="1418" w:type="dxa"/>
                  <w:tcBorders>
                    <w:tl2br w:val="nil"/>
                    <w:tr2bl w:val="nil"/>
                  </w:tcBorders>
                  <w:shd w:val="clear" w:color="auto" w:fill="auto"/>
                  <w:vAlign w:val="center"/>
                </w:tcPr>
                <w:p w14:paraId="122C1055">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spacing w:val="3"/>
                      <w:sz w:val="21"/>
                      <w:szCs w:val="21"/>
                      <w14:textFill>
                        <w14:solidFill>
                          <w14:schemeClr w14:val="tx1"/>
                        </w14:solidFill>
                      </w14:textFill>
                    </w:rPr>
                    <w:t>10740</w:t>
                  </w:r>
                </w:p>
              </w:tc>
              <w:tc>
                <w:tcPr>
                  <w:tcW w:w="1429" w:type="dxa"/>
                  <w:tcBorders>
                    <w:tl2br w:val="nil"/>
                    <w:tr2bl w:val="nil"/>
                  </w:tcBorders>
                  <w:shd w:val="clear" w:color="auto" w:fill="auto"/>
                  <w:vAlign w:val="center"/>
                </w:tcPr>
                <w:p w14:paraId="3F7B3DCF">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王洼煤矿矿井再生水</w:t>
                  </w:r>
                </w:p>
              </w:tc>
              <w:tc>
                <w:tcPr>
                  <w:tcW w:w="3425" w:type="dxa"/>
                  <w:tcBorders>
                    <w:tl2br w:val="nil"/>
                    <w:tr2bl w:val="nil"/>
                  </w:tcBorders>
                  <w:shd w:val="clear" w:color="auto" w:fill="auto"/>
                  <w:vAlign w:val="center"/>
                </w:tcPr>
                <w:p w14:paraId="75FEF920">
                  <w:pPr>
                    <w:widowControl/>
                    <w:jc w:val="center"/>
                    <w:textAlignment w:val="center"/>
                    <w:rPr>
                      <w:rFonts w:eastAsia="宋体"/>
                      <w:color w:val="000000" w:themeColor="text1"/>
                      <w:spacing w:val="3"/>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w:t>
                  </w:r>
                </w:p>
              </w:tc>
            </w:tr>
          </w:tbl>
          <w:p w14:paraId="6F2BC1D1">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本项目生产所需的建筑垃圾主要为彭阳县美丽乡村建设及周边道路修建、建筑施工、建筑拆除等过程中经过初选的建筑垃圾，由产生单位负责运输。入场前要求剔除危险废物、生活垃圾、易燃易爆物品，表面不得附着泥土、渣土，确保废料表面洁净，具体收集类别如下：</w:t>
            </w:r>
          </w:p>
          <w:p w14:paraId="212496DB">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A、混凝土类</w:t>
            </w:r>
          </w:p>
          <w:p w14:paraId="13BC122C">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混凝土：废弃素混凝土块、梁柱、楼板、地坪、基础混凝土。</w:t>
            </w:r>
          </w:p>
          <w:p w14:paraId="16F721DB">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预制混凝土构件：混凝土路沿石、雨水篦子、排水管、沟盖板、混凝土桩干净无杂质混凝土碎料。</w:t>
            </w:r>
          </w:p>
          <w:p w14:paraId="5A955895">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B、砖瓦砌块类</w:t>
            </w:r>
          </w:p>
          <w:p w14:paraId="2E742B70">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烧结砖：红砖、青砖、多孔砖、空心砖、煤矸石砖。</w:t>
            </w:r>
          </w:p>
          <w:p w14:paraId="39B34353">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水泥砖、加气混凝土砌块、粉煤灰砖、混凝土小型空心砌块。</w:t>
            </w:r>
          </w:p>
          <w:p w14:paraId="2D2AA69D">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瓦类：陶瓦、水泥瓦、琉璃瓦碎片。</w:t>
            </w:r>
          </w:p>
          <w:p w14:paraId="274B801B">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C、石材类</w:t>
            </w:r>
          </w:p>
          <w:p w14:paraId="743A929C">
            <w:pPr>
              <w:pStyle w:val="145"/>
              <w:spacing w:line="360" w:lineRule="auto"/>
              <w:ind w:firstLine="476" w:firstLineChars="200"/>
              <w:rPr>
                <w:rFonts w:ascii="Times New Roman" w:hAnsi="Times New Roman" w:eastAsia="宋体" w:cs="Times New Roman"/>
                <w:color w:val="000000" w:themeColor="text1"/>
                <w:spacing w:val="-1"/>
                <w:lang w:eastAsia="zh-CN"/>
                <w14:textFill>
                  <w14:solidFill>
                    <w14:schemeClr w14:val="tx1"/>
                  </w14:solidFill>
                </w14:textFill>
              </w:rPr>
            </w:pPr>
            <w:r>
              <w:rPr>
                <w:rFonts w:ascii="Times New Roman" w:hAnsi="Times New Roman" w:eastAsia="宋体" w:cs="Times New Roman"/>
                <w:color w:val="000000" w:themeColor="text1"/>
                <w:spacing w:val="-1"/>
                <w:lang w:eastAsia="zh-CN"/>
                <w14:textFill>
                  <w14:solidFill>
                    <w14:schemeClr w14:val="tx1"/>
                  </w14:solidFill>
                </w14:textFill>
              </w:rPr>
              <w:t>天然石材废料：花岗岩、大理石、毛石、青石、碎石边角料石材切割碎料、路缘石、景观石材残件。</w:t>
            </w:r>
          </w:p>
          <w:p w14:paraId="4F44E452">
            <w:pPr>
              <w:pStyle w:val="65"/>
              <w:ind w:firstLine="472"/>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spacing w:val="-2"/>
                <w:lang w:eastAsia="zh-CN"/>
                <w14:textFill>
                  <w14:solidFill>
                    <w14:schemeClr w14:val="tx1"/>
                  </w14:solidFill>
                </w14:textFill>
              </w:rPr>
              <w:t>项目原辅材料特性及运输、储存方式见下表：</w:t>
            </w:r>
          </w:p>
          <w:p w14:paraId="20F80C16">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表2-6              原辅材料特性及运输、储存方式</w:t>
            </w:r>
          </w:p>
          <w:tbl>
            <w:tblPr>
              <w:tblStyle w:val="36"/>
              <w:tblW w:w="83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71"/>
              <w:gridCol w:w="1572"/>
              <w:gridCol w:w="1701"/>
              <w:gridCol w:w="1134"/>
              <w:gridCol w:w="709"/>
              <w:gridCol w:w="1134"/>
              <w:gridCol w:w="1170"/>
            </w:tblGrid>
            <w:tr w14:paraId="73F767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71" w:type="dxa"/>
                  <w:tcBorders>
                    <w:tl2br w:val="nil"/>
                    <w:tr2bl w:val="nil"/>
                  </w:tcBorders>
                  <w:shd w:val="clear" w:color="auto" w:fill="auto"/>
                  <w:vAlign w:val="center"/>
                </w:tcPr>
                <w:p w14:paraId="66F469DA">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2"/>
                      <w:sz w:val="21"/>
                      <w:szCs w:val="21"/>
                      <w14:textFill>
                        <w14:solidFill>
                          <w14:schemeClr w14:val="tx1"/>
                        </w14:solidFill>
                      </w14:textFill>
                    </w:rPr>
                    <w:t>名称</w:t>
                  </w:r>
                </w:p>
              </w:tc>
              <w:tc>
                <w:tcPr>
                  <w:tcW w:w="1572" w:type="dxa"/>
                  <w:tcBorders>
                    <w:tl2br w:val="nil"/>
                    <w:tr2bl w:val="nil"/>
                  </w:tcBorders>
                  <w:shd w:val="clear" w:color="auto" w:fill="auto"/>
                  <w:vAlign w:val="center"/>
                </w:tcPr>
                <w:p w14:paraId="498DC36F">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2"/>
                      <w:sz w:val="21"/>
                      <w:szCs w:val="21"/>
                      <w14:textFill>
                        <w14:solidFill>
                          <w14:schemeClr w14:val="tx1"/>
                        </w14:solidFill>
                      </w14:textFill>
                    </w:rPr>
                    <w:t>性质</w:t>
                  </w:r>
                </w:p>
              </w:tc>
              <w:tc>
                <w:tcPr>
                  <w:tcW w:w="1701" w:type="dxa"/>
                  <w:tcBorders>
                    <w:tl2br w:val="nil"/>
                    <w:tr2bl w:val="nil"/>
                  </w:tcBorders>
                  <w:shd w:val="clear" w:color="auto" w:fill="auto"/>
                  <w:vAlign w:val="center"/>
                </w:tcPr>
                <w:p w14:paraId="5E8F6119">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3"/>
                      <w:sz w:val="21"/>
                      <w:szCs w:val="21"/>
                      <w14:textFill>
                        <w14:solidFill>
                          <w14:schemeClr w14:val="tx1"/>
                        </w14:solidFill>
                      </w14:textFill>
                    </w:rPr>
                    <w:t>成分</w:t>
                  </w:r>
                </w:p>
              </w:tc>
              <w:tc>
                <w:tcPr>
                  <w:tcW w:w="1134" w:type="dxa"/>
                  <w:tcBorders>
                    <w:tl2br w:val="nil"/>
                    <w:tr2bl w:val="nil"/>
                  </w:tcBorders>
                  <w:shd w:val="clear" w:color="auto" w:fill="auto"/>
                  <w:vAlign w:val="center"/>
                </w:tcPr>
                <w:p w14:paraId="3D8CEBE0">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2"/>
                      <w:sz w:val="21"/>
                      <w:szCs w:val="21"/>
                      <w14:textFill>
                        <w14:solidFill>
                          <w14:schemeClr w14:val="tx1"/>
                        </w14:solidFill>
                      </w14:textFill>
                    </w:rPr>
                    <w:t>形态</w:t>
                  </w:r>
                </w:p>
              </w:tc>
              <w:tc>
                <w:tcPr>
                  <w:tcW w:w="709" w:type="dxa"/>
                  <w:tcBorders>
                    <w:tl2br w:val="nil"/>
                    <w:tr2bl w:val="nil"/>
                  </w:tcBorders>
                  <w:shd w:val="clear" w:color="auto" w:fill="auto"/>
                  <w:vAlign w:val="center"/>
                </w:tcPr>
                <w:p w14:paraId="6241CA83">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3"/>
                      <w:sz w:val="21"/>
                      <w:szCs w:val="21"/>
                      <w14:textFill>
                        <w14:solidFill>
                          <w14:schemeClr w14:val="tx1"/>
                        </w14:solidFill>
                      </w14:textFill>
                    </w:rPr>
                    <w:t>包装</w:t>
                  </w:r>
                </w:p>
              </w:tc>
              <w:tc>
                <w:tcPr>
                  <w:tcW w:w="1134" w:type="dxa"/>
                  <w:tcBorders>
                    <w:tl2br w:val="nil"/>
                    <w:tr2bl w:val="nil"/>
                  </w:tcBorders>
                  <w:shd w:val="clear" w:color="auto" w:fill="auto"/>
                  <w:vAlign w:val="center"/>
                </w:tcPr>
                <w:p w14:paraId="1102F123">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6"/>
                      <w:sz w:val="21"/>
                      <w:szCs w:val="21"/>
                      <w14:textFill>
                        <w14:solidFill>
                          <w14:schemeClr w14:val="tx1"/>
                        </w14:solidFill>
                      </w14:textFill>
                    </w:rPr>
                    <w:t>运输方式</w:t>
                  </w:r>
                </w:p>
              </w:tc>
              <w:tc>
                <w:tcPr>
                  <w:tcW w:w="1170" w:type="dxa"/>
                  <w:tcBorders>
                    <w:tl2br w:val="nil"/>
                    <w:tr2bl w:val="nil"/>
                  </w:tcBorders>
                  <w:shd w:val="clear" w:color="auto" w:fill="auto"/>
                  <w:vAlign w:val="center"/>
                </w:tcPr>
                <w:p w14:paraId="38E9949F">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6"/>
                      <w:sz w:val="21"/>
                      <w:szCs w:val="21"/>
                      <w14:textFill>
                        <w14:solidFill>
                          <w14:schemeClr w14:val="tx1"/>
                        </w14:solidFill>
                      </w14:textFill>
                    </w:rPr>
                    <w:t>储存方式</w:t>
                  </w:r>
                </w:p>
              </w:tc>
            </w:tr>
            <w:tr w14:paraId="338AFA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71" w:type="dxa"/>
                  <w:tcBorders>
                    <w:tl2br w:val="nil"/>
                    <w:tr2bl w:val="nil"/>
                  </w:tcBorders>
                  <w:shd w:val="clear" w:color="auto" w:fill="auto"/>
                  <w:vAlign w:val="center"/>
                </w:tcPr>
                <w:p w14:paraId="7549E413">
                  <w:pPr>
                    <w:jc w:val="center"/>
                    <w:rPr>
                      <w:rFonts w:eastAsia="宋体"/>
                      <w:color w:val="000000" w:themeColor="text1"/>
                      <w:sz w:val="21"/>
                      <w:szCs w:val="21"/>
                      <w14:textFill>
                        <w14:solidFill>
                          <w14:schemeClr w14:val="tx1"/>
                        </w14:solidFill>
                      </w14:textFill>
                    </w:rPr>
                  </w:pPr>
                  <w:r>
                    <w:rPr>
                      <w:rFonts w:eastAsia="宋体"/>
                      <w:color w:val="000000" w:themeColor="text1"/>
                      <w:spacing w:val="-5"/>
                      <w:sz w:val="21"/>
                      <w:szCs w:val="21"/>
                      <w14:textFill>
                        <w14:solidFill>
                          <w14:schemeClr w14:val="tx1"/>
                        </w14:solidFill>
                      </w14:textFill>
                    </w:rPr>
                    <w:t>石灰石</w:t>
                  </w:r>
                </w:p>
              </w:tc>
              <w:tc>
                <w:tcPr>
                  <w:tcW w:w="1572" w:type="dxa"/>
                  <w:tcBorders>
                    <w:tl2br w:val="nil"/>
                    <w:tr2bl w:val="nil"/>
                  </w:tcBorders>
                  <w:shd w:val="clear" w:color="auto" w:fill="auto"/>
                  <w:vAlign w:val="center"/>
                </w:tcPr>
                <w:p w14:paraId="2EBF99A0">
                  <w:pPr>
                    <w:jc w:val="center"/>
                    <w:rPr>
                      <w:rFonts w:eastAsia="宋体"/>
                      <w:color w:val="000000" w:themeColor="text1"/>
                      <w:sz w:val="21"/>
                      <w:szCs w:val="21"/>
                      <w14:textFill>
                        <w14:solidFill>
                          <w14:schemeClr w14:val="tx1"/>
                        </w14:solidFill>
                      </w14:textFill>
                    </w:rPr>
                  </w:pPr>
                  <w:r>
                    <w:rPr>
                      <w:rFonts w:eastAsia="宋体"/>
                      <w:color w:val="000000" w:themeColor="text1"/>
                      <w:spacing w:val="1"/>
                      <w:sz w:val="21"/>
                      <w:szCs w:val="21"/>
                      <w14:textFill>
                        <w14:solidFill>
                          <w14:schemeClr w14:val="tx1"/>
                        </w14:solidFill>
                      </w14:textFill>
                    </w:rPr>
                    <w:t>强度高、与水泥黏</w:t>
                  </w:r>
                  <w:r>
                    <w:rPr>
                      <w:rFonts w:eastAsia="宋体"/>
                      <w:color w:val="000000" w:themeColor="text1"/>
                      <w:spacing w:val="5"/>
                      <w:sz w:val="21"/>
                      <w:szCs w:val="21"/>
                      <w14:textFill>
                        <w14:solidFill>
                          <w14:schemeClr w14:val="tx1"/>
                        </w14:solidFill>
                      </w14:textFill>
                    </w:rPr>
                    <w:t>结性好</w:t>
                  </w:r>
                </w:p>
              </w:tc>
              <w:tc>
                <w:tcPr>
                  <w:tcW w:w="1701" w:type="dxa"/>
                  <w:tcBorders>
                    <w:tl2br w:val="nil"/>
                    <w:tr2bl w:val="nil"/>
                  </w:tcBorders>
                  <w:shd w:val="clear" w:color="auto" w:fill="auto"/>
                  <w:vAlign w:val="center"/>
                </w:tcPr>
                <w:p w14:paraId="0775582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CaCO</w:t>
                  </w:r>
                  <w:r>
                    <w:rPr>
                      <w:rFonts w:eastAsia="宋体"/>
                      <w:color w:val="000000" w:themeColor="text1"/>
                      <w:sz w:val="21"/>
                      <w:szCs w:val="21"/>
                      <w:vertAlign w:val="subscript"/>
                      <w14:textFill>
                        <w14:solidFill>
                          <w14:schemeClr w14:val="tx1"/>
                        </w14:solidFill>
                      </w14:textFill>
                    </w:rPr>
                    <w:t>3</w:t>
                  </w:r>
                  <w:r>
                    <w:rPr>
                      <w:rFonts w:eastAsia="宋体"/>
                      <w:color w:val="000000" w:themeColor="text1"/>
                      <w:spacing w:val="5"/>
                      <w:sz w:val="21"/>
                      <w:szCs w:val="21"/>
                      <w14:textFill>
                        <w14:solidFill>
                          <w14:schemeClr w14:val="tx1"/>
                        </w14:solidFill>
                      </w14:textFill>
                    </w:rPr>
                    <w:t>、</w:t>
                  </w:r>
                  <w:r>
                    <w:rPr>
                      <w:rFonts w:eastAsia="宋体"/>
                      <w:color w:val="000000" w:themeColor="text1"/>
                      <w:sz w:val="21"/>
                      <w:szCs w:val="21"/>
                      <w14:textFill>
                        <w14:solidFill>
                          <w14:schemeClr w14:val="tx1"/>
                        </w14:solidFill>
                      </w14:textFill>
                    </w:rPr>
                    <w:t>SiO</w:t>
                  </w:r>
                  <w:r>
                    <w:rPr>
                      <w:rFonts w:eastAsia="宋体"/>
                      <w:color w:val="000000" w:themeColor="text1"/>
                      <w:sz w:val="21"/>
                      <w:szCs w:val="21"/>
                      <w:vertAlign w:val="subscript"/>
                      <w14:textFill>
                        <w14:solidFill>
                          <w14:schemeClr w14:val="tx1"/>
                        </w14:solidFill>
                      </w14:textFill>
                    </w:rPr>
                    <w:t>2</w:t>
                  </w:r>
                  <w:r>
                    <w:rPr>
                      <w:rFonts w:eastAsia="宋体"/>
                      <w:color w:val="000000" w:themeColor="text1"/>
                      <w:spacing w:val="5"/>
                      <w:sz w:val="21"/>
                      <w:szCs w:val="21"/>
                      <w14:textFill>
                        <w14:solidFill>
                          <w14:schemeClr w14:val="tx1"/>
                        </w14:solidFill>
                      </w14:textFill>
                    </w:rPr>
                    <w:t>等</w:t>
                  </w:r>
                </w:p>
              </w:tc>
              <w:tc>
                <w:tcPr>
                  <w:tcW w:w="1134" w:type="dxa"/>
                  <w:tcBorders>
                    <w:tl2br w:val="nil"/>
                    <w:tr2bl w:val="nil"/>
                  </w:tcBorders>
                  <w:shd w:val="clear" w:color="auto" w:fill="auto"/>
                  <w:vAlign w:val="center"/>
                </w:tcPr>
                <w:p w14:paraId="3BC4BA5F">
                  <w:pPr>
                    <w:jc w:val="center"/>
                    <w:rPr>
                      <w:rFonts w:eastAsia="宋体"/>
                      <w:color w:val="000000" w:themeColor="text1"/>
                      <w:sz w:val="21"/>
                      <w:szCs w:val="21"/>
                      <w14:textFill>
                        <w14:solidFill>
                          <w14:schemeClr w14:val="tx1"/>
                        </w14:solidFill>
                      </w14:textFill>
                    </w:rPr>
                  </w:pPr>
                  <w:r>
                    <w:rPr>
                      <w:rFonts w:eastAsia="宋体"/>
                      <w:color w:val="000000" w:themeColor="text1"/>
                      <w:spacing w:val="5"/>
                      <w:sz w:val="21"/>
                      <w:szCs w:val="21"/>
                      <w14:textFill>
                        <w14:solidFill>
                          <w14:schemeClr w14:val="tx1"/>
                        </w14:solidFill>
                      </w14:textFill>
                    </w:rPr>
                    <w:t>不规则颗粒</w:t>
                  </w:r>
                </w:p>
              </w:tc>
              <w:tc>
                <w:tcPr>
                  <w:tcW w:w="709" w:type="dxa"/>
                  <w:tcBorders>
                    <w:tl2br w:val="nil"/>
                    <w:tr2bl w:val="nil"/>
                  </w:tcBorders>
                  <w:shd w:val="clear" w:color="auto" w:fill="auto"/>
                  <w:vAlign w:val="center"/>
                </w:tcPr>
                <w:p w14:paraId="052EAA4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无</w:t>
                  </w:r>
                </w:p>
              </w:tc>
              <w:tc>
                <w:tcPr>
                  <w:tcW w:w="1134" w:type="dxa"/>
                  <w:tcBorders>
                    <w:tl2br w:val="nil"/>
                    <w:tr2bl w:val="nil"/>
                  </w:tcBorders>
                  <w:shd w:val="clear" w:color="auto" w:fill="auto"/>
                  <w:vAlign w:val="center"/>
                </w:tcPr>
                <w:p w14:paraId="6A481301">
                  <w:pPr>
                    <w:jc w:val="center"/>
                    <w:rPr>
                      <w:rFonts w:eastAsia="宋体"/>
                      <w:color w:val="000000" w:themeColor="text1"/>
                      <w:sz w:val="21"/>
                      <w:szCs w:val="21"/>
                      <w14:textFill>
                        <w14:solidFill>
                          <w14:schemeClr w14:val="tx1"/>
                        </w14:solidFill>
                      </w14:textFill>
                    </w:rPr>
                  </w:pPr>
                  <w:r>
                    <w:rPr>
                      <w:rFonts w:eastAsia="宋体"/>
                      <w:color w:val="000000" w:themeColor="text1"/>
                      <w:spacing w:val="7"/>
                      <w:sz w:val="21"/>
                      <w:szCs w:val="21"/>
                      <w14:textFill>
                        <w14:solidFill>
                          <w14:schemeClr w14:val="tx1"/>
                        </w14:solidFill>
                      </w14:textFill>
                    </w:rPr>
                    <w:t>汽车运输</w:t>
                  </w:r>
                </w:p>
              </w:tc>
              <w:tc>
                <w:tcPr>
                  <w:tcW w:w="1170" w:type="dxa"/>
                  <w:tcBorders>
                    <w:tl2br w:val="nil"/>
                    <w:tr2bl w:val="nil"/>
                  </w:tcBorders>
                  <w:shd w:val="clear" w:color="auto" w:fill="auto"/>
                  <w:vAlign w:val="center"/>
                </w:tcPr>
                <w:p w14:paraId="6A0DEEB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石灰石料仓</w:t>
                  </w:r>
                </w:p>
              </w:tc>
            </w:tr>
            <w:tr w14:paraId="2446F8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71" w:type="dxa"/>
                  <w:tcBorders>
                    <w:tl2br w:val="nil"/>
                    <w:tr2bl w:val="nil"/>
                  </w:tcBorders>
                  <w:shd w:val="clear" w:color="auto" w:fill="auto"/>
                  <w:vAlign w:val="center"/>
                </w:tcPr>
                <w:p w14:paraId="75BDD5C4">
                  <w:pPr>
                    <w:jc w:val="center"/>
                    <w:rPr>
                      <w:rFonts w:eastAsia="宋体"/>
                      <w:color w:val="000000" w:themeColor="text1"/>
                      <w:sz w:val="21"/>
                      <w:szCs w:val="21"/>
                      <w14:textFill>
                        <w14:solidFill>
                          <w14:schemeClr w14:val="tx1"/>
                        </w14:solidFill>
                      </w14:textFill>
                    </w:rPr>
                  </w:pPr>
                  <w:r>
                    <w:rPr>
                      <w:rFonts w:eastAsia="宋体"/>
                      <w:color w:val="000000" w:themeColor="text1"/>
                      <w:spacing w:val="3"/>
                      <w:sz w:val="21"/>
                      <w:szCs w:val="21"/>
                      <w14:textFill>
                        <w14:solidFill>
                          <w14:schemeClr w14:val="tx1"/>
                        </w14:solidFill>
                      </w14:textFill>
                    </w:rPr>
                    <w:t>建筑垃圾</w:t>
                  </w:r>
                </w:p>
              </w:tc>
              <w:tc>
                <w:tcPr>
                  <w:tcW w:w="1572" w:type="dxa"/>
                  <w:tcBorders>
                    <w:tl2br w:val="nil"/>
                    <w:tr2bl w:val="nil"/>
                  </w:tcBorders>
                  <w:shd w:val="clear" w:color="auto" w:fill="auto"/>
                  <w:vAlign w:val="center"/>
                </w:tcPr>
                <w:p w14:paraId="0EBEB3E5">
                  <w:pPr>
                    <w:jc w:val="center"/>
                    <w:rPr>
                      <w:rFonts w:eastAsia="宋体"/>
                      <w:color w:val="000000" w:themeColor="text1"/>
                      <w:sz w:val="21"/>
                      <w:szCs w:val="21"/>
                      <w14:textFill>
                        <w14:solidFill>
                          <w14:schemeClr w14:val="tx1"/>
                        </w14:solidFill>
                      </w14:textFill>
                    </w:rPr>
                  </w:pPr>
                  <w:r>
                    <w:rPr>
                      <w:rFonts w:eastAsia="宋体"/>
                      <w:color w:val="000000" w:themeColor="text1"/>
                      <w:spacing w:val="8"/>
                      <w:sz w:val="21"/>
                      <w:szCs w:val="21"/>
                      <w14:textFill>
                        <w14:solidFill>
                          <w14:schemeClr w14:val="tx1"/>
                        </w14:solidFill>
                      </w14:textFill>
                    </w:rPr>
                    <w:t>不规则块状</w:t>
                  </w:r>
                </w:p>
              </w:tc>
              <w:tc>
                <w:tcPr>
                  <w:tcW w:w="1701" w:type="dxa"/>
                  <w:tcBorders>
                    <w:tl2br w:val="nil"/>
                    <w:tr2bl w:val="nil"/>
                  </w:tcBorders>
                  <w:shd w:val="clear" w:color="auto" w:fill="auto"/>
                  <w:vAlign w:val="center"/>
                </w:tcPr>
                <w:p w14:paraId="45081D0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c>
                <w:tcPr>
                  <w:tcW w:w="1134" w:type="dxa"/>
                  <w:tcBorders>
                    <w:tl2br w:val="nil"/>
                    <w:tr2bl w:val="nil"/>
                  </w:tcBorders>
                  <w:shd w:val="clear" w:color="auto" w:fill="auto"/>
                  <w:vAlign w:val="center"/>
                </w:tcPr>
                <w:p w14:paraId="634F52CA">
                  <w:pPr>
                    <w:jc w:val="center"/>
                    <w:rPr>
                      <w:rFonts w:eastAsia="宋体"/>
                      <w:color w:val="000000" w:themeColor="text1"/>
                      <w:sz w:val="21"/>
                      <w:szCs w:val="21"/>
                      <w14:textFill>
                        <w14:solidFill>
                          <w14:schemeClr w14:val="tx1"/>
                        </w14:solidFill>
                      </w14:textFill>
                    </w:rPr>
                  </w:pPr>
                  <w:r>
                    <w:rPr>
                      <w:rFonts w:eastAsia="宋体"/>
                      <w:color w:val="000000" w:themeColor="text1"/>
                      <w:spacing w:val="5"/>
                      <w:sz w:val="21"/>
                      <w:szCs w:val="21"/>
                      <w14:textFill>
                        <w14:solidFill>
                          <w14:schemeClr w14:val="tx1"/>
                        </w14:solidFill>
                      </w14:textFill>
                    </w:rPr>
                    <w:t>块状</w:t>
                  </w:r>
                </w:p>
              </w:tc>
              <w:tc>
                <w:tcPr>
                  <w:tcW w:w="709" w:type="dxa"/>
                  <w:tcBorders>
                    <w:tl2br w:val="nil"/>
                    <w:tr2bl w:val="nil"/>
                  </w:tcBorders>
                  <w:shd w:val="clear" w:color="auto" w:fill="auto"/>
                  <w:vAlign w:val="center"/>
                </w:tcPr>
                <w:p w14:paraId="7527EBC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无</w:t>
                  </w:r>
                </w:p>
              </w:tc>
              <w:tc>
                <w:tcPr>
                  <w:tcW w:w="1134" w:type="dxa"/>
                  <w:tcBorders>
                    <w:tl2br w:val="nil"/>
                    <w:tr2bl w:val="nil"/>
                  </w:tcBorders>
                  <w:shd w:val="clear" w:color="auto" w:fill="auto"/>
                  <w:vAlign w:val="center"/>
                </w:tcPr>
                <w:p w14:paraId="178CBCFC">
                  <w:pPr>
                    <w:jc w:val="center"/>
                    <w:rPr>
                      <w:rFonts w:eastAsia="宋体"/>
                      <w:color w:val="000000" w:themeColor="text1"/>
                      <w:sz w:val="21"/>
                      <w:szCs w:val="21"/>
                      <w14:textFill>
                        <w14:solidFill>
                          <w14:schemeClr w14:val="tx1"/>
                        </w14:solidFill>
                      </w14:textFill>
                    </w:rPr>
                  </w:pPr>
                  <w:r>
                    <w:rPr>
                      <w:rFonts w:eastAsia="宋体"/>
                      <w:color w:val="000000" w:themeColor="text1"/>
                      <w:spacing w:val="6"/>
                      <w:sz w:val="21"/>
                      <w:szCs w:val="21"/>
                      <w14:textFill>
                        <w14:solidFill>
                          <w14:schemeClr w14:val="tx1"/>
                        </w14:solidFill>
                      </w14:textFill>
                    </w:rPr>
                    <w:t>汽车运输</w:t>
                  </w:r>
                </w:p>
              </w:tc>
              <w:tc>
                <w:tcPr>
                  <w:tcW w:w="1170" w:type="dxa"/>
                  <w:tcBorders>
                    <w:tl2br w:val="nil"/>
                    <w:tr2bl w:val="nil"/>
                  </w:tcBorders>
                  <w:shd w:val="clear" w:color="auto" w:fill="auto"/>
                  <w:vAlign w:val="center"/>
                </w:tcPr>
                <w:p w14:paraId="0D3ACFE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建筑垃圾料仓</w:t>
                  </w:r>
                </w:p>
              </w:tc>
            </w:tr>
          </w:tbl>
          <w:p w14:paraId="78441A9E">
            <w:pPr>
              <w:pStyle w:val="71"/>
              <w:adjustRightInd/>
              <w:spacing w:before="120" w:beforeLines="50"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扩建前后原料用量变化情况见下表。</w:t>
            </w:r>
          </w:p>
          <w:p w14:paraId="38B6FBFB">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表2-7              扩建前后原料用量变化情况一览表</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570"/>
              <w:gridCol w:w="1298"/>
              <w:gridCol w:w="1926"/>
              <w:gridCol w:w="1672"/>
              <w:gridCol w:w="1073"/>
              <w:gridCol w:w="1859"/>
            </w:tblGrid>
            <w:tr w14:paraId="427B9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6B473AA5">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序号</w:t>
                  </w:r>
                </w:p>
              </w:tc>
              <w:tc>
                <w:tcPr>
                  <w:tcW w:w="782" w:type="pct"/>
                  <w:vAlign w:val="center"/>
                </w:tcPr>
                <w:p w14:paraId="26A1C4B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产品名称</w:t>
                  </w:r>
                </w:p>
              </w:tc>
              <w:tc>
                <w:tcPr>
                  <w:tcW w:w="1156" w:type="pct"/>
                  <w:vAlign w:val="center"/>
                </w:tcPr>
                <w:p w14:paraId="2704E5EB">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原有项目原料用量</w:t>
                  </w:r>
                </w:p>
              </w:tc>
              <w:tc>
                <w:tcPr>
                  <w:tcW w:w="1005" w:type="pct"/>
                  <w:vAlign w:val="center"/>
                </w:tcPr>
                <w:p w14:paraId="01F533C1">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扩建后原料用量</w:t>
                  </w:r>
                </w:p>
              </w:tc>
              <w:tc>
                <w:tcPr>
                  <w:tcW w:w="591" w:type="pct"/>
                  <w:vAlign w:val="center"/>
                </w:tcPr>
                <w:p w14:paraId="36CF1C40">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变化量</w:t>
                  </w:r>
                </w:p>
              </w:tc>
              <w:tc>
                <w:tcPr>
                  <w:tcW w:w="1116" w:type="pct"/>
                  <w:vAlign w:val="center"/>
                </w:tcPr>
                <w:p w14:paraId="50D8942E">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备注</w:t>
                  </w:r>
                </w:p>
              </w:tc>
            </w:tr>
            <w:tr w14:paraId="1C85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19AB568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w:t>
                  </w:r>
                </w:p>
              </w:tc>
              <w:tc>
                <w:tcPr>
                  <w:tcW w:w="782" w:type="pct"/>
                  <w:vAlign w:val="center"/>
                </w:tcPr>
                <w:p w14:paraId="5D2330DD">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碎石</w:t>
                  </w:r>
                </w:p>
              </w:tc>
              <w:tc>
                <w:tcPr>
                  <w:tcW w:w="1156" w:type="pct"/>
                  <w:vAlign w:val="center"/>
                </w:tcPr>
                <w:p w14:paraId="2A16747D">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272810.74</w:t>
                  </w:r>
                  <w:r>
                    <w:rPr>
                      <w:rFonts w:eastAsiaTheme="minorEastAsia"/>
                      <w:color w:val="000000" w:themeColor="text1"/>
                      <w:sz w:val="21"/>
                      <w:szCs w:val="21"/>
                      <w14:textFill>
                        <w14:solidFill>
                          <w14:schemeClr w14:val="tx1"/>
                        </w14:solidFill>
                      </w14:textFill>
                    </w:rPr>
                    <w:t>t/a</w:t>
                  </w:r>
                </w:p>
              </w:tc>
              <w:tc>
                <w:tcPr>
                  <w:tcW w:w="1005" w:type="pct"/>
                  <w:vAlign w:val="center"/>
                </w:tcPr>
                <w:p w14:paraId="3A7FAF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242810.74t/a</w:t>
                  </w:r>
                </w:p>
              </w:tc>
              <w:tc>
                <w:tcPr>
                  <w:tcW w:w="591" w:type="pct"/>
                  <w:vAlign w:val="center"/>
                </w:tcPr>
                <w:p w14:paraId="4F8E2D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-30000t/a</w:t>
                  </w:r>
                </w:p>
              </w:tc>
              <w:tc>
                <w:tcPr>
                  <w:tcW w:w="1116" w:type="pct"/>
                  <w:vAlign w:val="center"/>
                </w:tcPr>
                <w:p w14:paraId="2E31DF1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由本项目建设垃圾生产线提供</w:t>
                  </w:r>
                </w:p>
              </w:tc>
            </w:tr>
            <w:tr w14:paraId="56ECF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5A2F00B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w:t>
                  </w:r>
                </w:p>
              </w:tc>
              <w:tc>
                <w:tcPr>
                  <w:tcW w:w="782" w:type="pct"/>
                  <w:vAlign w:val="center"/>
                </w:tcPr>
                <w:p w14:paraId="583AFA31">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砂</w:t>
                  </w:r>
                </w:p>
              </w:tc>
              <w:tc>
                <w:tcPr>
                  <w:tcW w:w="1156" w:type="pct"/>
                  <w:vAlign w:val="center"/>
                </w:tcPr>
                <w:p w14:paraId="699D0CDB">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243000</w:t>
                  </w:r>
                  <w:r>
                    <w:rPr>
                      <w:rFonts w:eastAsiaTheme="minorEastAsia"/>
                      <w:color w:val="000000" w:themeColor="text1"/>
                      <w:sz w:val="21"/>
                      <w:szCs w:val="21"/>
                      <w14:textFill>
                        <w14:solidFill>
                          <w14:schemeClr w14:val="tx1"/>
                        </w14:solidFill>
                      </w14:textFill>
                    </w:rPr>
                    <w:t>t/a</w:t>
                  </w:r>
                </w:p>
              </w:tc>
              <w:tc>
                <w:tcPr>
                  <w:tcW w:w="1005" w:type="pct"/>
                  <w:vAlign w:val="center"/>
                </w:tcPr>
                <w:p w14:paraId="49030C58">
                  <w:pPr>
                    <w:adjustRightInd w:val="0"/>
                    <w:snapToGrid w:val="0"/>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243000</w:t>
                  </w:r>
                  <w:r>
                    <w:rPr>
                      <w:rFonts w:eastAsiaTheme="minorEastAsia"/>
                      <w:color w:val="000000" w:themeColor="text1"/>
                      <w:sz w:val="21"/>
                      <w:szCs w:val="21"/>
                      <w14:textFill>
                        <w14:solidFill>
                          <w14:schemeClr w14:val="tx1"/>
                        </w14:solidFill>
                      </w14:textFill>
                    </w:rPr>
                    <w:t>t/a</w:t>
                  </w:r>
                </w:p>
              </w:tc>
              <w:tc>
                <w:tcPr>
                  <w:tcW w:w="591" w:type="pct"/>
                  <w:vAlign w:val="center"/>
                </w:tcPr>
                <w:p w14:paraId="14FD5D3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116" w:type="pct"/>
                  <w:vAlign w:val="center"/>
                </w:tcPr>
                <w:p w14:paraId="30C84DC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r>
            <w:tr w14:paraId="1B99B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5BC2BDF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w:t>
                  </w:r>
                </w:p>
              </w:tc>
              <w:tc>
                <w:tcPr>
                  <w:tcW w:w="782" w:type="pct"/>
                  <w:vAlign w:val="center"/>
                </w:tcPr>
                <w:p w14:paraId="58FEE953">
                  <w:pPr>
                    <w:widowControl/>
                    <w:jc w:val="center"/>
                    <w:textAlignment w:val="top"/>
                    <w:rPr>
                      <w:rFonts w:eastAsiaTheme="minorEastAsia"/>
                      <w:bCs/>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水泥</w:t>
                  </w:r>
                </w:p>
              </w:tc>
              <w:tc>
                <w:tcPr>
                  <w:tcW w:w="1156" w:type="pct"/>
                  <w:vAlign w:val="center"/>
                </w:tcPr>
                <w:p w14:paraId="4649F642">
                  <w:pPr>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92700</w:t>
                  </w:r>
                  <w:r>
                    <w:rPr>
                      <w:rFonts w:eastAsiaTheme="minorEastAsia"/>
                      <w:color w:val="000000" w:themeColor="text1"/>
                      <w:sz w:val="21"/>
                      <w:szCs w:val="21"/>
                      <w14:textFill>
                        <w14:solidFill>
                          <w14:schemeClr w14:val="tx1"/>
                        </w14:solidFill>
                      </w14:textFill>
                    </w:rPr>
                    <w:t>t/a</w:t>
                  </w:r>
                </w:p>
              </w:tc>
              <w:tc>
                <w:tcPr>
                  <w:tcW w:w="1005" w:type="pct"/>
                  <w:vAlign w:val="center"/>
                </w:tcPr>
                <w:p w14:paraId="1E792B67">
                  <w:pPr>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92700</w:t>
                  </w:r>
                  <w:r>
                    <w:rPr>
                      <w:rFonts w:eastAsiaTheme="minorEastAsia"/>
                      <w:color w:val="000000" w:themeColor="text1"/>
                      <w:sz w:val="21"/>
                      <w:szCs w:val="21"/>
                      <w14:textFill>
                        <w14:solidFill>
                          <w14:schemeClr w14:val="tx1"/>
                        </w14:solidFill>
                      </w14:textFill>
                    </w:rPr>
                    <w:t>t/a</w:t>
                  </w:r>
                </w:p>
              </w:tc>
              <w:tc>
                <w:tcPr>
                  <w:tcW w:w="591" w:type="pct"/>
                  <w:vAlign w:val="center"/>
                </w:tcPr>
                <w:p w14:paraId="2982D7B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116" w:type="pct"/>
                  <w:vAlign w:val="center"/>
                </w:tcPr>
                <w:p w14:paraId="0D470C5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r>
            <w:tr w14:paraId="111DA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738A38D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4</w:t>
                  </w:r>
                </w:p>
              </w:tc>
              <w:tc>
                <w:tcPr>
                  <w:tcW w:w="782" w:type="pct"/>
                  <w:vAlign w:val="center"/>
                </w:tcPr>
                <w:p w14:paraId="18B41815">
                  <w:pPr>
                    <w:widowControl/>
                    <w:jc w:val="center"/>
                    <w:textAlignment w:val="top"/>
                    <w:rPr>
                      <w:rFonts w:eastAsiaTheme="minorEastAsia"/>
                      <w:bCs/>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粉煤灰</w:t>
                  </w:r>
                </w:p>
              </w:tc>
              <w:tc>
                <w:tcPr>
                  <w:tcW w:w="1156" w:type="pct"/>
                  <w:vAlign w:val="center"/>
                </w:tcPr>
                <w:p w14:paraId="500C8E1B">
                  <w:pPr>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150000</w:t>
                  </w:r>
                  <w:r>
                    <w:rPr>
                      <w:rFonts w:eastAsiaTheme="minorEastAsia"/>
                      <w:color w:val="000000" w:themeColor="text1"/>
                      <w:sz w:val="21"/>
                      <w:szCs w:val="21"/>
                      <w14:textFill>
                        <w14:solidFill>
                          <w14:schemeClr w14:val="tx1"/>
                        </w14:solidFill>
                      </w14:textFill>
                    </w:rPr>
                    <w:t>t/a</w:t>
                  </w:r>
                </w:p>
              </w:tc>
              <w:tc>
                <w:tcPr>
                  <w:tcW w:w="1005" w:type="pct"/>
                  <w:vAlign w:val="center"/>
                </w:tcPr>
                <w:p w14:paraId="0CB48FA8">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15000t/a</w:t>
                  </w:r>
                </w:p>
              </w:tc>
              <w:tc>
                <w:tcPr>
                  <w:tcW w:w="591" w:type="pct"/>
                  <w:vAlign w:val="center"/>
                </w:tcPr>
                <w:p w14:paraId="05F7DE73">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116" w:type="pct"/>
                  <w:vAlign w:val="center"/>
                </w:tcPr>
                <w:p w14:paraId="0E7FD207">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r>
            <w:tr w14:paraId="69899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5895118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w:t>
                  </w:r>
                </w:p>
              </w:tc>
              <w:tc>
                <w:tcPr>
                  <w:tcW w:w="782" w:type="pct"/>
                  <w:vAlign w:val="center"/>
                </w:tcPr>
                <w:p w14:paraId="69CF4F2C">
                  <w:pPr>
                    <w:widowControl/>
                    <w:jc w:val="center"/>
                    <w:textAlignment w:val="top"/>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外加剂（减水剂）</w:t>
                  </w:r>
                </w:p>
              </w:tc>
              <w:tc>
                <w:tcPr>
                  <w:tcW w:w="1156" w:type="pct"/>
                  <w:vAlign w:val="center"/>
                </w:tcPr>
                <w:p w14:paraId="511D3BFA">
                  <w:pPr>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2490</w:t>
                  </w:r>
                  <w:r>
                    <w:rPr>
                      <w:rFonts w:eastAsiaTheme="minorEastAsia"/>
                      <w:color w:val="000000" w:themeColor="text1"/>
                      <w:sz w:val="21"/>
                      <w:szCs w:val="21"/>
                      <w14:textFill>
                        <w14:solidFill>
                          <w14:schemeClr w14:val="tx1"/>
                        </w14:solidFill>
                      </w14:textFill>
                    </w:rPr>
                    <w:t>t/a</w:t>
                  </w:r>
                </w:p>
              </w:tc>
              <w:tc>
                <w:tcPr>
                  <w:tcW w:w="1005" w:type="pct"/>
                  <w:vAlign w:val="center"/>
                </w:tcPr>
                <w:p w14:paraId="6992BC5C">
                  <w:pPr>
                    <w:jc w:val="center"/>
                    <w:rPr>
                      <w:rFonts w:eastAsiaTheme="minorEastAsia"/>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2490</w:t>
                  </w:r>
                  <w:r>
                    <w:rPr>
                      <w:rFonts w:eastAsiaTheme="minorEastAsia"/>
                      <w:color w:val="000000" w:themeColor="text1"/>
                      <w:sz w:val="21"/>
                      <w:szCs w:val="21"/>
                      <w14:textFill>
                        <w14:solidFill>
                          <w14:schemeClr w14:val="tx1"/>
                        </w14:solidFill>
                      </w14:textFill>
                    </w:rPr>
                    <w:t>t/a</w:t>
                  </w:r>
                </w:p>
              </w:tc>
              <w:tc>
                <w:tcPr>
                  <w:tcW w:w="591" w:type="pct"/>
                  <w:vAlign w:val="center"/>
                </w:tcPr>
                <w:p w14:paraId="3D510DC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116" w:type="pct"/>
                  <w:vAlign w:val="center"/>
                </w:tcPr>
                <w:p w14:paraId="684E2F59">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r>
            <w:tr w14:paraId="7AFF9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443E4B8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6</w:t>
                  </w:r>
                </w:p>
              </w:tc>
              <w:tc>
                <w:tcPr>
                  <w:tcW w:w="782" w:type="pct"/>
                  <w:vAlign w:val="center"/>
                </w:tcPr>
                <w:p w14:paraId="24E434CA">
                  <w:pPr>
                    <w:widowControl/>
                    <w:jc w:val="center"/>
                    <w:textAlignment w:val="top"/>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石灰石</w:t>
                  </w:r>
                </w:p>
              </w:tc>
              <w:tc>
                <w:tcPr>
                  <w:tcW w:w="1156" w:type="pct"/>
                  <w:vAlign w:val="center"/>
                </w:tcPr>
                <w:p w14:paraId="61C9EC71">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05" w:type="pct"/>
                  <w:vAlign w:val="center"/>
                </w:tcPr>
                <w:p w14:paraId="1A809AB2">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300000t/a</w:t>
                  </w:r>
                </w:p>
              </w:tc>
              <w:tc>
                <w:tcPr>
                  <w:tcW w:w="591" w:type="pct"/>
                  <w:vAlign w:val="center"/>
                </w:tcPr>
                <w:p w14:paraId="52BB6ADE">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+300000t/a</w:t>
                  </w:r>
                </w:p>
              </w:tc>
              <w:tc>
                <w:tcPr>
                  <w:tcW w:w="1116" w:type="pct"/>
                  <w:vAlign w:val="center"/>
                </w:tcPr>
                <w:p w14:paraId="08F75C31">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r>
            <w:tr w14:paraId="5F776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49" w:type="pct"/>
                  <w:vAlign w:val="center"/>
                </w:tcPr>
                <w:p w14:paraId="03088ACD">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7</w:t>
                  </w:r>
                </w:p>
              </w:tc>
              <w:tc>
                <w:tcPr>
                  <w:tcW w:w="782" w:type="pct"/>
                  <w:vAlign w:val="center"/>
                </w:tcPr>
                <w:p w14:paraId="79C191B1">
                  <w:pPr>
                    <w:widowControl/>
                    <w:jc w:val="center"/>
                    <w:textAlignment w:val="top"/>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建筑垃圾</w:t>
                  </w:r>
                </w:p>
              </w:tc>
              <w:tc>
                <w:tcPr>
                  <w:tcW w:w="1156" w:type="pct"/>
                  <w:vAlign w:val="center"/>
                </w:tcPr>
                <w:p w14:paraId="11FF2E7D">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1005" w:type="pct"/>
                  <w:vAlign w:val="center"/>
                </w:tcPr>
                <w:p w14:paraId="05A72D48">
                  <w:pPr>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50050t/a</w:t>
                  </w:r>
                </w:p>
              </w:tc>
              <w:tc>
                <w:tcPr>
                  <w:tcW w:w="591" w:type="pct"/>
                  <w:vAlign w:val="center"/>
                </w:tcPr>
                <w:p w14:paraId="7980DBA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+50050t/a</w:t>
                  </w:r>
                </w:p>
              </w:tc>
              <w:tc>
                <w:tcPr>
                  <w:tcW w:w="1116" w:type="pct"/>
                  <w:vAlign w:val="center"/>
                </w:tcPr>
                <w:p w14:paraId="366444A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r>
          </w:tbl>
          <w:p w14:paraId="0F347262">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7、公用工程</w:t>
            </w:r>
          </w:p>
          <w:p w14:paraId="6A14C821">
            <w:pPr>
              <w:pStyle w:val="71"/>
              <w:spacing w:line="360" w:lineRule="auto"/>
              <w:ind w:firstLine="480" w:firstLineChars="200"/>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（1）给水</w:t>
            </w:r>
          </w:p>
          <w:p w14:paraId="3A4E9279">
            <w:pPr>
              <w:autoSpaceDE w:val="0"/>
              <w:autoSpaceDN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本项目用水主要为降尘用水、车辆冲洗用水等生产用水和职工生活用水。生产用水由王洼煤矿矿井再生水提供，生活用水由北洼村供水系统提供。</w:t>
            </w:r>
          </w:p>
          <w:p w14:paraId="735608CA">
            <w:pPr>
              <w:pStyle w:val="145"/>
              <w:spacing w:before="36" w:line="349" w:lineRule="auto"/>
              <w:ind w:left="116" w:right="36" w:firstLine="481"/>
              <w:rPr>
                <w:rFonts w:ascii="Times New Roman" w:hAnsi="Times New Roman" w:eastAsia="宋体" w:cs="Times New Roman"/>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①</w:t>
            </w:r>
            <w:r>
              <w:rPr>
                <w:rFonts w:ascii="Times New Roman" w:hAnsi="Times New Roman" w:eastAsia="宋体" w:cs="Times New Roman"/>
                <w:color w:val="000000" w:themeColor="text1"/>
                <w:lang w:eastAsia="zh-CN"/>
                <w14:textFill>
                  <w14:solidFill>
                    <w14:schemeClr w14:val="tx1"/>
                  </w14:solidFill>
                </w14:textFill>
              </w:rPr>
              <w:t>降尘用水</w:t>
            </w:r>
          </w:p>
          <w:p w14:paraId="469C2F9C">
            <w:pPr>
              <w:spacing w:line="360" w:lineRule="auto"/>
              <w:ind w:firstLine="480" w:firstLineChars="200"/>
              <w:rPr>
                <w:rFonts w:eastAsia="宋体"/>
                <w:color w:val="000000" w:themeColor="text1"/>
                <w:kern w:val="0"/>
                <w:lang w:bidi="ar"/>
                <w14:textFill>
                  <w14:solidFill>
                    <w14:schemeClr w14:val="tx1"/>
                  </w14:solidFill>
                </w14:textFill>
              </w:rPr>
            </w:pPr>
            <w:r>
              <w:rPr>
                <w:rFonts w:eastAsia="宋体"/>
                <w:color w:val="000000" w:themeColor="text1"/>
                <w:kern w:val="0"/>
                <w:lang w:bidi="ar"/>
                <w14:textFill>
                  <w14:solidFill>
                    <w14:schemeClr w14:val="tx1"/>
                  </w14:solidFill>
                </w14:textFill>
              </w:rPr>
              <w:t>本项目石灰石料仓、建筑垃圾料仓、再生骨料仓、再生水稳料仓顶部各设置1个高压喷淋装置</w:t>
            </w:r>
            <w:r>
              <w:rPr>
                <w:rFonts w:eastAsia="宋体"/>
                <w:color w:val="000000" w:themeColor="text1"/>
                <w14:textFill>
                  <w14:solidFill>
                    <w14:schemeClr w14:val="tx1"/>
                  </w14:solidFill>
                </w14:textFill>
              </w:rPr>
              <w:t>，共</w:t>
            </w:r>
            <w:r>
              <w:rPr>
                <w:rFonts w:eastAsia="宋体"/>
                <w:color w:val="000000" w:themeColor="text1"/>
                <w:kern w:val="0"/>
                <w:lang w:bidi="ar"/>
                <w14:textFill>
                  <w14:solidFill>
                    <w14:schemeClr w14:val="tx1"/>
                  </w14:solidFill>
                </w14:textFill>
              </w:rPr>
              <w:t>3个高压喷淋装置，</w:t>
            </w:r>
            <w:r>
              <w:rPr>
                <w:rFonts w:eastAsia="宋体"/>
                <w:color w:val="000000" w:themeColor="text1"/>
                <w14:textFill>
                  <w14:solidFill>
                    <w14:schemeClr w14:val="tx1"/>
                  </w14:solidFill>
                </w14:textFill>
              </w:rPr>
              <w:t>单个淋雾喷头每次洒水2次，每次洒水5min，喷头流量为0.4m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/min，则喷洒用水量为12m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/d（3240m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/a），此部分用水自然损耗，无废水产生。</w:t>
            </w:r>
          </w:p>
          <w:p w14:paraId="70DB41D2">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eastAsia="宋体"/>
                <w:color w:val="000000" w:themeColor="text1"/>
                <w14:textFill>
                  <w14:solidFill>
                    <w14:schemeClr w14:val="tx1"/>
                  </w14:solidFill>
                </w14:textFill>
              </w:rPr>
              <w:t>车辆冲洗用水</w:t>
            </w:r>
          </w:p>
          <w:p w14:paraId="26790070">
            <w:pPr>
              <w:autoSpaceDE w:val="0"/>
              <w:autoSpaceDN w:val="0"/>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本项目深加工石灰石30万t/a，回收利用建筑垃圾5万t/a。运输量平均为1167t/d（350000t/a）</w:t>
            </w:r>
            <w:r>
              <w:rPr>
                <w:rFonts w:eastAsia="宋体"/>
                <w:color w:val="000000" w:themeColor="text1"/>
                <w:spacing w:val="1"/>
                <w:position w:val="3"/>
                <w14:textFill>
                  <w14:solidFill>
                    <w14:schemeClr w14:val="tx1"/>
                  </w14:solidFill>
                </w14:textFill>
              </w:rPr>
              <w:t>。</w:t>
            </w:r>
            <w:r>
              <w:rPr>
                <w:rFonts w:eastAsia="宋体"/>
                <w:color w:val="000000" w:themeColor="text1"/>
                <w:spacing w:val="3"/>
                <w14:textFill>
                  <w14:solidFill>
                    <w14:schemeClr w14:val="tx1"/>
                  </w14:solidFill>
                </w14:textFill>
              </w:rPr>
              <w:t>单车每次运输</w:t>
            </w:r>
            <w:r>
              <w:rPr>
                <w:rFonts w:eastAsia="宋体"/>
                <w:color w:val="000000" w:themeColor="text1"/>
                <w:spacing w:val="6"/>
                <w14:textFill>
                  <w14:solidFill>
                    <w14:schemeClr w14:val="tx1"/>
                  </w14:solidFill>
                </w14:textFill>
              </w:rPr>
              <w:t>量按50</w:t>
            </w:r>
            <w:r>
              <w:rPr>
                <w:rFonts w:eastAsia="宋体"/>
                <w:color w:val="000000" w:themeColor="text1"/>
                <w14:textFill>
                  <w14:solidFill>
                    <w14:schemeClr w14:val="tx1"/>
                  </w14:solidFill>
                </w14:textFill>
              </w:rPr>
              <w:t>t</w:t>
            </w:r>
            <w:r>
              <w:rPr>
                <w:rFonts w:eastAsia="宋体"/>
                <w:color w:val="000000" w:themeColor="text1"/>
                <w:spacing w:val="4"/>
                <w14:textFill>
                  <w14:solidFill>
                    <w14:schemeClr w14:val="tx1"/>
                  </w14:solidFill>
                </w14:textFill>
              </w:rPr>
              <w:t>计</w:t>
            </w:r>
            <w:r>
              <w:rPr>
                <w:rFonts w:eastAsia="宋体"/>
                <w:color w:val="000000" w:themeColor="text1"/>
                <w:spacing w:val="3"/>
                <w14:textFill>
                  <w14:solidFill>
                    <w14:schemeClr w14:val="tx1"/>
                  </w14:solidFill>
                </w14:textFill>
              </w:rPr>
              <w:t>算，每年运输车辆为7000次，</w:t>
            </w:r>
            <w:r>
              <w:rPr>
                <w:rFonts w:eastAsia="宋体"/>
                <w:color w:val="000000" w:themeColor="text1"/>
                <w14:textFill>
                  <w14:solidFill>
                    <w14:schemeClr w14:val="tx1"/>
                  </w14:solidFill>
                </w14:textFill>
              </w:rPr>
              <w:t>每天约需运输26次，每次均需对运输车辆进行冲洗，</w:t>
            </w:r>
            <w:r>
              <w:rPr>
                <w:rFonts w:eastAsia="宋体"/>
                <w:color w:val="000000" w:themeColor="text1"/>
                <w:spacing w:val="3"/>
                <w14:textFill>
                  <w14:solidFill>
                    <w14:schemeClr w14:val="tx1"/>
                  </w14:solidFill>
                </w14:textFill>
              </w:rPr>
              <w:t>根据建设单位提供资料，</w:t>
            </w:r>
            <w:r>
              <w:rPr>
                <w:rFonts w:eastAsia="宋体"/>
                <w:color w:val="000000" w:themeColor="text1"/>
                <w14:textFill>
                  <w14:solidFill>
                    <w14:schemeClr w14:val="tx1"/>
                  </w14:solidFill>
                </w14:textFill>
              </w:rPr>
              <w:t>单次洗车用水量约为0.4m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/辆，则车辆冲洗用水为10.4m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/d（2808m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/a）。车辆清洗废水产生系数按80%，则车辆冲洗废水量为8.32m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/d（2246.4m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/a），则车辆冲洗损耗水量为2.08m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/d（561.6m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/a）。车辆冲洗废水经沉淀池沉淀后回用于一期的混凝土搅拌工序。</w:t>
            </w:r>
          </w:p>
          <w:p w14:paraId="15E3A0AF">
            <w:pPr>
              <w:autoSpaceDE w:val="0"/>
              <w:autoSpaceDN w:val="0"/>
              <w:adjustRightInd w:val="0"/>
              <w:snapToGrid w:val="0"/>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eastAsia="宋体"/>
                <w:color w:val="000000" w:themeColor="text1"/>
                <w14:textFill>
                  <w14:solidFill>
                    <w14:schemeClr w14:val="tx1"/>
                  </w14:solidFill>
                </w14:textFill>
              </w:rPr>
              <w:t>生活用水</w:t>
            </w:r>
          </w:p>
          <w:p w14:paraId="58981BF6">
            <w:pPr>
              <w:pStyle w:val="24"/>
              <w:spacing w:line="360" w:lineRule="auto"/>
              <w:ind w:firstLine="480" w:firstLineChars="200"/>
              <w:jc w:val="both"/>
              <w:rPr>
                <w:rFonts w:eastAsia="宋体"/>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t>本项目新增职工10人</w:t>
            </w:r>
            <w:r>
              <w:rPr>
                <w:rFonts w:eastAsia="宋体"/>
                <w:color w:val="000000" w:themeColor="text1"/>
                <w:kern w:val="24"/>
                <w:sz w:val="24"/>
                <w:szCs w:val="24"/>
                <w14:textFill>
                  <w14:solidFill>
                    <w14:schemeClr w14:val="tx1"/>
                  </w14:solidFill>
                </w14:textFill>
              </w:rPr>
              <w:t>，根据《宁夏回族自治区水利厅 宁夏回族自治区市场监督管理厅关于印发宁夏回族自治区有关行业用水定额（修订）的通知》（宁水节供发〔2025〕11号）机关、</w:t>
            </w:r>
            <w:r>
              <w:rPr>
                <w:rFonts w:eastAsia="宋体"/>
                <w:color w:val="000000" w:themeColor="text1"/>
                <w:sz w:val="24"/>
                <w:szCs w:val="24"/>
                <w14:textFill>
                  <w14:solidFill>
                    <w14:schemeClr w14:val="tx1"/>
                  </w14:solidFill>
                </w14:textFill>
              </w:rPr>
              <w:t>企事业单位通用用水定额（25m</w:t>
            </w:r>
            <w:r>
              <w:rPr>
                <w:rFonts w:eastAsia="宋体"/>
                <w:color w:val="000000" w:themeColor="text1"/>
                <w:sz w:val="24"/>
                <w:szCs w:val="24"/>
                <w:vertAlign w:val="superscript"/>
                <w14:textFill>
                  <w14:solidFill>
                    <w14:schemeClr w14:val="tx1"/>
                  </w14:solidFill>
                </w14:textFill>
              </w:rPr>
              <w:t>3</w:t>
            </w:r>
            <w:r>
              <w:rPr>
                <w:rFonts w:eastAsia="宋体"/>
                <w:color w:val="000000" w:themeColor="text1"/>
                <w:sz w:val="24"/>
                <w:szCs w:val="24"/>
                <w14:textFill>
                  <w14:solidFill>
                    <w14:schemeClr w14:val="tx1"/>
                  </w14:solidFill>
                </w14:textFill>
              </w:rPr>
              <w:t>/人·a）。则职工生活用水量为0.83m</w:t>
            </w:r>
            <w:r>
              <w:rPr>
                <w:rFonts w:eastAsia="宋体"/>
                <w:color w:val="000000" w:themeColor="text1"/>
                <w:sz w:val="24"/>
                <w:szCs w:val="24"/>
                <w:vertAlign w:val="superscript"/>
                <w14:textFill>
                  <w14:solidFill>
                    <w14:schemeClr w14:val="tx1"/>
                  </w14:solidFill>
                </w14:textFill>
              </w:rPr>
              <w:t>3</w:t>
            </w:r>
            <w:r>
              <w:rPr>
                <w:rFonts w:eastAsia="宋体"/>
                <w:color w:val="000000" w:themeColor="text1"/>
                <w:sz w:val="24"/>
                <w:szCs w:val="24"/>
                <w14:textFill>
                  <w14:solidFill>
                    <w14:schemeClr w14:val="tx1"/>
                  </w14:solidFill>
                </w14:textFill>
              </w:rPr>
              <w:t>/d（250m</w:t>
            </w:r>
            <w:r>
              <w:rPr>
                <w:rFonts w:eastAsia="宋体"/>
                <w:color w:val="000000" w:themeColor="text1"/>
                <w:sz w:val="24"/>
                <w:szCs w:val="24"/>
                <w:vertAlign w:val="superscript"/>
                <w14:textFill>
                  <w14:solidFill>
                    <w14:schemeClr w14:val="tx1"/>
                  </w14:solidFill>
                </w14:textFill>
              </w:rPr>
              <w:t>3</w:t>
            </w:r>
            <w:r>
              <w:rPr>
                <w:rFonts w:eastAsia="宋体"/>
                <w:color w:val="000000" w:themeColor="text1"/>
                <w:sz w:val="24"/>
                <w:szCs w:val="24"/>
                <w14:textFill>
                  <w14:solidFill>
                    <w14:schemeClr w14:val="tx1"/>
                  </w14:solidFill>
                </w14:textFill>
              </w:rPr>
              <w:t>/a），主要为洗漱用水。</w:t>
            </w:r>
          </w:p>
          <w:p w14:paraId="5E7583A8">
            <w:pPr>
              <w:adjustRightInd w:val="0"/>
              <w:snapToGrid w:val="0"/>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（2）排水</w:t>
            </w:r>
          </w:p>
          <w:p w14:paraId="5D48B552">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w:t>
            </w:r>
            <w:r>
              <w:rPr>
                <w:rFonts w:eastAsia="宋体"/>
                <w:snapToGrid w:val="0"/>
                <w:color w:val="000000" w:themeColor="text1"/>
                <w14:textFill>
                  <w14:solidFill>
                    <w14:schemeClr w14:val="tx1"/>
                  </w14:solidFill>
                </w14:textFill>
              </w:rPr>
              <w:t>降尘用水自然损耗，</w:t>
            </w:r>
            <w:r>
              <w:rPr>
                <w:rFonts w:eastAsia="宋体"/>
                <w:color w:val="000000" w:themeColor="text1"/>
                <w14:textFill>
                  <w14:solidFill>
                    <w14:schemeClr w14:val="tx1"/>
                  </w14:solidFill>
                </w14:textFill>
              </w:rPr>
              <w:t>车辆清洗废水依托现有砂石分离机预处理后再经三级沉淀池沉淀处理，最终全部回用于混凝土搅拌，不外排。生活污水产生量按用水量的80%计，则生活污水为0.67m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/d（200m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/a），本项目不提供食宿，生活污水主要为洗漱废水，用于洒水抑尘，粪污依托现有防渗旱厕，定期清掏用于厂区周边绿化或周边农田施肥。</w:t>
            </w:r>
          </w:p>
          <w:p w14:paraId="4960FD34">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项目具体供排水情况见下表：</w:t>
            </w:r>
          </w:p>
          <w:p w14:paraId="2E293D41">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表2-8         运营期用水量及废水产生量统计表         单位：m³/a</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2"/>
              <w:gridCol w:w="1134"/>
              <w:gridCol w:w="1275"/>
              <w:gridCol w:w="993"/>
              <w:gridCol w:w="992"/>
              <w:gridCol w:w="992"/>
              <w:gridCol w:w="2302"/>
            </w:tblGrid>
            <w:tr w14:paraId="25BD6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46" w:type="dxa"/>
                  <w:gridSpan w:val="2"/>
                  <w:vAlign w:val="center"/>
                </w:tcPr>
                <w:p w14:paraId="7D69935D">
                  <w:pPr>
                    <w:tabs>
                      <w:tab w:val="left" w:pos="6090"/>
                    </w:tabs>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项目</w:t>
                  </w:r>
                </w:p>
              </w:tc>
              <w:tc>
                <w:tcPr>
                  <w:tcW w:w="1275" w:type="dxa"/>
                  <w:vAlign w:val="center"/>
                </w:tcPr>
                <w:p w14:paraId="56475EC7">
                  <w:pPr>
                    <w:tabs>
                      <w:tab w:val="left" w:pos="6090"/>
                    </w:tabs>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用水规模</w:t>
                  </w:r>
                </w:p>
              </w:tc>
              <w:tc>
                <w:tcPr>
                  <w:tcW w:w="993" w:type="dxa"/>
                  <w:vAlign w:val="center"/>
                </w:tcPr>
                <w:p w14:paraId="63718704">
                  <w:pPr>
                    <w:tabs>
                      <w:tab w:val="left" w:pos="6090"/>
                    </w:tabs>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用水量</w:t>
                  </w:r>
                </w:p>
              </w:tc>
              <w:tc>
                <w:tcPr>
                  <w:tcW w:w="992" w:type="dxa"/>
                  <w:vAlign w:val="center"/>
                </w:tcPr>
                <w:p w14:paraId="7A162081">
                  <w:pPr>
                    <w:tabs>
                      <w:tab w:val="left" w:pos="6090"/>
                    </w:tabs>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损耗量</w:t>
                  </w:r>
                </w:p>
              </w:tc>
              <w:tc>
                <w:tcPr>
                  <w:tcW w:w="992" w:type="dxa"/>
                  <w:vAlign w:val="center"/>
                </w:tcPr>
                <w:p w14:paraId="15559586">
                  <w:pPr>
                    <w:tabs>
                      <w:tab w:val="left" w:pos="6090"/>
                    </w:tabs>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排水量</w:t>
                  </w:r>
                </w:p>
              </w:tc>
              <w:tc>
                <w:tcPr>
                  <w:tcW w:w="2302" w:type="dxa"/>
                  <w:vAlign w:val="center"/>
                </w:tcPr>
                <w:p w14:paraId="6E6B4EDD">
                  <w:pPr>
                    <w:tabs>
                      <w:tab w:val="left" w:pos="6090"/>
                    </w:tabs>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备注</w:t>
                  </w:r>
                </w:p>
              </w:tc>
            </w:tr>
            <w:tr w14:paraId="0CBF42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dxa"/>
                  <w:vMerge w:val="restart"/>
                  <w:vAlign w:val="center"/>
                </w:tcPr>
                <w:p w14:paraId="62C1214F">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生产用水</w:t>
                  </w:r>
                </w:p>
              </w:tc>
              <w:tc>
                <w:tcPr>
                  <w:tcW w:w="1134" w:type="dxa"/>
                  <w:vAlign w:val="center"/>
                </w:tcPr>
                <w:p w14:paraId="2627BE49">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车辆清洗用水</w:t>
                  </w:r>
                </w:p>
              </w:tc>
              <w:tc>
                <w:tcPr>
                  <w:tcW w:w="1275" w:type="dxa"/>
                  <w:vAlign w:val="center"/>
                </w:tcPr>
                <w:p w14:paraId="5DBBCBF0">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0.4m</w:t>
                  </w:r>
                  <w:r>
                    <w:rPr>
                      <w:rFonts w:eastAsia="宋体"/>
                      <w:color w:val="000000" w:themeColor="text1"/>
                      <w:sz w:val="21"/>
                      <w:szCs w:val="21"/>
                      <w:vertAlign w:val="superscript"/>
                      <w14:textFill>
                        <w14:solidFill>
                          <w14:schemeClr w14:val="tx1"/>
                        </w14:solidFill>
                      </w14:textFill>
                    </w:rPr>
                    <w:t>3</w:t>
                  </w:r>
                  <w:r>
                    <w:rPr>
                      <w:rFonts w:eastAsia="宋体"/>
                      <w:color w:val="000000" w:themeColor="text1"/>
                      <w:sz w:val="21"/>
                      <w:szCs w:val="21"/>
                      <w14:textFill>
                        <w14:solidFill>
                          <w14:schemeClr w14:val="tx1"/>
                        </w14:solidFill>
                      </w14:textFill>
                    </w:rPr>
                    <w:t>/（辆·次）</w:t>
                  </w:r>
                </w:p>
              </w:tc>
              <w:tc>
                <w:tcPr>
                  <w:tcW w:w="993" w:type="dxa"/>
                  <w:vAlign w:val="center"/>
                </w:tcPr>
                <w:p w14:paraId="6D88A98E">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2808</w:t>
                  </w:r>
                </w:p>
              </w:tc>
              <w:tc>
                <w:tcPr>
                  <w:tcW w:w="992" w:type="dxa"/>
                  <w:vAlign w:val="center"/>
                </w:tcPr>
                <w:p w14:paraId="5118599E">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561.6</w:t>
                  </w:r>
                </w:p>
              </w:tc>
              <w:tc>
                <w:tcPr>
                  <w:tcW w:w="992" w:type="dxa"/>
                  <w:vAlign w:val="center"/>
                </w:tcPr>
                <w:p w14:paraId="2EDDB16F">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2246.4</w:t>
                  </w:r>
                </w:p>
              </w:tc>
              <w:tc>
                <w:tcPr>
                  <w:tcW w:w="2302" w:type="dxa"/>
                  <w:vAlign w:val="center"/>
                </w:tcPr>
                <w:p w14:paraId="5C38DE91">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经砂石分离及沉淀池沉淀后，回用于一期生产</w:t>
                  </w:r>
                </w:p>
              </w:tc>
            </w:tr>
            <w:tr w14:paraId="69832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2" w:type="dxa"/>
                  <w:vMerge w:val="continue"/>
                  <w:vAlign w:val="center"/>
                </w:tcPr>
                <w:p w14:paraId="5A79FDE4">
                  <w:pPr>
                    <w:tabs>
                      <w:tab w:val="left" w:pos="6090"/>
                    </w:tabs>
                    <w:adjustRightInd w:val="0"/>
                    <w:snapToGrid w:val="0"/>
                    <w:jc w:val="center"/>
                    <w:rPr>
                      <w:rFonts w:eastAsia="宋体"/>
                      <w:color w:val="000000" w:themeColor="text1"/>
                      <w:sz w:val="21"/>
                      <w:szCs w:val="21"/>
                      <w14:textFill>
                        <w14:solidFill>
                          <w14:schemeClr w14:val="tx1"/>
                        </w14:solidFill>
                      </w14:textFill>
                    </w:rPr>
                  </w:pPr>
                </w:p>
              </w:tc>
              <w:tc>
                <w:tcPr>
                  <w:tcW w:w="1134" w:type="dxa"/>
                  <w:vAlign w:val="center"/>
                </w:tcPr>
                <w:p w14:paraId="150E04BF">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降尘用水</w:t>
                  </w:r>
                </w:p>
              </w:tc>
              <w:tc>
                <w:tcPr>
                  <w:tcW w:w="1275" w:type="dxa"/>
                  <w:vAlign w:val="center"/>
                </w:tcPr>
                <w:p w14:paraId="55D8E2F6">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12m</w:t>
                  </w:r>
                  <w:r>
                    <w:rPr>
                      <w:rFonts w:eastAsia="宋体"/>
                      <w:color w:val="000000" w:themeColor="text1"/>
                      <w:sz w:val="21"/>
                      <w:szCs w:val="21"/>
                      <w:vertAlign w:val="superscript"/>
                      <w14:textFill>
                        <w14:solidFill>
                          <w14:schemeClr w14:val="tx1"/>
                        </w14:solidFill>
                      </w14:textFill>
                    </w:rPr>
                    <w:t>3</w:t>
                  </w:r>
                  <w:r>
                    <w:rPr>
                      <w:rFonts w:eastAsia="宋体"/>
                      <w:color w:val="000000" w:themeColor="text1"/>
                      <w:sz w:val="21"/>
                      <w:szCs w:val="21"/>
                      <w14:textFill>
                        <w14:solidFill>
                          <w14:schemeClr w14:val="tx1"/>
                        </w14:solidFill>
                      </w14:textFill>
                    </w:rPr>
                    <w:t>/d</w:t>
                  </w:r>
                </w:p>
              </w:tc>
              <w:tc>
                <w:tcPr>
                  <w:tcW w:w="993" w:type="dxa"/>
                  <w:vAlign w:val="center"/>
                </w:tcPr>
                <w:p w14:paraId="00E1F665">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3240</w:t>
                  </w:r>
                </w:p>
              </w:tc>
              <w:tc>
                <w:tcPr>
                  <w:tcW w:w="992" w:type="dxa"/>
                  <w:vAlign w:val="center"/>
                </w:tcPr>
                <w:p w14:paraId="718272F5">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3240</w:t>
                  </w:r>
                </w:p>
              </w:tc>
              <w:tc>
                <w:tcPr>
                  <w:tcW w:w="992" w:type="dxa"/>
                  <w:vAlign w:val="center"/>
                </w:tcPr>
                <w:p w14:paraId="77B641F3">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w:t>
                  </w:r>
                </w:p>
              </w:tc>
              <w:tc>
                <w:tcPr>
                  <w:tcW w:w="2302" w:type="dxa"/>
                  <w:vAlign w:val="center"/>
                </w:tcPr>
                <w:p w14:paraId="5E18690E">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全部进入原料不产生废水</w:t>
                  </w:r>
                </w:p>
              </w:tc>
            </w:tr>
            <w:tr w14:paraId="556DFD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46" w:type="dxa"/>
                  <w:gridSpan w:val="2"/>
                  <w:vAlign w:val="center"/>
                </w:tcPr>
                <w:p w14:paraId="2B06F225">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合计</w:t>
                  </w:r>
                </w:p>
              </w:tc>
              <w:tc>
                <w:tcPr>
                  <w:tcW w:w="1275" w:type="dxa"/>
                  <w:vAlign w:val="center"/>
                </w:tcPr>
                <w:p w14:paraId="68E68E36">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c>
                <w:tcPr>
                  <w:tcW w:w="993" w:type="dxa"/>
                  <w:vAlign w:val="center"/>
                </w:tcPr>
                <w:p w14:paraId="1677A15B">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6048</w:t>
                  </w:r>
                </w:p>
              </w:tc>
              <w:tc>
                <w:tcPr>
                  <w:tcW w:w="992" w:type="dxa"/>
                  <w:vAlign w:val="center"/>
                </w:tcPr>
                <w:p w14:paraId="56CA381C">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3801.6</w:t>
                  </w:r>
                </w:p>
              </w:tc>
              <w:tc>
                <w:tcPr>
                  <w:tcW w:w="992" w:type="dxa"/>
                  <w:vAlign w:val="center"/>
                </w:tcPr>
                <w:p w14:paraId="0675DC88">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2246.4</w:t>
                  </w:r>
                </w:p>
              </w:tc>
              <w:tc>
                <w:tcPr>
                  <w:tcW w:w="2302" w:type="dxa"/>
                  <w:vAlign w:val="center"/>
                </w:tcPr>
                <w:p w14:paraId="16BC6B53">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r>
            <w:tr w14:paraId="29ABE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46" w:type="dxa"/>
                  <w:gridSpan w:val="2"/>
                  <w:vAlign w:val="center"/>
                </w:tcPr>
                <w:p w14:paraId="50676370">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生活用水</w:t>
                  </w:r>
                </w:p>
              </w:tc>
              <w:tc>
                <w:tcPr>
                  <w:tcW w:w="1275" w:type="dxa"/>
                  <w:vAlign w:val="center"/>
                </w:tcPr>
                <w:p w14:paraId="295E94A8">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25m</w:t>
                  </w:r>
                  <w:r>
                    <w:rPr>
                      <w:rFonts w:eastAsia="宋体"/>
                      <w:color w:val="000000" w:themeColor="text1"/>
                      <w:sz w:val="21"/>
                      <w:szCs w:val="21"/>
                      <w:vertAlign w:val="superscript"/>
                      <w14:textFill>
                        <w14:solidFill>
                          <w14:schemeClr w14:val="tx1"/>
                        </w14:solidFill>
                      </w14:textFill>
                    </w:rPr>
                    <w:t>3</w:t>
                  </w:r>
                  <w:r>
                    <w:rPr>
                      <w:rFonts w:eastAsia="宋体"/>
                      <w:color w:val="000000" w:themeColor="text1"/>
                      <w:sz w:val="21"/>
                      <w:szCs w:val="21"/>
                      <w14:textFill>
                        <w14:solidFill>
                          <w14:schemeClr w14:val="tx1"/>
                        </w14:solidFill>
                      </w14:textFill>
                    </w:rPr>
                    <w:t>/人·a</w:t>
                  </w:r>
                </w:p>
              </w:tc>
              <w:tc>
                <w:tcPr>
                  <w:tcW w:w="993" w:type="dxa"/>
                  <w:vAlign w:val="center"/>
                </w:tcPr>
                <w:p w14:paraId="574BDFFA">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250</w:t>
                  </w:r>
                </w:p>
              </w:tc>
              <w:tc>
                <w:tcPr>
                  <w:tcW w:w="992" w:type="dxa"/>
                  <w:vAlign w:val="center"/>
                </w:tcPr>
                <w:p w14:paraId="3094B3B8">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50</w:t>
                  </w:r>
                </w:p>
              </w:tc>
              <w:tc>
                <w:tcPr>
                  <w:tcW w:w="992" w:type="dxa"/>
                  <w:vAlign w:val="center"/>
                </w:tcPr>
                <w:p w14:paraId="14DC560F">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200</w:t>
                  </w:r>
                </w:p>
              </w:tc>
              <w:tc>
                <w:tcPr>
                  <w:tcW w:w="2302" w:type="dxa"/>
                  <w:vAlign w:val="center"/>
                </w:tcPr>
                <w:p w14:paraId="617A3E11">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主要为职工洗漱废水，用于洒水抑尘</w:t>
                  </w:r>
                </w:p>
              </w:tc>
            </w:tr>
            <w:tr w14:paraId="17E3A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846" w:type="dxa"/>
                  <w:gridSpan w:val="2"/>
                  <w:vAlign w:val="center"/>
                </w:tcPr>
                <w:p w14:paraId="67AE92D0">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合计</w:t>
                  </w:r>
                </w:p>
              </w:tc>
              <w:tc>
                <w:tcPr>
                  <w:tcW w:w="1275" w:type="dxa"/>
                  <w:vAlign w:val="center"/>
                </w:tcPr>
                <w:p w14:paraId="2F431514">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c>
                <w:tcPr>
                  <w:tcW w:w="993" w:type="dxa"/>
                  <w:vAlign w:val="center"/>
                </w:tcPr>
                <w:p w14:paraId="3B8C7250">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250</w:t>
                  </w:r>
                </w:p>
              </w:tc>
              <w:tc>
                <w:tcPr>
                  <w:tcW w:w="992" w:type="dxa"/>
                  <w:vAlign w:val="center"/>
                </w:tcPr>
                <w:p w14:paraId="160A3CEF">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50</w:t>
                  </w:r>
                </w:p>
              </w:tc>
              <w:tc>
                <w:tcPr>
                  <w:tcW w:w="992" w:type="dxa"/>
                  <w:vAlign w:val="center"/>
                </w:tcPr>
                <w:p w14:paraId="21D05672">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200</w:t>
                  </w:r>
                </w:p>
              </w:tc>
              <w:tc>
                <w:tcPr>
                  <w:tcW w:w="2302" w:type="dxa"/>
                  <w:vAlign w:val="center"/>
                </w:tcPr>
                <w:p w14:paraId="6AAD5D5D">
                  <w:pPr>
                    <w:tabs>
                      <w:tab w:val="left" w:pos="6090"/>
                    </w:tabs>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r>
          </w:tbl>
          <w:p w14:paraId="4E542219">
            <w:pPr>
              <w:pStyle w:val="65"/>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本项目水平衡图见下图。</w:t>
            </w:r>
          </w:p>
          <w:p w14:paraId="59A9F101">
            <w:pPr>
              <w:pStyle w:val="65"/>
              <w:ind w:firstLine="0" w:firstLineChars="0"/>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sz w:val="21"/>
                <w:lang w:eastAsia="zh-CN" w:bidi="ar-SA"/>
                <w14:textFill>
                  <w14:solidFill>
                    <w14:schemeClr w14:val="tx1"/>
                  </w14:solidFill>
                </w14:textFill>
              </w:rPr>
              <mc:AlternateContent>
                <mc:Choice Requires="wpc">
                  <w:drawing>
                    <wp:inline distT="0" distB="0" distL="0" distR="0">
                      <wp:extent cx="5153025" cy="3114675"/>
                      <wp:effectExtent l="0" t="0" r="0" b="0"/>
                      <wp:docPr id="143" name="画布 1"/>
                      <wp:cNvGraphicFramePr/>
                      <a:graphic xmlns:a="http://schemas.openxmlformats.org/drawingml/2006/main">
                        <a:graphicData uri="http://schemas.microsoft.com/office/word/2010/wordprocessingCanvas">
                          <wpc:wpc>
                            <wpc:bg>
                              <a:noFill/>
                            </wpc:bg>
                            <wpc:whole>
                              <a:ln>
                                <a:noFill/>
                              </a:ln>
                            </wpc:whole>
                            <wps:wsp>
                              <wps:cNvPr id="25" name="直接连接符 2"/>
                              <wps:cNvCnPr>
                                <a:cxnSpLocks noChangeShapeType="1"/>
                              </wps:cNvCnPr>
                              <wps:spPr bwMode="auto">
                                <a:xfrm flipV="1">
                                  <a:off x="1251585" y="598805"/>
                                  <a:ext cx="756285" cy="635"/>
                                </a:xfrm>
                                <a:prstGeom prst="line">
                                  <a:avLst/>
                                </a:prstGeom>
                                <a:noFill/>
                                <a:ln w="9525">
                                  <a:solidFill>
                                    <a:srgbClr val="000000"/>
                                  </a:solidFill>
                                  <a:round/>
                                  <a:tailEnd type="triangle" w="med" len="med"/>
                                </a:ln>
                                <a:effectLst/>
                              </wps:spPr>
                              <wps:bodyPr/>
                            </wps:wsp>
                            <wps:wsp>
                              <wps:cNvPr id="26" name="直接连接符 3"/>
                              <wps:cNvCnPr>
                                <a:cxnSpLocks noChangeShapeType="1"/>
                              </wps:cNvCnPr>
                              <wps:spPr bwMode="auto">
                                <a:xfrm flipH="1">
                                  <a:off x="1251585" y="598805"/>
                                  <a:ext cx="1" cy="1484630"/>
                                </a:xfrm>
                                <a:prstGeom prst="straightConnector1">
                                  <a:avLst/>
                                </a:prstGeom>
                                <a:noFill/>
                                <a:ln w="12700">
                                  <a:solidFill>
                                    <a:srgbClr val="000000"/>
                                  </a:solidFill>
                                  <a:miter lim="800000"/>
                                </a:ln>
                                <a:effectLst/>
                              </wps:spPr>
                              <wps:bodyPr/>
                            </wps:wsp>
                            <wps:wsp>
                              <wps:cNvPr id="27" name="矩形 4"/>
                              <wps:cNvSpPr>
                                <a:spLocks noChangeArrowheads="1"/>
                              </wps:cNvSpPr>
                              <wps:spPr bwMode="auto">
                                <a:xfrm>
                                  <a:off x="96520" y="970915"/>
                                  <a:ext cx="692785" cy="622300"/>
                                </a:xfrm>
                                <a:prstGeom prst="rect">
                                  <a:avLst/>
                                </a:prstGeom>
                                <a:solidFill>
                                  <a:srgbClr val="FFFFFF"/>
                                </a:solidFill>
                                <a:ln w="9525">
                                  <a:solidFill>
                                    <a:srgbClr val="000000"/>
                                  </a:solidFill>
                                  <a:miter lim="800000"/>
                                </a:ln>
                                <a:effectLst/>
                              </wps:spPr>
                              <wps:txbx>
                                <w:txbxContent>
                                  <w:p w14:paraId="690FF070">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王洼煤矿矿井再生水</w:t>
                                    </w:r>
                                  </w:p>
                                </w:txbxContent>
                              </wps:txbx>
                              <wps:bodyPr rot="0" vert="horz" wrap="square" lIns="91440" tIns="45720" rIns="91440" bIns="45720" anchor="t" anchorCtr="0" upright="1">
                                <a:noAutofit/>
                              </wps:bodyPr>
                            </wps:wsp>
                            <wps:wsp>
                              <wps:cNvPr id="28" name="直接连接符 5"/>
                              <wps:cNvCnPr>
                                <a:cxnSpLocks noChangeShapeType="1"/>
                              </wps:cNvCnPr>
                              <wps:spPr bwMode="auto">
                                <a:xfrm>
                                  <a:off x="789305" y="1306830"/>
                                  <a:ext cx="457200" cy="0"/>
                                </a:xfrm>
                                <a:prstGeom prst="line">
                                  <a:avLst/>
                                </a:prstGeom>
                                <a:noFill/>
                                <a:ln w="9525">
                                  <a:solidFill>
                                    <a:srgbClr val="000000"/>
                                  </a:solidFill>
                                  <a:round/>
                                  <a:tailEnd type="triangle" w="med" len="med"/>
                                </a:ln>
                                <a:effectLst/>
                              </wps:spPr>
                              <wps:bodyPr/>
                            </wps:wsp>
                            <wps:wsp>
                              <wps:cNvPr id="29" name="矩形 6"/>
                              <wps:cNvSpPr>
                                <a:spLocks noChangeArrowheads="1"/>
                              </wps:cNvSpPr>
                              <wps:spPr bwMode="auto">
                                <a:xfrm>
                                  <a:off x="2015490" y="455930"/>
                                  <a:ext cx="1014730" cy="292100"/>
                                </a:xfrm>
                                <a:prstGeom prst="rect">
                                  <a:avLst/>
                                </a:prstGeom>
                                <a:solidFill>
                                  <a:srgbClr val="FFFFFF"/>
                                </a:solidFill>
                                <a:ln w="9525">
                                  <a:solidFill>
                                    <a:srgbClr val="000000"/>
                                  </a:solidFill>
                                  <a:miter lim="800000"/>
                                </a:ln>
                                <a:effectLst/>
                              </wps:spPr>
                              <wps:txbx>
                                <w:txbxContent>
                                  <w:p w14:paraId="2D3F8FB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车辆清洗用水</w:t>
                                    </w:r>
                                  </w:p>
                                </w:txbxContent>
                              </wps:txbx>
                              <wps:bodyPr rot="0" vert="horz" wrap="square" lIns="91440" tIns="45720" rIns="91440" bIns="45720" anchor="t" anchorCtr="0" upright="1">
                                <a:noAutofit/>
                              </wps:bodyPr>
                            </wps:wsp>
                            <wps:wsp>
                              <wps:cNvPr id="36" name="矩形 13"/>
                              <wps:cNvSpPr>
                                <a:spLocks noChangeArrowheads="1"/>
                              </wps:cNvSpPr>
                              <wps:spPr bwMode="auto">
                                <a:xfrm>
                                  <a:off x="3782060" y="1303655"/>
                                  <a:ext cx="1080581" cy="445770"/>
                                </a:xfrm>
                                <a:prstGeom prst="rect">
                                  <a:avLst/>
                                </a:prstGeom>
                                <a:solidFill>
                                  <a:srgbClr val="FFFFFF"/>
                                </a:solidFill>
                                <a:ln w="9525">
                                  <a:solidFill>
                                    <a:srgbClr val="000000"/>
                                  </a:solidFill>
                                  <a:miter lim="800000"/>
                                </a:ln>
                                <a:effectLst/>
                              </wps:spPr>
                              <wps:txbx>
                                <w:txbxContent>
                                  <w:p w14:paraId="41C201F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混凝土搅拌</w:t>
                                    </w:r>
                                  </w:p>
                                  <w:p w14:paraId="250EDCA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（一期）</w:t>
                                    </w:r>
                                  </w:p>
                                </w:txbxContent>
                              </wps:txbx>
                              <wps:bodyPr rot="0" vert="horz" wrap="square" lIns="91440" tIns="45720" rIns="91440" bIns="45720" anchor="t" anchorCtr="0" upright="1">
                                <a:noAutofit/>
                              </wps:bodyPr>
                            </wps:wsp>
                            <wps:wsp>
                              <wps:cNvPr id="37" name="文本框 14"/>
                              <wps:cNvSpPr txBox="1">
                                <a:spLocks noChangeArrowheads="1"/>
                              </wps:cNvSpPr>
                              <wps:spPr bwMode="auto">
                                <a:xfrm>
                                  <a:off x="1398905" y="301625"/>
                                  <a:ext cx="560705" cy="292100"/>
                                </a:xfrm>
                                <a:prstGeom prst="rect">
                                  <a:avLst/>
                                </a:prstGeom>
                                <a:noFill/>
                                <a:ln>
                                  <a:noFill/>
                                </a:ln>
                                <a:effectLst/>
                              </wps:spPr>
                              <wps:txbx>
                                <w:txbxContent>
                                  <w:p w14:paraId="6C7335BB">
                                    <w:pPr>
                                      <w:rPr>
                                        <w:rFonts w:eastAsia="宋体"/>
                                        <w:sz w:val="21"/>
                                        <w:szCs w:val="21"/>
                                      </w:rPr>
                                    </w:pPr>
                                    <w:r>
                                      <w:rPr>
                                        <w:sz w:val="21"/>
                                        <w:szCs w:val="21"/>
                                      </w:rPr>
                                      <w:t>2808</w:t>
                                    </w:r>
                                  </w:p>
                                </w:txbxContent>
                              </wps:txbx>
                              <wps:bodyPr rot="0" vert="horz" wrap="square" lIns="91440" tIns="45720" rIns="91440" bIns="45720" anchor="t" anchorCtr="0" upright="1">
                                <a:noAutofit/>
                              </wps:bodyPr>
                            </wps:wsp>
                            <wps:wsp>
                              <wps:cNvPr id="38" name="文本框 15"/>
                              <wps:cNvSpPr txBox="1">
                                <a:spLocks noChangeArrowheads="1"/>
                              </wps:cNvSpPr>
                              <wps:spPr bwMode="auto">
                                <a:xfrm>
                                  <a:off x="3078480" y="317500"/>
                                  <a:ext cx="560705" cy="292100"/>
                                </a:xfrm>
                                <a:prstGeom prst="rect">
                                  <a:avLst/>
                                </a:prstGeom>
                                <a:noFill/>
                                <a:ln>
                                  <a:noFill/>
                                </a:ln>
                                <a:effectLst/>
                              </wps:spPr>
                              <wps:txbx>
                                <w:txbxContent>
                                  <w:p w14:paraId="4DA6F027">
                                    <w:pPr>
                                      <w:rPr>
                                        <w:rFonts w:eastAsia="宋体"/>
                                        <w:sz w:val="21"/>
                                        <w:szCs w:val="21"/>
                                      </w:rPr>
                                    </w:pPr>
                                    <w:r>
                                      <w:rPr>
                                        <w:sz w:val="21"/>
                                        <w:szCs w:val="21"/>
                                      </w:rPr>
                                      <w:t>2246.4</w:t>
                                    </w:r>
                                  </w:p>
                                </w:txbxContent>
                              </wps:txbx>
                              <wps:bodyPr rot="0" vert="horz" wrap="square" lIns="91440" tIns="45720" rIns="91440" bIns="45720" anchor="t" anchorCtr="0" upright="1">
                                <a:noAutofit/>
                              </wps:bodyPr>
                            </wps:wsp>
                            <wps:wsp>
                              <wps:cNvPr id="39" name="直接连接符 16"/>
                              <wps:cNvCnPr>
                                <a:cxnSpLocks noChangeShapeType="1"/>
                              </wps:cNvCnPr>
                              <wps:spPr bwMode="auto">
                                <a:xfrm flipV="1">
                                  <a:off x="2423795" y="255905"/>
                                  <a:ext cx="228600" cy="190500"/>
                                </a:xfrm>
                                <a:prstGeom prst="line">
                                  <a:avLst/>
                                </a:prstGeom>
                                <a:noFill/>
                                <a:ln w="9525">
                                  <a:solidFill>
                                    <a:srgbClr val="000000"/>
                                  </a:solidFill>
                                  <a:prstDash val="dash"/>
                                  <a:round/>
                                  <a:tailEnd type="triangle" w="med" len="med"/>
                                </a:ln>
                                <a:effectLst/>
                              </wps:spPr>
                              <wps:bodyPr/>
                            </wps:wsp>
                            <wps:wsp>
                              <wps:cNvPr id="40" name="文本框 17"/>
                              <wps:cNvSpPr txBox="1">
                                <a:spLocks noChangeArrowheads="1"/>
                              </wps:cNvSpPr>
                              <wps:spPr bwMode="auto">
                                <a:xfrm>
                                  <a:off x="2576195" y="0"/>
                                  <a:ext cx="560705" cy="292100"/>
                                </a:xfrm>
                                <a:prstGeom prst="rect">
                                  <a:avLst/>
                                </a:prstGeom>
                                <a:noFill/>
                                <a:ln>
                                  <a:noFill/>
                                </a:ln>
                                <a:effectLst/>
                              </wps:spPr>
                              <wps:txbx>
                                <w:txbxContent>
                                  <w:p w14:paraId="009440BC">
                                    <w:pPr>
                                      <w:rPr>
                                        <w:rFonts w:eastAsia="宋体"/>
                                        <w:sz w:val="21"/>
                                        <w:szCs w:val="21"/>
                                      </w:rPr>
                                    </w:pPr>
                                    <w:r>
                                      <w:rPr>
                                        <w:sz w:val="21"/>
                                        <w:szCs w:val="21"/>
                                      </w:rPr>
                                      <w:t>561.6</w:t>
                                    </w:r>
                                  </w:p>
                                </w:txbxContent>
                              </wps:txbx>
                              <wps:bodyPr rot="0" vert="horz" wrap="square" lIns="91440" tIns="45720" rIns="91440" bIns="45720" anchor="t" anchorCtr="0" upright="1">
                                <a:noAutofit/>
                              </wps:bodyPr>
                            </wps:wsp>
                            <wps:wsp>
                              <wps:cNvPr id="46" name="直接连接符 23"/>
                              <wps:cNvCnPr>
                                <a:cxnSpLocks noChangeShapeType="1"/>
                              </wps:cNvCnPr>
                              <wps:spPr bwMode="auto">
                                <a:xfrm flipV="1">
                                  <a:off x="1240155" y="2082800"/>
                                  <a:ext cx="756285" cy="635"/>
                                </a:xfrm>
                                <a:prstGeom prst="line">
                                  <a:avLst/>
                                </a:prstGeom>
                                <a:noFill/>
                                <a:ln w="9525">
                                  <a:solidFill>
                                    <a:srgbClr val="000000"/>
                                  </a:solidFill>
                                  <a:round/>
                                  <a:tailEnd type="triangle" w="med" len="med"/>
                                </a:ln>
                                <a:effectLst/>
                              </wps:spPr>
                              <wps:bodyPr/>
                            </wps:wsp>
                            <wps:wsp>
                              <wps:cNvPr id="47" name="矩形 24"/>
                              <wps:cNvSpPr>
                                <a:spLocks noChangeArrowheads="1"/>
                              </wps:cNvSpPr>
                              <wps:spPr bwMode="auto">
                                <a:xfrm>
                                  <a:off x="2004060" y="1932940"/>
                                  <a:ext cx="1014730" cy="292100"/>
                                </a:xfrm>
                                <a:prstGeom prst="rect">
                                  <a:avLst/>
                                </a:prstGeom>
                                <a:solidFill>
                                  <a:srgbClr val="FFFFFF"/>
                                </a:solidFill>
                                <a:ln w="9525">
                                  <a:solidFill>
                                    <a:srgbClr val="000000"/>
                                  </a:solidFill>
                                  <a:miter lim="800000"/>
                                </a:ln>
                                <a:effectLst/>
                              </wps:spPr>
                              <wps:txbx>
                                <w:txbxContent>
                                  <w:p w14:paraId="2A4027D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降尘用水</w:t>
                                    </w:r>
                                  </w:p>
                                </w:txbxContent>
                              </wps:txbx>
                              <wps:bodyPr rot="0" vert="horz" wrap="square" lIns="91440" tIns="45720" rIns="91440" bIns="45720" anchor="t" anchorCtr="0" upright="1">
                                <a:noAutofit/>
                              </wps:bodyPr>
                            </wps:wsp>
                            <wps:wsp>
                              <wps:cNvPr id="48" name="直接连接符 25"/>
                              <wps:cNvCnPr>
                                <a:cxnSpLocks noChangeShapeType="1"/>
                              </wps:cNvCnPr>
                              <wps:spPr bwMode="auto">
                                <a:xfrm flipV="1">
                                  <a:off x="2392045" y="1733550"/>
                                  <a:ext cx="228600" cy="190500"/>
                                </a:xfrm>
                                <a:prstGeom prst="line">
                                  <a:avLst/>
                                </a:prstGeom>
                                <a:noFill/>
                                <a:ln w="9525">
                                  <a:solidFill>
                                    <a:srgbClr val="000000"/>
                                  </a:solidFill>
                                  <a:prstDash val="dash"/>
                                  <a:round/>
                                  <a:tailEnd type="triangle" w="med" len="med"/>
                                </a:ln>
                                <a:effectLst/>
                              </wps:spPr>
                              <wps:bodyPr/>
                            </wps:wsp>
                            <wps:wsp>
                              <wps:cNvPr id="49" name="文本框 26"/>
                              <wps:cNvSpPr txBox="1">
                                <a:spLocks noChangeArrowheads="1"/>
                              </wps:cNvSpPr>
                              <wps:spPr bwMode="auto">
                                <a:xfrm>
                                  <a:off x="1384935" y="1769745"/>
                                  <a:ext cx="560705" cy="292100"/>
                                </a:xfrm>
                                <a:prstGeom prst="rect">
                                  <a:avLst/>
                                </a:prstGeom>
                                <a:noFill/>
                                <a:ln>
                                  <a:noFill/>
                                </a:ln>
                                <a:effectLst/>
                              </wps:spPr>
                              <wps:txbx>
                                <w:txbxContent>
                                  <w:p w14:paraId="37E49791">
                                    <w:pPr>
                                      <w:rPr>
                                        <w:rFonts w:eastAsia="宋体"/>
                                        <w:sz w:val="21"/>
                                        <w:szCs w:val="21"/>
                                      </w:rPr>
                                    </w:pPr>
                                    <w:r>
                                      <w:rPr>
                                        <w:rFonts w:hint="eastAsia"/>
                                        <w:sz w:val="21"/>
                                        <w:szCs w:val="21"/>
                                      </w:rPr>
                                      <w:t>3240</w:t>
                                    </w:r>
                                  </w:p>
                                </w:txbxContent>
                              </wps:txbx>
                              <wps:bodyPr rot="0" vert="horz" wrap="square" lIns="91440" tIns="45720" rIns="91440" bIns="45720" anchor="t" anchorCtr="0" upright="1">
                                <a:noAutofit/>
                              </wps:bodyPr>
                            </wps:wsp>
                            <wps:wsp>
                              <wps:cNvPr id="50" name="文本框 27"/>
                              <wps:cNvSpPr txBox="1">
                                <a:spLocks noChangeArrowheads="1"/>
                              </wps:cNvSpPr>
                              <wps:spPr bwMode="auto">
                                <a:xfrm>
                                  <a:off x="2618105" y="1582420"/>
                                  <a:ext cx="560705" cy="292100"/>
                                </a:xfrm>
                                <a:prstGeom prst="rect">
                                  <a:avLst/>
                                </a:prstGeom>
                                <a:noFill/>
                                <a:ln>
                                  <a:noFill/>
                                </a:ln>
                                <a:effectLst/>
                              </wps:spPr>
                              <wps:txbx>
                                <w:txbxContent>
                                  <w:p w14:paraId="639E9AAA">
                                    <w:pPr>
                                      <w:rPr>
                                        <w:rFonts w:eastAsia="宋体"/>
                                        <w:sz w:val="21"/>
                                        <w:szCs w:val="21"/>
                                      </w:rPr>
                                    </w:pPr>
                                    <w:r>
                                      <w:rPr>
                                        <w:rFonts w:hint="eastAsia"/>
                                        <w:sz w:val="21"/>
                                        <w:szCs w:val="21"/>
                                      </w:rPr>
                                      <w:t>3240</w:t>
                                    </w:r>
                                  </w:p>
                                </w:txbxContent>
                              </wps:txbx>
                              <wps:bodyPr rot="0" vert="horz" wrap="square" lIns="91440" tIns="45720" rIns="91440" bIns="45720" anchor="t" anchorCtr="0" upright="1">
                                <a:noAutofit/>
                              </wps:bodyPr>
                            </wps:wsp>
                            <wps:wsp>
                              <wps:cNvPr id="61" name="直接连接符 38"/>
                              <wps:cNvCnPr>
                                <a:cxnSpLocks noChangeShapeType="1"/>
                              </wps:cNvCnPr>
                              <wps:spPr bwMode="auto">
                                <a:xfrm flipV="1">
                                  <a:off x="1247140" y="2891155"/>
                                  <a:ext cx="685165" cy="1"/>
                                </a:xfrm>
                                <a:prstGeom prst="line">
                                  <a:avLst/>
                                </a:prstGeom>
                                <a:noFill/>
                                <a:ln w="9525">
                                  <a:solidFill>
                                    <a:srgbClr val="000000"/>
                                  </a:solidFill>
                                  <a:round/>
                                  <a:tailEnd type="triangle" w="med" len="med"/>
                                </a:ln>
                                <a:effectLst/>
                              </wps:spPr>
                              <wps:bodyPr/>
                            </wps:wsp>
                            <wps:wsp>
                              <wps:cNvPr id="62" name="矩形 39"/>
                              <wps:cNvSpPr>
                                <a:spLocks noChangeArrowheads="1"/>
                              </wps:cNvSpPr>
                              <wps:spPr bwMode="auto">
                                <a:xfrm>
                                  <a:off x="1932306" y="2740660"/>
                                  <a:ext cx="1300480" cy="291465"/>
                                </a:xfrm>
                                <a:prstGeom prst="rect">
                                  <a:avLst/>
                                </a:prstGeom>
                                <a:solidFill>
                                  <a:srgbClr val="FFFFFF"/>
                                </a:solidFill>
                                <a:ln w="9525">
                                  <a:solidFill>
                                    <a:srgbClr val="000000"/>
                                  </a:solidFill>
                                  <a:miter lim="800000"/>
                                </a:ln>
                                <a:effectLst/>
                              </wps:spPr>
                              <wps:txbx>
                                <w:txbxContent>
                                  <w:p w14:paraId="7D22EE4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生活用水（洗漱）</w:t>
                                    </w:r>
                                  </w:p>
                                </w:txbxContent>
                              </wps:txbx>
                              <wps:bodyPr rot="0" vert="horz" wrap="square" lIns="91440" tIns="45720" rIns="91440" bIns="45720" anchor="t" anchorCtr="0" upright="1">
                                <a:noAutofit/>
                              </wps:bodyPr>
                            </wps:wsp>
                            <wps:wsp>
                              <wps:cNvPr id="63" name="直接连接符 40"/>
                              <wps:cNvCnPr>
                                <a:cxnSpLocks noChangeShapeType="1"/>
                              </wps:cNvCnPr>
                              <wps:spPr bwMode="auto">
                                <a:xfrm flipV="1">
                                  <a:off x="3249295" y="2909570"/>
                                  <a:ext cx="537845" cy="1270"/>
                                </a:xfrm>
                                <a:prstGeom prst="line">
                                  <a:avLst/>
                                </a:prstGeom>
                                <a:noFill/>
                                <a:ln w="9525">
                                  <a:solidFill>
                                    <a:srgbClr val="000000"/>
                                  </a:solidFill>
                                  <a:round/>
                                  <a:tailEnd type="triangle" w="med" len="med"/>
                                </a:ln>
                                <a:effectLst/>
                              </wps:spPr>
                              <wps:bodyPr/>
                            </wps:wsp>
                            <wps:wsp>
                              <wps:cNvPr id="64" name="文本框 41"/>
                              <wps:cNvSpPr txBox="1">
                                <a:spLocks noChangeArrowheads="1"/>
                              </wps:cNvSpPr>
                              <wps:spPr bwMode="auto">
                                <a:xfrm>
                                  <a:off x="1371600" y="2626360"/>
                                  <a:ext cx="560705" cy="292100"/>
                                </a:xfrm>
                                <a:prstGeom prst="rect">
                                  <a:avLst/>
                                </a:prstGeom>
                                <a:noFill/>
                                <a:ln>
                                  <a:noFill/>
                                </a:ln>
                                <a:effectLst/>
                              </wps:spPr>
                              <wps:txbx>
                                <w:txbxContent>
                                  <w:p w14:paraId="241802D3">
                                    <w:pPr>
                                      <w:rPr>
                                        <w:rFonts w:eastAsia="宋体"/>
                                        <w:sz w:val="21"/>
                                        <w:szCs w:val="21"/>
                                      </w:rPr>
                                    </w:pPr>
                                    <w:r>
                                      <w:rPr>
                                        <w:rFonts w:hint="eastAsia"/>
                                        <w:sz w:val="21"/>
                                        <w:szCs w:val="21"/>
                                      </w:rPr>
                                      <w:t>250</w:t>
                                    </w:r>
                                  </w:p>
                                </w:txbxContent>
                              </wps:txbx>
                              <wps:bodyPr rot="0" vert="horz" wrap="square" lIns="91440" tIns="45720" rIns="91440" bIns="45720" anchor="t" anchorCtr="0" upright="1">
                                <a:noAutofit/>
                              </wps:bodyPr>
                            </wps:wsp>
                            <wps:wsp>
                              <wps:cNvPr id="65" name="文本框 42"/>
                              <wps:cNvSpPr txBox="1">
                                <a:spLocks noChangeArrowheads="1"/>
                              </wps:cNvSpPr>
                              <wps:spPr bwMode="auto">
                                <a:xfrm>
                                  <a:off x="2804160" y="2382520"/>
                                  <a:ext cx="560705" cy="292100"/>
                                </a:xfrm>
                                <a:prstGeom prst="rect">
                                  <a:avLst/>
                                </a:prstGeom>
                                <a:noFill/>
                                <a:ln>
                                  <a:noFill/>
                                </a:ln>
                                <a:effectLst/>
                              </wps:spPr>
                              <wps:txbx>
                                <w:txbxContent>
                                  <w:p w14:paraId="2045D626">
                                    <w:pPr>
                                      <w:rPr>
                                        <w:rFonts w:eastAsia="宋体"/>
                                        <w:sz w:val="21"/>
                                        <w:szCs w:val="21"/>
                                      </w:rPr>
                                    </w:pPr>
                                    <w:r>
                                      <w:rPr>
                                        <w:rFonts w:hint="eastAsia"/>
                                        <w:sz w:val="21"/>
                                        <w:szCs w:val="21"/>
                                      </w:rPr>
                                      <w:t>50</w:t>
                                    </w:r>
                                  </w:p>
                                </w:txbxContent>
                              </wps:txbx>
                              <wps:bodyPr rot="0" vert="horz" wrap="square" lIns="91440" tIns="45720" rIns="91440" bIns="45720" anchor="t" anchorCtr="0" upright="1">
                                <a:noAutofit/>
                              </wps:bodyPr>
                            </wps:wsp>
                            <wps:wsp>
                              <wps:cNvPr id="66" name="直接连接符 43"/>
                              <wps:cNvCnPr>
                                <a:cxnSpLocks noChangeShapeType="1"/>
                              </wps:cNvCnPr>
                              <wps:spPr bwMode="auto">
                                <a:xfrm flipV="1">
                                  <a:off x="2569210" y="2546985"/>
                                  <a:ext cx="228600" cy="190500"/>
                                </a:xfrm>
                                <a:prstGeom prst="line">
                                  <a:avLst/>
                                </a:prstGeom>
                                <a:noFill/>
                                <a:ln w="9525">
                                  <a:solidFill>
                                    <a:srgbClr val="000000"/>
                                  </a:solidFill>
                                  <a:prstDash val="dash"/>
                                  <a:round/>
                                  <a:tailEnd type="triangle" w="med" len="med"/>
                                </a:ln>
                                <a:effectLst/>
                              </wps:spPr>
                              <wps:bodyPr/>
                            </wps:wsp>
                            <wps:wsp>
                              <wps:cNvPr id="67" name="文本框 44"/>
                              <wps:cNvSpPr txBox="1">
                                <a:spLocks noChangeArrowheads="1"/>
                              </wps:cNvSpPr>
                              <wps:spPr bwMode="auto">
                                <a:xfrm>
                                  <a:off x="3796665" y="2771775"/>
                                  <a:ext cx="796290" cy="292100"/>
                                </a:xfrm>
                                <a:prstGeom prst="rect">
                                  <a:avLst/>
                                </a:prstGeom>
                                <a:noFill/>
                                <a:ln>
                                  <a:noFill/>
                                </a:ln>
                                <a:effectLst/>
                              </wps:spPr>
                              <wps:txbx>
                                <w:txbxContent>
                                  <w:p w14:paraId="3E7FD155">
                                    <w:pPr>
                                      <w:rPr>
                                        <w:rFonts w:eastAsia="宋体"/>
                                        <w:sz w:val="21"/>
                                        <w:szCs w:val="21"/>
                                      </w:rPr>
                                    </w:pPr>
                                    <w:r>
                                      <w:rPr>
                                        <w:rFonts w:hint="eastAsia"/>
                                        <w:sz w:val="21"/>
                                        <w:szCs w:val="21"/>
                                      </w:rPr>
                                      <w:t>洒水抑尘</w:t>
                                    </w:r>
                                  </w:p>
                                </w:txbxContent>
                              </wps:txbx>
                              <wps:bodyPr rot="0" vert="horz" wrap="square" lIns="91440" tIns="45720" rIns="91440" bIns="45720" anchor="t" anchorCtr="0" upright="1">
                                <a:noAutofit/>
                              </wps:bodyPr>
                            </wps:wsp>
                            <wps:wsp>
                              <wps:cNvPr id="68" name="文本框 45"/>
                              <wps:cNvSpPr txBox="1">
                                <a:spLocks noChangeArrowheads="1"/>
                              </wps:cNvSpPr>
                              <wps:spPr bwMode="auto">
                                <a:xfrm>
                                  <a:off x="3315970" y="2645410"/>
                                  <a:ext cx="560705" cy="292100"/>
                                </a:xfrm>
                                <a:prstGeom prst="rect">
                                  <a:avLst/>
                                </a:prstGeom>
                                <a:noFill/>
                                <a:ln>
                                  <a:noFill/>
                                </a:ln>
                                <a:effectLst/>
                              </wps:spPr>
                              <wps:txbx>
                                <w:txbxContent>
                                  <w:p w14:paraId="1F545086">
                                    <w:pPr>
                                      <w:rPr>
                                        <w:rFonts w:eastAsia="宋体"/>
                                        <w:sz w:val="21"/>
                                        <w:szCs w:val="21"/>
                                      </w:rPr>
                                    </w:pPr>
                                    <w:r>
                                      <w:rPr>
                                        <w:rFonts w:hint="eastAsia"/>
                                        <w:sz w:val="21"/>
                                        <w:szCs w:val="21"/>
                                      </w:rPr>
                                      <w:t>200</w:t>
                                    </w:r>
                                  </w:p>
                                </w:txbxContent>
                              </wps:txbx>
                              <wps:bodyPr rot="0" vert="horz" wrap="square" lIns="91440" tIns="45720" rIns="91440" bIns="45720" anchor="t" anchorCtr="0" upright="1">
                                <a:noAutofit/>
                              </wps:bodyPr>
                            </wps:wsp>
                            <wps:wsp>
                              <wps:cNvPr id="69" name="文本框 14"/>
                              <wps:cNvSpPr txBox="1">
                                <a:spLocks noChangeArrowheads="1"/>
                              </wps:cNvSpPr>
                              <wps:spPr bwMode="auto">
                                <a:xfrm>
                                  <a:off x="737235" y="1038225"/>
                                  <a:ext cx="558800" cy="292100"/>
                                </a:xfrm>
                                <a:prstGeom prst="rect">
                                  <a:avLst/>
                                </a:prstGeom>
                                <a:noFill/>
                                <a:ln>
                                  <a:noFill/>
                                </a:ln>
                                <a:effectLst/>
                              </wps:spPr>
                              <wps:txbx>
                                <w:txbxContent>
                                  <w:p w14:paraId="60DC2F6D">
                                    <w:pPr>
                                      <w:rPr>
                                        <w:rFonts w:eastAsia="宋体"/>
                                        <w:sz w:val="21"/>
                                        <w:szCs w:val="21"/>
                                      </w:rPr>
                                    </w:pPr>
                                    <w:r>
                                      <w:rPr>
                                        <w:sz w:val="21"/>
                                        <w:szCs w:val="21"/>
                                      </w:rPr>
                                      <w:t>6048</w:t>
                                    </w:r>
                                  </w:p>
                                </w:txbxContent>
                              </wps:txbx>
                              <wps:bodyPr rot="0" vert="horz" wrap="square" lIns="91440" tIns="45720" rIns="91440" bIns="45720" anchor="t" anchorCtr="0" upright="1">
                                <a:noAutofit/>
                              </wps:bodyPr>
                            </wps:wsp>
                            <wps:wsp>
                              <wps:cNvPr id="70" name="矩形 4"/>
                              <wps:cNvSpPr>
                                <a:spLocks noChangeArrowheads="1"/>
                              </wps:cNvSpPr>
                              <wps:spPr bwMode="auto">
                                <a:xfrm>
                                  <a:off x="547370" y="2737485"/>
                                  <a:ext cx="692785" cy="291465"/>
                                </a:xfrm>
                                <a:prstGeom prst="rect">
                                  <a:avLst/>
                                </a:prstGeom>
                                <a:solidFill>
                                  <a:srgbClr val="FFFFFF"/>
                                </a:solidFill>
                                <a:ln w="9525">
                                  <a:solidFill>
                                    <a:srgbClr val="000000"/>
                                  </a:solidFill>
                                  <a:miter lim="800000"/>
                                </a:ln>
                                <a:effectLst/>
                              </wps:spPr>
                              <wps:txbx>
                                <w:txbxContent>
                                  <w:p w14:paraId="7B0B48D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新鲜水</w:t>
                                    </w:r>
                                  </w:p>
                                </w:txbxContent>
                              </wps:txbx>
                              <wps:bodyPr rot="0" vert="horz" wrap="square" lIns="91440" tIns="45720" rIns="91440" bIns="45720" anchor="t" anchorCtr="0" upright="1">
                                <a:noAutofit/>
                              </wps:bodyPr>
                            </wps:wsp>
                            <wps:wsp>
                              <wps:cNvPr id="59" name="矩形 59"/>
                              <wps:cNvSpPr>
                                <a:spLocks noChangeArrowheads="1"/>
                              </wps:cNvSpPr>
                              <wps:spPr bwMode="auto">
                                <a:xfrm>
                                  <a:off x="3796665" y="400050"/>
                                  <a:ext cx="979805" cy="445770"/>
                                </a:xfrm>
                                <a:prstGeom prst="rect">
                                  <a:avLst/>
                                </a:prstGeom>
                                <a:solidFill>
                                  <a:srgbClr val="FFFFFF"/>
                                </a:solidFill>
                                <a:ln w="9525">
                                  <a:solidFill>
                                    <a:srgbClr val="000000"/>
                                  </a:solidFill>
                                  <a:miter lim="800000"/>
                                </a:ln>
                                <a:effectLst/>
                              </wps:spPr>
                              <wps:txbx>
                                <w:txbxContent>
                                  <w:p w14:paraId="654EFAD2">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砂石分离及沉淀池</w:t>
                                    </w:r>
                                  </w:p>
                                </w:txbxContent>
                              </wps:txbx>
                              <wps:bodyPr rot="0" vert="horz" wrap="square" lIns="91440" tIns="45720" rIns="91440" bIns="45720" anchor="t" anchorCtr="0" upright="1">
                                <a:noAutofit/>
                              </wps:bodyPr>
                            </wps:wsp>
                            <wps:wsp>
                              <wps:cNvPr id="60" name="直接连接符 60"/>
                              <wps:cNvCnPr>
                                <a:cxnSpLocks noChangeShapeType="1"/>
                              </wps:cNvCnPr>
                              <wps:spPr bwMode="auto">
                                <a:xfrm flipV="1">
                                  <a:off x="3025775" y="608965"/>
                                  <a:ext cx="756285" cy="635"/>
                                </a:xfrm>
                                <a:prstGeom prst="line">
                                  <a:avLst/>
                                </a:prstGeom>
                                <a:noFill/>
                                <a:ln w="9525">
                                  <a:solidFill>
                                    <a:srgbClr val="000000"/>
                                  </a:solidFill>
                                  <a:round/>
                                  <a:tailEnd type="triangle" w="med" len="med"/>
                                </a:ln>
                                <a:effectLst/>
                              </wps:spPr>
                              <wps:bodyPr/>
                            </wps:wsp>
                            <wps:wsp>
                              <wps:cNvPr id="71" name="直接连接符 71"/>
                              <wps:cNvCnPr>
                                <a:cxnSpLocks noChangeShapeType="1"/>
                              </wps:cNvCnPr>
                              <wps:spPr bwMode="auto">
                                <a:xfrm>
                                  <a:off x="4333876" y="845820"/>
                                  <a:ext cx="0" cy="447039"/>
                                </a:xfrm>
                                <a:prstGeom prst="line">
                                  <a:avLst/>
                                </a:prstGeom>
                                <a:noFill/>
                                <a:ln w="9525">
                                  <a:solidFill>
                                    <a:srgbClr val="000000"/>
                                  </a:solidFill>
                                  <a:round/>
                                  <a:tailEnd type="triangle" w="med" len="med"/>
                                </a:ln>
                                <a:effectLst/>
                              </wps:spPr>
                              <wps:bodyPr/>
                            </wps:wsp>
                          </wpc:wpc>
                        </a:graphicData>
                      </a:graphic>
                    </wp:inline>
                  </w:drawing>
                </mc:Choice>
                <mc:Fallback>
                  <w:pict>
                    <v:group id="画布 1" o:spid="_x0000_s1026" o:spt="203" style="height:245.25pt;width:405.75pt;" coordsize="5153025,3114675" editas="canvas" o:gfxdata="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ACO+ru1wAAAAUBAAAPAAAAAAAAAAEA&#10;IAAAACIAAABkcnMvZG93bnJldi54bWxQSwECFAAUAAAACACHTuJA3/cwbKEHAAC/RAAADgAAAAAA&#10;AAABACAAAAAmAQAAZHJzL2Uyb0RvYy54bWxQSwUGAAAAAAYABgBZAQAAOQsAAAAA&#10;">
                      <o:lock v:ext="edit" aspectratio="f"/>
                      <v:shape id="画布 1" o:spid="_x0000_s1026" style="position:absolute;left:0;top:0;height:3114675;width:5153025;" filled="f" stroked="f" coordsize="21600,21600" o:gfxdata="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AI76u7XAAAABQEAAA8AAAAAAAAAAQAgAAAAIgAAAGRycy9kb3ducmV2Lnht&#10;bFBLAQIUABQAAAAIAIdO4kAwWQabUgcAADpEAAAOAAAAAAAAAAEAIAAAACYBAABkcnMvZTJvRG9j&#10;LnhtbFBLBQYAAAAABgAGAFkBAADqCgAAAAA=&#10;">
                        <v:fill on="f" focussize="0,0"/>
                        <v:stroke on="f"/>
                        <v:imagedata o:title=""/>
                        <o:lock v:ext="edit" aspectratio="f"/>
                      </v:shape>
                      <v:line id="直接连接符 2" o:spid="_x0000_s1026" o:spt="20" style="position:absolute;left:1251585;top:598805;flip:y;height:635;width:756285;" filled="f" stroked="t" coordsize="21600,21600" o:gfxdata="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I+Ki1gAAAAUBAAAPAAAAAAAA&#10;AAEAIAAAACIAAABkcnMvZG93bnJldi54bWxQSwECFAAUAAAACACHTuJA40mDNRQCAAD9AwAADgAA&#10;AAAAAAABACAAAAAlAQAAZHJzL2Uyb0RvYy54bWxQSwUGAAAAAAYABgBZAQAAqwUAAAAA&#10;">
                        <v:fill on="f" focussize="0,0"/>
                        <v:stroke color="#000000" joinstyle="round" endarrow="block"/>
                        <v:imagedata o:title=""/>
                        <o:lock v:ext="edit" aspectratio="f"/>
                      </v:line>
                      <v:shape id="直接连接符 3" o:spid="_x0000_s1026" o:spt="32" type="#_x0000_t32" style="position:absolute;left:1251585;top:598805;flip:x;height:1484630;width:1;" filled="f" stroked="t" coordsize="21600,21600" o:gfxdata="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IY+zS1gAAAAUBAAAPAAAAAAAAAAEAIAAAACIA&#10;AABkcnMvZG93bnJldi54bWxQSwECFAAUAAAACACHTuJAXU0FhAsCAADqAwAADgAAAAAAAAABACAA&#10;AAAlAQAAZHJzL2Uyb0RvYy54bWxQSwUGAAAAAAYABgBZAQAAogUAAAAA&#10;">
                        <v:fill on="f" focussize="0,0"/>
                        <v:stroke weight="1pt" color="#000000" miterlimit="8" joinstyle="miter"/>
                        <v:imagedata o:title=""/>
                        <o:lock v:ext="edit" aspectratio="f"/>
                      </v:shape>
                      <v:rect id="矩形 4" o:spid="_x0000_s1026" o:spt="1" style="position:absolute;left:96520;top:970915;height:622300;width:692785;"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HW/A71QAAAAUBAAAPAAAAAAAAAAEAIAAA&#10;ACIAAABkcnMvZG93bnJldi54bWxQSwECFAAUAAAACACHTuJAaGdFCUgCAACRBAAADgAAAAAAAAAB&#10;ACAAAAAkAQAAZHJzL2Uyb0RvYy54bWxQSwUGAAAAAAYABgBZAQAA3gUAAAAA&#10;">
                        <v:fill on="t" focussize="0,0"/>
                        <v:stroke color="#000000" miterlimit="8" joinstyle="miter"/>
                        <v:imagedata o:title=""/>
                        <o:lock v:ext="edit" aspectratio="f"/>
                        <v:textbox>
                          <w:txbxContent>
                            <w:p w14:paraId="690FF070">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王洼煤矿矿井再生水</w:t>
                              </w:r>
                            </w:p>
                          </w:txbxContent>
                        </v:textbox>
                      </v:rect>
                      <v:line id="直接连接符 5" o:spid="_x0000_s1026" o:spt="20" style="position:absolute;left:789305;top:1306830;height:0;width:457200;" filled="f" stroked="t" coordsize="21600,21600" o:gfxdata="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S3fx1wAAAAUBAAAPAAAAAAAAAAEA&#10;IAAAACIAAABkcnMvZG93bnJldi54bWxQSwECFAAUAAAACACHTuJAbx4tmBACAADxAwAADgAAAAAA&#10;AAABACAAAAAmAQAAZHJzL2Uyb0RvYy54bWxQSwUGAAAAAAYABgBZAQAAqAUAAAAA&#10;">
                        <v:fill on="f" focussize="0,0"/>
                        <v:stroke color="#000000" joinstyle="round" endarrow="block"/>
                        <v:imagedata o:title=""/>
                        <o:lock v:ext="edit" aspectratio="f"/>
                      </v:line>
                      <v:rect id="矩形 6" o:spid="_x0000_s1026" o:spt="1" style="position:absolute;left:2015490;top:455930;height:292100;width:1014730;"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db8DvVAAAABQEAAA8AAAAAAAAAAQAg&#10;AAAAIgAAAGRycy9kb3ducmV2LnhtbFBLAQIUABQAAAAIAIdO4kAIzW0CSgIAAJQEAAAOAAAAAAAA&#10;AAEAIAAAACQBAABkcnMvZTJvRG9jLnhtbFBLBQYAAAAABgAGAFkBAADgBQAAAAA=&#10;">
                        <v:fill on="t" focussize="0,0"/>
                        <v:stroke color="#000000" miterlimit="8" joinstyle="miter"/>
                        <v:imagedata o:title=""/>
                        <o:lock v:ext="edit" aspectratio="f"/>
                        <v:textbox>
                          <w:txbxContent>
                            <w:p w14:paraId="2D3F8FB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车辆清洗用水</w:t>
                              </w:r>
                            </w:p>
                          </w:txbxContent>
                        </v:textbox>
                      </v:rect>
                      <v:rect id="矩形 13" o:spid="_x0000_s1026" o:spt="1" style="position:absolute;left:3782060;top:1303655;height:445770;width:1080581;"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db8DvVAAAABQEAAA8AAAAAAAAA&#10;AQAgAAAAIgAAAGRycy9kb3ducmV2LnhtbFBLAQIUABQAAAAIAIdO4kCoMVBhTQIAAJYEAAAOAAAA&#10;AAAAAAEAIAAAACQBAABkcnMvZTJvRG9jLnhtbFBLBQYAAAAABgAGAFkBAADjBQAAAAA=&#10;">
                        <v:fill on="t" focussize="0,0"/>
                        <v:stroke color="#000000" miterlimit="8" joinstyle="miter"/>
                        <v:imagedata o:title=""/>
                        <o:lock v:ext="edit" aspectratio="f"/>
                        <v:textbox>
                          <w:txbxContent>
                            <w:p w14:paraId="41C201F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混凝土搅拌</w:t>
                              </w:r>
                            </w:p>
                            <w:p w14:paraId="250EDCAD">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（一期）</w:t>
                              </w:r>
                            </w:p>
                          </w:txbxContent>
                        </v:textbox>
                      </v:rect>
                      <v:shape id="文本框 14" o:spid="_x0000_s1026" o:spt="202" type="#_x0000_t202" style="position:absolute;left:1398905;top:301625;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7k&#10;kyzUAAAABQEAAA8AAAAAAAAAAQAgAAAAIgAAAGRycy9kb3ducmV2LnhtbFBLAQIUABQAAAAIAIdO&#10;4kDIy0iHJwIAAC8EAAAOAAAAAAAAAAEAIAAAACMBAABkcnMvZTJvRG9jLnhtbFBLBQYAAAAABgAG&#10;AFkBAAC8BQAAAAA=&#10;">
                        <v:fill on="f" focussize="0,0"/>
                        <v:stroke on="f"/>
                        <v:imagedata o:title=""/>
                        <o:lock v:ext="edit" aspectratio="f"/>
                        <v:textbox>
                          <w:txbxContent>
                            <w:p w14:paraId="6C7335BB">
                              <w:pPr>
                                <w:rPr>
                                  <w:rFonts w:eastAsia="宋体"/>
                                  <w:sz w:val="21"/>
                                  <w:szCs w:val="21"/>
                                </w:rPr>
                              </w:pPr>
                              <w:r>
                                <w:rPr>
                                  <w:sz w:val="21"/>
                                  <w:szCs w:val="21"/>
                                </w:rPr>
                                <w:t>2808</w:t>
                              </w:r>
                            </w:p>
                          </w:txbxContent>
                        </v:textbox>
                      </v:shape>
                      <v:shape id="文本框 15" o:spid="_x0000_s1026" o:spt="202" type="#_x0000_t202" style="position:absolute;left:3078480;top:317500;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uST&#10;LNQAAAAFAQAADwAAAAAAAAABACAAAAAiAAAAZHJzL2Rvd25yZXYueG1sUEsBAhQAFAAAAAgAh07i&#10;QElYFUYmAgAALwQAAA4AAAAAAAAAAQAgAAAAIwEAAGRycy9lMm9Eb2MueG1sUEsFBgAAAAAGAAYA&#10;WQEAALsFAAAAAA==&#10;">
                        <v:fill on="f" focussize="0,0"/>
                        <v:stroke on="f"/>
                        <v:imagedata o:title=""/>
                        <o:lock v:ext="edit" aspectratio="f"/>
                        <v:textbox>
                          <w:txbxContent>
                            <w:p w14:paraId="4DA6F027">
                              <w:pPr>
                                <w:rPr>
                                  <w:rFonts w:eastAsia="宋体"/>
                                  <w:sz w:val="21"/>
                                  <w:szCs w:val="21"/>
                                </w:rPr>
                              </w:pPr>
                              <w:r>
                                <w:rPr>
                                  <w:sz w:val="21"/>
                                  <w:szCs w:val="21"/>
                                </w:rPr>
                                <w:t>2246.4</w:t>
                              </w:r>
                            </w:p>
                          </w:txbxContent>
                        </v:textbox>
                      </v:shape>
                      <v:line id="直接连接符 16" o:spid="_x0000_s1026" o:spt="20" style="position:absolute;left:2423795;top:255905;flip:y;height:190500;width:228600;" filled="f" stroked="t" coordsize="21600,21600" o:gfxdata="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W8UMn0wAA&#10;AAUBAAAPAAAAAAAAAAEAIAAAACIAAABkcnMvZG93bnJldi54bWxQSwECFAAUAAAACACHTuJAG123&#10;/SMCAAAZBAAADgAAAAAAAAABACAAAAAiAQAAZHJzL2Uyb0RvYy54bWxQSwUGAAAAAAYABgBZAQAA&#10;twUAAAAA&#10;">
                        <v:fill on="f" focussize="0,0"/>
                        <v:stroke color="#000000" joinstyle="round" dashstyle="dash" endarrow="block"/>
                        <v:imagedata o:title=""/>
                        <o:lock v:ext="edit" aspectratio="f"/>
                      </v:line>
                      <v:shape id="文本框 17" o:spid="_x0000_s1026" o:spt="202" type="#_x0000_t202" style="position:absolute;left:2576195;top:0;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7kkyzUAAAA&#10;BQEAAA8AAAAAAAAAAQAgAAAAIgAAAGRycy9kb3ducmV2LnhtbFBLAQIUABQAAAAIAIdO4kCvfZyd&#10;IQIAACoEAAAOAAAAAAAAAAEAIAAAACMBAABkcnMvZTJvRG9jLnhtbFBLBQYAAAAABgAGAFkBAAC2&#10;BQAAAAA=&#10;">
                        <v:fill on="f" focussize="0,0"/>
                        <v:stroke on="f"/>
                        <v:imagedata o:title=""/>
                        <o:lock v:ext="edit" aspectratio="f"/>
                        <v:textbox>
                          <w:txbxContent>
                            <w:p w14:paraId="009440BC">
                              <w:pPr>
                                <w:rPr>
                                  <w:rFonts w:eastAsia="宋体"/>
                                  <w:sz w:val="21"/>
                                  <w:szCs w:val="21"/>
                                </w:rPr>
                              </w:pPr>
                              <w:r>
                                <w:rPr>
                                  <w:sz w:val="21"/>
                                  <w:szCs w:val="21"/>
                                </w:rPr>
                                <w:t>561.6</w:t>
                              </w:r>
                            </w:p>
                          </w:txbxContent>
                        </v:textbox>
                      </v:shape>
                      <v:line id="直接连接符 23" o:spid="_x0000_s1026" o:spt="20" style="position:absolute;left:1240155;top:2082800;flip:y;height:635;width:756285;" filled="f" stroked="t" coordsize="21600,21600" o:gfxdata="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yPiotYAAAAFAQAADwAA&#10;AAAAAAABACAAAAAiAAAAZHJzL2Rvd25yZXYueG1sUEsBAhQAFAAAAAgAh07iQH99Wg8YAgAA/wMA&#10;AA4AAAAAAAAAAQAgAAAAJQEAAGRycy9lMm9Eb2MueG1sUEsFBgAAAAAGAAYAWQEAAK8FAAAAAA==&#10;">
                        <v:fill on="f" focussize="0,0"/>
                        <v:stroke color="#000000" joinstyle="round" endarrow="block"/>
                        <v:imagedata o:title=""/>
                        <o:lock v:ext="edit" aspectratio="f"/>
                      </v:line>
                      <v:rect id="矩形 24" o:spid="_x0000_s1026" o:spt="1" style="position:absolute;left:2004060;top:1932940;height:292100;width:1014730;"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HW/A71QAAAAUBAAAPAAAAAAAAAAEA&#10;IAAAACIAAABkcnMvZG93bnJldi54bWxQSwECFAAUAAAACACHTuJAlOuxp0sCAACWBAAADgAAAAAA&#10;AAABACAAAAAkAQAAZHJzL2Uyb0RvYy54bWxQSwUGAAAAAAYABgBZAQAA4QUAAAAA&#10;">
                        <v:fill on="t" focussize="0,0"/>
                        <v:stroke color="#000000" miterlimit="8" joinstyle="miter"/>
                        <v:imagedata o:title=""/>
                        <o:lock v:ext="edit" aspectratio="f"/>
                        <v:textbox>
                          <w:txbxContent>
                            <w:p w14:paraId="2A4027D4">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降尘用水</w:t>
                              </w:r>
                            </w:p>
                          </w:txbxContent>
                        </v:textbox>
                      </v:rect>
                      <v:line id="直接连接符 25" o:spid="_x0000_s1026" o:spt="20" style="position:absolute;left:2392045;top:1733550;flip:y;height:190500;width:228600;" filled="f" stroked="t" coordsize="21600,21600" o:gfxdata="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vFDJ9MA&#10;AAAFAQAADwAAAAAAAAABACAAAAAiAAAAZHJzL2Rvd25yZXYueG1sUEsBAhQAFAAAAAgAh07iQM+S&#10;IVwkAgAAGgQAAA4AAAAAAAAAAQAgAAAAIgEAAGRycy9lMm9Eb2MueG1sUEsFBgAAAAAGAAYAWQEA&#10;ALgFAAAAAA==&#10;">
                        <v:fill on="f" focussize="0,0"/>
                        <v:stroke color="#000000" joinstyle="round" dashstyle="dash" endarrow="block"/>
                        <v:imagedata o:title=""/>
                        <o:lock v:ext="edit" aspectratio="f"/>
                      </v:line>
                      <v:shape id="文本框 26" o:spid="_x0000_s1026" o:spt="202" type="#_x0000_t202" style="position:absolute;left:1384935;top:1769745;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7uSTLNQAAAAFAQAADwAAAAAAAAABACAAAAAiAAAAZHJzL2Rvd25yZXYueG1sUEsBAhQAFAAAAAgA&#10;h07iQL6Uo4wpAgAAMAQAAA4AAAAAAAAAAQAgAAAAIwEAAGRycy9lMm9Eb2MueG1sUEsFBgAAAAAG&#10;AAYAWQEAAL4FAAAAAA==&#10;">
                        <v:fill on="f" focussize="0,0"/>
                        <v:stroke on="f"/>
                        <v:imagedata o:title=""/>
                        <o:lock v:ext="edit" aspectratio="f"/>
                        <v:textbox>
                          <w:txbxContent>
                            <w:p w14:paraId="37E49791">
                              <w:pPr>
                                <w:rPr>
                                  <w:rFonts w:eastAsia="宋体"/>
                                  <w:sz w:val="21"/>
                                  <w:szCs w:val="21"/>
                                </w:rPr>
                              </w:pPr>
                              <w:r>
                                <w:rPr>
                                  <w:rFonts w:hint="eastAsia"/>
                                  <w:sz w:val="21"/>
                                  <w:szCs w:val="21"/>
                                </w:rPr>
                                <w:t>3240</w:t>
                              </w:r>
                            </w:p>
                          </w:txbxContent>
                        </v:textbox>
                      </v:shape>
                      <v:shape id="文本框 27" o:spid="_x0000_s1026" o:spt="202" type="#_x0000_t202" style="position:absolute;left:2618105;top:1582420;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u5JMs&#10;1AAAAAUBAAAPAAAAAAAAAAEAIAAAACIAAABkcnMvZG93bnJldi54bWxQSwECFAAUAAAACACHTuJA&#10;yxXc6yUCAAAwBAAADgAAAAAAAAABACAAAAAjAQAAZHJzL2Uyb0RvYy54bWxQSwUGAAAAAAYABgBZ&#10;AQAAugUAAAAA&#10;">
                        <v:fill on="f" focussize="0,0"/>
                        <v:stroke on="f"/>
                        <v:imagedata o:title=""/>
                        <o:lock v:ext="edit" aspectratio="f"/>
                        <v:textbox>
                          <w:txbxContent>
                            <w:p w14:paraId="639E9AAA">
                              <w:pPr>
                                <w:rPr>
                                  <w:rFonts w:eastAsia="宋体"/>
                                  <w:sz w:val="21"/>
                                  <w:szCs w:val="21"/>
                                </w:rPr>
                              </w:pPr>
                              <w:r>
                                <w:rPr>
                                  <w:rFonts w:hint="eastAsia"/>
                                  <w:sz w:val="21"/>
                                  <w:szCs w:val="21"/>
                                </w:rPr>
                                <w:t>3240</w:t>
                              </w:r>
                            </w:p>
                          </w:txbxContent>
                        </v:textbox>
                      </v:shape>
                      <v:line id="直接连接符 38" o:spid="_x0000_s1026" o:spt="20" style="position:absolute;left:1247140;top:2891155;flip:y;height:1;width:685165;" filled="f" stroked="t" coordsize="21600,21600" o:gfxdata="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yPiotYAAAAFAQAADwAA&#10;AAAAAAABACAAAAAiAAAAZHJzL2Rvd25yZXYueG1sUEsBAhQAFAAAAAgAh07iQAlNnd4YAgAA/QMA&#10;AA4AAAAAAAAAAQAgAAAAJQEAAGRycy9lMm9Eb2MueG1sUEsFBgAAAAAGAAYAWQEAAK8FAAAAAA==&#10;">
                        <v:fill on="f" focussize="0,0"/>
                        <v:stroke color="#000000" joinstyle="round" endarrow="block"/>
                        <v:imagedata o:title=""/>
                        <o:lock v:ext="edit" aspectratio="f"/>
                      </v:line>
                      <v:rect id="矩形 39" o:spid="_x0000_s1026" o:spt="1" style="position:absolute;left:1932306;top:2740660;height:291465;width:1300480;"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db8DvVAAAABQEAAA8AAAAAAAAAAQAg&#10;AAAAIgAAAGRycy9kb3ducmV2LnhtbFBLAQIUABQAAAAIAIdO4kAY8ljDSgIAAJYEAAAOAAAAAAAA&#10;AAEAIAAAACQBAABkcnMvZTJvRG9jLnhtbFBLBQYAAAAABgAGAFkBAADgBQAAAAA=&#10;">
                        <v:fill on="t" focussize="0,0"/>
                        <v:stroke color="#000000" miterlimit="8" joinstyle="miter"/>
                        <v:imagedata o:title=""/>
                        <o:lock v:ext="edit" aspectratio="f"/>
                        <v:textbox>
                          <w:txbxContent>
                            <w:p w14:paraId="7D22EE4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生活用水（洗漱）</w:t>
                              </w:r>
                            </w:p>
                          </w:txbxContent>
                        </v:textbox>
                      </v:rect>
                      <v:line id="直接连接符 40" o:spid="_x0000_s1026" o:spt="20" style="position:absolute;left:3249295;top:2909570;flip:y;height:1270;width:537845;" filled="f" stroked="t" coordsize="21600,21600" o:gfxdata="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yPiotYAAAAFAQAA&#10;DwAAAAAAAAABACAAAAAiAAAAZHJzL2Rvd25yZXYueG1sUEsBAhQAFAAAAAgAh07iQHBL+Y8bAgAA&#10;AAQAAA4AAAAAAAAAAQAgAAAAJQEAAGRycy9lMm9Eb2MueG1sUEsFBgAAAAAGAAYAWQEAALIFAAAA&#10;AA==&#10;">
                        <v:fill on="f" focussize="0,0"/>
                        <v:stroke color="#000000" joinstyle="round" endarrow="block"/>
                        <v:imagedata o:title=""/>
                        <o:lock v:ext="edit" aspectratio="f"/>
                      </v:line>
                      <v:shape id="文本框 41" o:spid="_x0000_s1026" o:spt="202" type="#_x0000_t202" style="position:absolute;left:1371600;top:2626360;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7k&#10;kyzUAAAABQEAAA8AAAAAAAAAAQAgAAAAIgAAAGRycy9kb3ducmV2LnhtbFBLAQIUABQAAAAIAIdO&#10;4kDQA2uLJwIAADAEAAAOAAAAAAAAAAEAIAAAACMBAABkcnMvZTJvRG9jLnhtbFBLBQYAAAAABgAG&#10;AFkBAAC8BQAAAAA=&#10;">
                        <v:fill on="f" focussize="0,0"/>
                        <v:stroke on="f"/>
                        <v:imagedata o:title=""/>
                        <o:lock v:ext="edit" aspectratio="f"/>
                        <v:textbox>
                          <w:txbxContent>
                            <w:p w14:paraId="241802D3">
                              <w:pPr>
                                <w:rPr>
                                  <w:rFonts w:eastAsia="宋体"/>
                                  <w:sz w:val="21"/>
                                  <w:szCs w:val="21"/>
                                </w:rPr>
                              </w:pPr>
                              <w:r>
                                <w:rPr>
                                  <w:rFonts w:hint="eastAsia"/>
                                  <w:sz w:val="21"/>
                                  <w:szCs w:val="21"/>
                                </w:rPr>
                                <w:t>250</w:t>
                              </w:r>
                            </w:p>
                          </w:txbxContent>
                        </v:textbox>
                      </v:shape>
                      <v:shape id="文本框 42" o:spid="_x0000_s1026" o:spt="202" type="#_x0000_t202" style="position:absolute;left:2804160;top:2382520;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7k&#10;kyzUAAAABQEAAA8AAAAAAAAAAQAgAAAAIgAAAGRycy9kb3ducmV2LnhtbFBLAQIUABQAAAAIAIdO&#10;4kDMJKaOJwIAADAEAAAOAAAAAAAAAAEAIAAAACMBAABkcnMvZTJvRG9jLnhtbFBLBQYAAAAABgAG&#10;AFkBAAC8BQAAAAA=&#10;">
                        <v:fill on="f" focussize="0,0"/>
                        <v:stroke on="f"/>
                        <v:imagedata o:title=""/>
                        <o:lock v:ext="edit" aspectratio="f"/>
                        <v:textbox>
                          <w:txbxContent>
                            <w:p w14:paraId="2045D626">
                              <w:pPr>
                                <w:rPr>
                                  <w:rFonts w:eastAsia="宋体"/>
                                  <w:sz w:val="21"/>
                                  <w:szCs w:val="21"/>
                                </w:rPr>
                              </w:pPr>
                              <w:r>
                                <w:rPr>
                                  <w:rFonts w:hint="eastAsia"/>
                                  <w:sz w:val="21"/>
                                  <w:szCs w:val="21"/>
                                </w:rPr>
                                <w:t>50</w:t>
                              </w:r>
                            </w:p>
                          </w:txbxContent>
                        </v:textbox>
                      </v:shape>
                      <v:line id="直接连接符 43" o:spid="_x0000_s1026" o:spt="20" style="position:absolute;left:2569210;top:2546985;flip:y;height:190500;width:228600;" filled="f" stroked="t" coordsize="21600,21600" o:gfxdata="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bxQyfT&#10;AAAABQEAAA8AAAAAAAAAAQAgAAAAIgAAAGRycy9kb3ducmV2LnhtbFBLAQIUABQAAAAIAIdO4kAE&#10;dE3eJQIAABoEAAAOAAAAAAAAAAEAIAAAACIBAABkcnMvZTJvRG9jLnhtbFBLBQYAAAAABgAGAFkB&#10;AAC5BQAAAAA=&#10;">
                        <v:fill on="f" focussize="0,0"/>
                        <v:stroke color="#000000" joinstyle="round" dashstyle="dash" endarrow="block"/>
                        <v:imagedata o:title=""/>
                        <o:lock v:ext="edit" aspectratio="f"/>
                      </v:line>
                      <v:shape id="文本框 44" o:spid="_x0000_s1026" o:spt="202" type="#_x0000_t202" style="position:absolute;left:3796665;top:2771775;height:292100;width:796290;"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5JMs1AAAAAUBAAAPAAAAAAAAAAEAIAAAACIAAABkcnMvZG93bnJldi54bWxQSwECFAAUAAAACACH&#10;TuJAJY+aPSgCAAAwBAAADgAAAAAAAAABACAAAAAjAQAAZHJzL2Uyb0RvYy54bWxQSwUGAAAAAAYA&#10;BgBZAQAAvQUAAAAA&#10;">
                        <v:fill on="f" focussize="0,0"/>
                        <v:stroke on="f"/>
                        <v:imagedata o:title=""/>
                        <o:lock v:ext="edit" aspectratio="f"/>
                        <v:textbox>
                          <w:txbxContent>
                            <w:p w14:paraId="3E7FD155">
                              <w:pPr>
                                <w:rPr>
                                  <w:rFonts w:eastAsia="宋体"/>
                                  <w:sz w:val="21"/>
                                  <w:szCs w:val="21"/>
                                </w:rPr>
                              </w:pPr>
                              <w:r>
                                <w:rPr>
                                  <w:rFonts w:hint="eastAsia"/>
                                  <w:sz w:val="21"/>
                                  <w:szCs w:val="21"/>
                                </w:rPr>
                                <w:t>洒水抑尘</w:t>
                              </w:r>
                            </w:p>
                          </w:txbxContent>
                        </v:textbox>
                      </v:shape>
                      <v:shape id="文本框 45" o:spid="_x0000_s1026" o:spt="202" type="#_x0000_t202" style="position:absolute;left:3315970;top:2645410;height:292100;width:560705;"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5JMs1AAAAAUBAAAPAAAAAAAAAAEAIAAAACIAAABkcnMvZG93bnJldi54bWxQSwECFAAUAAAACACH&#10;TuJApbj61CgCAAAwBAAADgAAAAAAAAABACAAAAAjAQAAZHJzL2Uyb0RvYy54bWxQSwUGAAAAAAYA&#10;BgBZAQAAvQUAAAAA&#10;">
                        <v:fill on="f" focussize="0,0"/>
                        <v:stroke on="f"/>
                        <v:imagedata o:title=""/>
                        <o:lock v:ext="edit" aspectratio="f"/>
                        <v:textbox>
                          <w:txbxContent>
                            <w:p w14:paraId="1F545086">
                              <w:pPr>
                                <w:rPr>
                                  <w:rFonts w:eastAsia="宋体"/>
                                  <w:sz w:val="21"/>
                                  <w:szCs w:val="21"/>
                                </w:rPr>
                              </w:pPr>
                              <w:r>
                                <w:rPr>
                                  <w:rFonts w:hint="eastAsia"/>
                                  <w:sz w:val="21"/>
                                  <w:szCs w:val="21"/>
                                </w:rPr>
                                <w:t>200</w:t>
                              </w:r>
                            </w:p>
                          </w:txbxContent>
                        </v:textbox>
                      </v:shape>
                      <v:shape id="文本框 14" o:spid="_x0000_s1026" o:spt="202" type="#_x0000_t202" style="position:absolute;left:737235;top:1038225;height:292100;width:558800;" filled="f" stroked="f" coordsize="21600,21600" o:gfxdata="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5JMs1AAAAAUBAAAPAAAAAAAAAAEAIAAAACIAAABkcnMvZG93bnJldi54bWxQSwECFAAUAAAACACH&#10;TuJA8scURSgCAAAvBAAADgAAAAAAAAABACAAAAAjAQAAZHJzL2Uyb0RvYy54bWxQSwUGAAAAAAYA&#10;BgBZAQAAvQUAAAAA&#10;">
                        <v:fill on="f" focussize="0,0"/>
                        <v:stroke on="f"/>
                        <v:imagedata o:title=""/>
                        <o:lock v:ext="edit" aspectratio="f"/>
                        <v:textbox>
                          <w:txbxContent>
                            <w:p w14:paraId="60DC2F6D">
                              <w:pPr>
                                <w:rPr>
                                  <w:rFonts w:eastAsia="宋体"/>
                                  <w:sz w:val="21"/>
                                  <w:szCs w:val="21"/>
                                </w:rPr>
                              </w:pPr>
                              <w:r>
                                <w:rPr>
                                  <w:sz w:val="21"/>
                                  <w:szCs w:val="21"/>
                                </w:rPr>
                                <w:t>6048</w:t>
                              </w:r>
                            </w:p>
                          </w:txbxContent>
                        </v:textbox>
                      </v:shape>
                      <v:rect id="矩形 4" o:spid="_x0000_s1026" o:spt="1" style="position:absolute;left:547370;top:2737485;height:291465;width:692785;"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db8DvVAAAABQEAAA8AAAAAAAAAAQAgAAAA&#10;IgAAAGRycy9kb3ducmV2LnhtbFBLAQIUABQAAAAIAIdO4kA3YrVnRwIAAJMEAAAOAAAAAAAAAAEA&#10;IAAAACQBAABkcnMvZTJvRG9jLnhtbFBLBQYAAAAABgAGAFkBAADdBQAAAAA=&#10;">
                        <v:fill on="t" focussize="0,0"/>
                        <v:stroke color="#000000" miterlimit="8" joinstyle="miter"/>
                        <v:imagedata o:title=""/>
                        <o:lock v:ext="edit" aspectratio="f"/>
                        <v:textbox>
                          <w:txbxContent>
                            <w:p w14:paraId="7B0B48DB">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新鲜水</w:t>
                              </w:r>
                            </w:p>
                          </w:txbxContent>
                        </v:textbox>
                      </v:rect>
                      <v:rect id="_x0000_s1026" o:spid="_x0000_s1026" o:spt="1" style="position:absolute;left:3796665;top:400050;height:445770;width:979805;" fillcolor="#FFFFFF" filled="t" stroked="t" coordsize="21600,21600" o:gfxdata="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db8DvVAAAABQEAAA8AAAAAAAAAAQAg&#10;AAAAIgAAAGRycy9kb3ducmV2LnhtbFBLAQIUABQAAAAIAIdO4kDWmb1LSgIAAJQEAAAOAAAAAAAA&#10;AAEAIAAAACQBAABkcnMvZTJvRG9jLnhtbFBLBQYAAAAABgAGAFkBAADgBQAAAAA=&#10;">
                        <v:fill on="t" focussize="0,0"/>
                        <v:stroke color="#000000" miterlimit="8" joinstyle="miter"/>
                        <v:imagedata o:title=""/>
                        <o:lock v:ext="edit" aspectratio="f"/>
                        <v:textbox>
                          <w:txbxContent>
                            <w:p w14:paraId="654EFAD2">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砂石分离及沉淀池</w:t>
                              </w:r>
                            </w:p>
                          </w:txbxContent>
                        </v:textbox>
                      </v:rect>
                      <v:line id="_x0000_s1026" o:spid="_x0000_s1026" o:spt="20" style="position:absolute;left:3025775;top:608965;flip:y;height:635;width:756285;" filled="f" stroked="t" coordsize="21600,21600" o:gfxdata="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I+Ki1gAAAAUBAAAPAAAA&#10;AAAAAAEAIAAAACIAAABkcnMvZG93bnJldi54bWxQSwECFAAUAAAACACHTuJA+bxkEBcCAAD+AwAA&#10;DgAAAAAAAAABACAAAAAlAQAAZHJzL2Uyb0RvYy54bWxQSwUGAAAAAAYABgBZAQAArgUAAAAA&#10;">
                        <v:fill on="f" focussize="0,0"/>
                        <v:stroke color="#000000" joinstyle="round" endarrow="block"/>
                        <v:imagedata o:title=""/>
                        <o:lock v:ext="edit" aspectratio="f"/>
                      </v:line>
                      <v:line id="_x0000_s1026" o:spid="_x0000_s1026" o:spt="20" style="position:absolute;left:4333876;top:845820;height:447039;width:0;" filled="f" stroked="t" coordsize="21600,21600" o:gfxdata="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S3fx1wAAAAUBAAAPAAAAAAAAAAEA&#10;IAAAACIAAABkcnMvZG93bnJldi54bWxQSwECFAAUAAAACACHTuJAcmXkFRACAADyAwAADgAAAAAA&#10;AAABACAAAAAmAQAAZHJzL2Uyb0RvYy54bWxQSwUGAAAAAAYABgBZAQAAqAUAAAAA&#10;">
                        <v:fill on="f" focussize="0,0"/>
                        <v:stroke color="#000000" joinstyle="round" endarrow="block"/>
                        <v:imagedata o:title=""/>
                        <o:lock v:ext="edit" aspectratio="f"/>
                      </v:line>
                      <w10:wrap type="none"/>
                      <w10:anchorlock/>
                    </v:group>
                  </w:pict>
                </mc:Fallback>
              </mc:AlternateContent>
            </w:r>
          </w:p>
          <w:p w14:paraId="678FA181">
            <w:pPr>
              <w:ind w:left="2409" w:hanging="2409" w:hangingChars="1000"/>
              <w:jc w:val="center"/>
              <w:rPr>
                <w:rFonts w:eastAsia="宋体"/>
                <w:color w:val="000000" w:themeColor="text1"/>
                <w14:textFill>
                  <w14:solidFill>
                    <w14:schemeClr w14:val="tx1"/>
                  </w14:solidFill>
                </w14:textFill>
              </w:rPr>
            </w:pPr>
            <w:r>
              <w:rPr>
                <w:rFonts w:eastAsia="宋体"/>
                <w:b/>
                <w:bCs/>
                <w:color w:val="000000" w:themeColor="text1"/>
                <w14:textFill>
                  <w14:solidFill>
                    <w14:schemeClr w14:val="tx1"/>
                  </w14:solidFill>
                </w14:textFill>
              </w:rPr>
              <w:t>图2-1</w:t>
            </w:r>
            <w:r>
              <w:rPr>
                <w:rFonts w:eastAsia="宋体"/>
                <w:color w:val="000000" w:themeColor="text1"/>
                <w14:textFill>
                  <w14:solidFill>
                    <w14:schemeClr w14:val="tx1"/>
                  </w14:solidFill>
                </w14:textFill>
              </w:rPr>
              <w:t xml:space="preserve">   </w:t>
            </w:r>
            <w:r>
              <w:rPr>
                <w:rFonts w:eastAsia="宋体"/>
                <w:b/>
                <w:bCs/>
                <w:color w:val="000000" w:themeColor="text1"/>
                <w14:textFill>
                  <w14:solidFill>
                    <w14:schemeClr w14:val="tx1"/>
                  </w14:solidFill>
                </w14:textFill>
              </w:rPr>
              <w:t>项目水平衡图   单位：m³/a</w:t>
            </w:r>
          </w:p>
          <w:p w14:paraId="0C33D285">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（4）供电</w:t>
            </w:r>
          </w:p>
          <w:p w14:paraId="3B1FE713">
            <w:pPr>
              <w:pStyle w:val="71"/>
              <w:snapToGrid w:val="0"/>
              <w:spacing w:line="360" w:lineRule="auto"/>
              <w:ind w:firstLine="480" w:firstLineChars="200"/>
              <w:textAlignment w:val="auto"/>
              <w:rPr>
                <w:rFonts w:ascii="Times New Roman" w:eastAsia="宋体" w:cs="Times New Roman"/>
                <w:color w:val="000000" w:themeColor="text1"/>
                <w14:textFill>
                  <w14:solidFill>
                    <w14:schemeClr w14:val="tx1"/>
                  </w14:solidFill>
                </w14:textFill>
              </w:rPr>
            </w:pPr>
            <w:r>
              <w:rPr>
                <w:rFonts w:ascii="Times New Roman" w:eastAsia="宋体" w:cs="Times New Roman"/>
                <w:color w:val="000000" w:themeColor="text1"/>
                <w14:textFill>
                  <w14:solidFill>
                    <w14:schemeClr w14:val="tx1"/>
                  </w14:solidFill>
                </w14:textFill>
              </w:rPr>
              <w:t>项目供电由彭阳县供电电网接入。</w:t>
            </w:r>
          </w:p>
          <w:p w14:paraId="51F08491">
            <w:pPr>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8、劳动定员及工作制度</w:t>
            </w:r>
          </w:p>
          <w:p w14:paraId="131A7F27">
            <w:pPr>
              <w:pStyle w:val="7"/>
              <w:keepLines w:val="0"/>
              <w:tabs>
                <w:tab w:val="right" w:pos="525"/>
                <w:tab w:val="left" w:pos="1418"/>
              </w:tabs>
              <w:spacing w:before="0" w:after="0" w:line="360" w:lineRule="auto"/>
              <w:ind w:firstLine="480" w:firstLineChars="200"/>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val="0"/>
                <w:bCs w:val="0"/>
                <w:color w:val="000000" w:themeColor="text1"/>
                <w:sz w:val="24"/>
                <w:szCs w:val="24"/>
                <w14:textFill>
                  <w14:solidFill>
                    <w14:schemeClr w14:val="tx1"/>
                  </w14:solidFill>
                </w14:textFill>
              </w:rPr>
              <w:t>本项目新增劳动定员10人，24小时工作制，四班三倒，年工作270天。</w:t>
            </w:r>
          </w:p>
          <w:p w14:paraId="7A8CB1CA">
            <w:pPr>
              <w:pStyle w:val="4"/>
              <w:adjustRightInd w:val="0"/>
              <w:snapToGrid w:val="0"/>
              <w:ind w:firstLine="482"/>
              <w:jc w:val="both"/>
              <w:rPr>
                <w:color w:val="000000" w:themeColor="text1"/>
                <w14:textFill>
                  <w14:solidFill>
                    <w14:schemeClr w14:val="tx1"/>
                  </w14:solidFill>
                </w14:textFill>
              </w:rPr>
            </w:pPr>
            <w:r>
              <w:rPr>
                <w:color w:val="000000" w:themeColor="text1"/>
                <w14:textFill>
                  <w14:solidFill>
                    <w14:schemeClr w14:val="tx1"/>
                  </w14:solidFill>
                </w14:textFill>
              </w:rPr>
              <w:t>9、平面布置及其合理性</w:t>
            </w:r>
          </w:p>
          <w:p w14:paraId="08E1DCD6">
            <w:pPr>
              <w:pStyle w:val="65"/>
              <w:tabs>
                <w:tab w:val="left" w:pos="420"/>
              </w:tabs>
              <w:jc w:val="both"/>
              <w:rPr>
                <w:rFonts w:ascii="Times New Roman" w:hAnsi="Times New Roman" w:eastAsia="宋体"/>
                <w:color w:val="000000" w:themeColor="text1"/>
                <w:szCs w:val="24"/>
                <w:lang w:eastAsia="zh-CN"/>
                <w14:textFill>
                  <w14:solidFill>
                    <w14:schemeClr w14:val="tx1"/>
                  </w14:solidFill>
                </w14:textFill>
              </w:rPr>
            </w:pPr>
            <w:r>
              <w:rPr>
                <w:rFonts w:ascii="Times New Roman" w:hAnsi="Times New Roman" w:eastAsia="宋体"/>
                <w:color w:val="000000" w:themeColor="text1"/>
                <w:szCs w:val="24"/>
                <w:lang w:eastAsia="zh-CN"/>
                <w14:textFill>
                  <w14:solidFill>
                    <w14:schemeClr w14:val="tx1"/>
                  </w14:solidFill>
                </w14:textFill>
              </w:rPr>
              <w:t>本项目利用现有厂区内空地进行建设，平面布置为充分利用现有场地及厂区地形，尽量满足工艺装置的生产要求和原料、成品的物流储运要求，布置集中紧凑。石灰石加工车间位于厂区东北侧，建筑垃圾加工车间于厂区西北侧，再生骨料仓及再生水稳料仓</w:t>
            </w:r>
            <w:r>
              <w:rPr>
                <w:rFonts w:ascii="Times New Roman" w:hAnsi="Times New Roman" w:eastAsia="宋体"/>
                <w:color w:val="000000" w:themeColor="text1"/>
                <w:szCs w:val="24"/>
                <w:lang w:eastAsia="zh-CN" w:bidi="ar"/>
                <w14:textFill>
                  <w14:solidFill>
                    <w14:schemeClr w14:val="tx1"/>
                  </w14:solidFill>
                </w14:textFill>
              </w:rPr>
              <w:t>位于厂区西侧</w:t>
            </w:r>
            <w:r>
              <w:rPr>
                <w:rFonts w:ascii="Times New Roman" w:hAnsi="Times New Roman" w:eastAsia="宋体"/>
                <w:color w:val="000000" w:themeColor="text1"/>
                <w:szCs w:val="24"/>
                <w:lang w:eastAsia="zh-CN"/>
                <w14:textFill>
                  <w14:solidFill>
                    <w14:schemeClr w14:val="tx1"/>
                  </w14:solidFill>
                </w14:textFill>
              </w:rPr>
              <w:t>。充分考虑了生产车间内各装置的衔接关系，力求工艺线路流畅、布置紧凑合理，同时满足防火、防爆、安全等多方面要求。从总平面的布置看，基本按工艺流畅进行布置，能符合生产工艺流程的要求以缩短物料的输送路线。项目生产设备均安置在厂房内，生产设备运行的噪声对外环境的影响经过厂房墙体的遮挡得到衰减，厂界可以达标排放。从环境保护的角度，本项目的总平面布置是合理的，平面布置图见附图7。</w:t>
            </w:r>
          </w:p>
          <w:p w14:paraId="5BE1B557">
            <w:pPr>
              <w:pStyle w:val="4"/>
              <w:adjustRightInd w:val="0"/>
              <w:snapToGrid w:val="0"/>
              <w:ind w:firstLine="482"/>
              <w:rPr>
                <w:color w:val="000000" w:themeColor="text1"/>
                <w14:textFill>
                  <w14:solidFill>
                    <w14:schemeClr w14:val="tx1"/>
                  </w14:solidFill>
                </w14:textFill>
              </w:rPr>
            </w:pPr>
            <w:r>
              <w:rPr>
                <w:color w:val="000000" w:themeColor="text1"/>
                <w14:textFill>
                  <w14:solidFill>
                    <w14:schemeClr w14:val="tx1"/>
                  </w14:solidFill>
                </w14:textFill>
              </w:rPr>
              <w:t>10、环保投资</w:t>
            </w:r>
          </w:p>
          <w:p w14:paraId="04F727E1">
            <w:pPr>
              <w:adjustRightInd w:val="0"/>
              <w:snapToGrid w:val="0"/>
              <w:ind w:firstLine="482" w:firstLineChars="200"/>
              <w:rPr>
                <w:rFonts w:eastAsia="宋体"/>
                <w:b/>
                <w:color w:val="000000" w:themeColor="text1"/>
                <w:kern w:val="0"/>
                <w14:textFill>
                  <w14:solidFill>
                    <w14:schemeClr w14:val="tx1"/>
                  </w14:solidFill>
                </w14:textFill>
              </w:rPr>
            </w:pPr>
          </w:p>
          <w:p w14:paraId="18C196E4">
            <w:pPr>
              <w:adjustRightInd w:val="0"/>
              <w:snapToGrid w:val="0"/>
              <w:ind w:firstLine="482" w:firstLineChars="200"/>
              <w:rPr>
                <w:rFonts w:eastAsia="宋体"/>
                <w:b/>
                <w:color w:val="000000" w:themeColor="text1"/>
                <w:kern w:val="0"/>
                <w14:textFill>
                  <w14:solidFill>
                    <w14:schemeClr w14:val="tx1"/>
                  </w14:solidFill>
                </w14:textFill>
              </w:rPr>
            </w:pPr>
          </w:p>
          <w:p w14:paraId="7CF6B2E5">
            <w:pPr>
              <w:adjustRightInd w:val="0"/>
              <w:snapToGrid w:val="0"/>
              <w:ind w:firstLine="482" w:firstLineChars="200"/>
              <w:rPr>
                <w:rFonts w:eastAsia="宋体"/>
                <w:b/>
                <w:color w:val="000000" w:themeColor="text1"/>
                <w:kern w:val="0"/>
                <w14:textFill>
                  <w14:solidFill>
                    <w14:schemeClr w14:val="tx1"/>
                  </w14:solidFill>
                </w14:textFill>
              </w:rPr>
            </w:pPr>
            <w:r>
              <w:rPr>
                <w:rFonts w:eastAsia="宋体"/>
                <w:b/>
                <w:color w:val="000000" w:themeColor="text1"/>
                <w:kern w:val="0"/>
                <w14:textFill>
                  <w14:solidFill>
                    <w14:schemeClr w14:val="tx1"/>
                  </w14:solidFill>
                </w14:textFill>
              </w:rPr>
              <w:t>表2-9                  工程环保投资一览表</w:t>
            </w:r>
          </w:p>
          <w:tbl>
            <w:tblPr>
              <w:tblStyle w:val="36"/>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63"/>
              <w:gridCol w:w="547"/>
              <w:gridCol w:w="1192"/>
              <w:gridCol w:w="4333"/>
              <w:gridCol w:w="1462"/>
            </w:tblGrid>
            <w:tr w14:paraId="32CD92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tcBorders>
                    <w:tl2br w:val="nil"/>
                    <w:tr2bl w:val="nil"/>
                  </w:tcBorders>
                  <w:shd w:val="clear" w:color="auto" w:fill="auto"/>
                  <w:vAlign w:val="center"/>
                </w:tcPr>
                <w:p w14:paraId="1F39E61E">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1"/>
                      <w:sz w:val="21"/>
                      <w:szCs w:val="21"/>
                      <w14:textFill>
                        <w14:solidFill>
                          <w14:schemeClr w14:val="tx1"/>
                        </w14:solidFill>
                      </w14:textFill>
                    </w:rPr>
                    <w:t>时段</w:t>
                  </w:r>
                </w:p>
              </w:tc>
              <w:tc>
                <w:tcPr>
                  <w:tcW w:w="1035" w:type="pct"/>
                  <w:gridSpan w:val="2"/>
                  <w:tcBorders>
                    <w:tl2br w:val="nil"/>
                    <w:tr2bl w:val="nil"/>
                  </w:tcBorders>
                  <w:shd w:val="clear" w:color="auto" w:fill="auto"/>
                  <w:vAlign w:val="center"/>
                </w:tcPr>
                <w:p w14:paraId="0B3DC82C">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5"/>
                      <w:sz w:val="21"/>
                      <w:szCs w:val="21"/>
                      <w14:textFill>
                        <w14:solidFill>
                          <w14:schemeClr w14:val="tx1"/>
                        </w14:solidFill>
                      </w14:textFill>
                    </w:rPr>
                    <w:t>污染源</w:t>
                  </w:r>
                </w:p>
              </w:tc>
              <w:tc>
                <w:tcPr>
                  <w:tcW w:w="2580" w:type="pct"/>
                  <w:tcBorders>
                    <w:tl2br w:val="nil"/>
                    <w:tr2bl w:val="nil"/>
                  </w:tcBorders>
                  <w:shd w:val="clear" w:color="auto" w:fill="auto"/>
                  <w:vAlign w:val="center"/>
                </w:tcPr>
                <w:p w14:paraId="5C34E718">
                  <w:pPr>
                    <w:jc w:val="center"/>
                    <w:rPr>
                      <w:rFonts w:eastAsia="宋体"/>
                      <w:color w:val="000000" w:themeColor="text1"/>
                      <w:sz w:val="21"/>
                      <w:szCs w:val="21"/>
                      <w14:textFill>
                        <w14:solidFill>
                          <w14:schemeClr w14:val="tx1"/>
                        </w14:solidFill>
                      </w14:textFill>
                    </w:rPr>
                  </w:pPr>
                  <w:r>
                    <w:rPr>
                      <w:rFonts w:eastAsia="宋体"/>
                      <w:b/>
                      <w:bCs/>
                      <w:color w:val="000000" w:themeColor="text1"/>
                      <w:spacing w:val="5"/>
                      <w:sz w:val="21"/>
                      <w:szCs w:val="21"/>
                      <w14:textFill>
                        <w14:solidFill>
                          <w14:schemeClr w14:val="tx1"/>
                        </w14:solidFill>
                      </w14:textFill>
                    </w:rPr>
                    <w:t>治理措施</w:t>
                  </w:r>
                </w:p>
              </w:tc>
              <w:tc>
                <w:tcPr>
                  <w:tcW w:w="870" w:type="pct"/>
                  <w:tcBorders>
                    <w:tl2br w:val="nil"/>
                    <w:tr2bl w:val="nil"/>
                  </w:tcBorders>
                  <w:shd w:val="clear" w:color="auto" w:fill="auto"/>
                  <w:vAlign w:val="center"/>
                </w:tcPr>
                <w:p w14:paraId="74927CE0">
                  <w:pPr>
                    <w:jc w:val="center"/>
                    <w:rPr>
                      <w:rFonts w:eastAsia="宋体"/>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投资金额（万元）</w:t>
                  </w:r>
                </w:p>
              </w:tc>
            </w:tr>
            <w:tr w14:paraId="52E954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restart"/>
                  <w:tcBorders>
                    <w:tl2br w:val="nil"/>
                    <w:tr2bl w:val="nil"/>
                  </w:tcBorders>
                  <w:shd w:val="clear" w:color="auto" w:fill="auto"/>
                  <w:vAlign w:val="center"/>
                </w:tcPr>
                <w:p w14:paraId="137C7B74">
                  <w:pPr>
                    <w:jc w:val="center"/>
                    <w:rPr>
                      <w:rFonts w:eastAsia="宋体"/>
                      <w:color w:val="000000" w:themeColor="text1"/>
                      <w:sz w:val="21"/>
                      <w:szCs w:val="21"/>
                      <w14:textFill>
                        <w14:solidFill>
                          <w14:schemeClr w14:val="tx1"/>
                        </w14:solidFill>
                      </w14:textFill>
                    </w:rPr>
                  </w:pPr>
                  <w:r>
                    <w:rPr>
                      <w:rFonts w:eastAsia="宋体"/>
                      <w:color w:val="000000" w:themeColor="text1"/>
                      <w:spacing w:val="5"/>
                      <w:sz w:val="21"/>
                      <w:szCs w:val="21"/>
                      <w14:textFill>
                        <w14:solidFill>
                          <w14:schemeClr w14:val="tx1"/>
                        </w14:solidFill>
                      </w14:textFill>
                    </w:rPr>
                    <w:t>施工</w:t>
                  </w:r>
                  <w:r>
                    <w:rPr>
                      <w:rFonts w:eastAsia="宋体"/>
                      <w:color w:val="000000" w:themeColor="text1"/>
                      <w:sz w:val="21"/>
                      <w:szCs w:val="21"/>
                      <w14:textFill>
                        <w14:solidFill>
                          <w14:schemeClr w14:val="tx1"/>
                        </w14:solidFill>
                      </w14:textFill>
                    </w:rPr>
                    <w:t>期</w:t>
                  </w:r>
                </w:p>
              </w:tc>
              <w:tc>
                <w:tcPr>
                  <w:tcW w:w="1035" w:type="pct"/>
                  <w:gridSpan w:val="2"/>
                  <w:tcBorders>
                    <w:tl2br w:val="nil"/>
                    <w:tr2bl w:val="nil"/>
                  </w:tcBorders>
                  <w:shd w:val="clear" w:color="auto" w:fill="auto"/>
                  <w:vAlign w:val="center"/>
                </w:tcPr>
                <w:p w14:paraId="6376E1AF">
                  <w:pPr>
                    <w:jc w:val="center"/>
                    <w:rPr>
                      <w:rFonts w:eastAsia="宋体"/>
                      <w:color w:val="000000" w:themeColor="text1"/>
                      <w:sz w:val="21"/>
                      <w:szCs w:val="21"/>
                      <w14:textFill>
                        <w14:solidFill>
                          <w14:schemeClr w14:val="tx1"/>
                        </w14:solidFill>
                      </w14:textFill>
                    </w:rPr>
                  </w:pPr>
                  <w:r>
                    <w:rPr>
                      <w:rFonts w:eastAsia="宋体"/>
                      <w:color w:val="000000" w:themeColor="text1"/>
                      <w:spacing w:val="7"/>
                      <w:sz w:val="21"/>
                      <w:szCs w:val="21"/>
                      <w14:textFill>
                        <w14:solidFill>
                          <w14:schemeClr w14:val="tx1"/>
                        </w14:solidFill>
                      </w14:textFill>
                    </w:rPr>
                    <w:t>废气治理</w:t>
                  </w:r>
                </w:p>
              </w:tc>
              <w:tc>
                <w:tcPr>
                  <w:tcW w:w="2580" w:type="pct"/>
                  <w:tcBorders>
                    <w:tl2br w:val="nil"/>
                    <w:tr2bl w:val="nil"/>
                  </w:tcBorders>
                  <w:shd w:val="clear" w:color="auto" w:fill="auto"/>
                  <w:vAlign w:val="center"/>
                </w:tcPr>
                <w:p w14:paraId="62BCD548">
                  <w:pPr>
                    <w:jc w:val="center"/>
                    <w:rPr>
                      <w:rFonts w:eastAsia="宋体"/>
                      <w:color w:val="000000" w:themeColor="text1"/>
                      <w:sz w:val="21"/>
                      <w:szCs w:val="21"/>
                      <w14:textFill>
                        <w14:solidFill>
                          <w14:schemeClr w14:val="tx1"/>
                        </w14:solidFill>
                      </w14:textFill>
                    </w:rPr>
                  </w:pPr>
                  <w:r>
                    <w:rPr>
                      <w:rFonts w:eastAsia="宋体"/>
                      <w:color w:val="000000" w:themeColor="text1"/>
                      <w:spacing w:val="4"/>
                      <w:sz w:val="21"/>
                      <w:szCs w:val="21"/>
                      <w14:textFill>
                        <w14:solidFill>
                          <w14:schemeClr w14:val="tx1"/>
                        </w14:solidFill>
                      </w14:textFill>
                    </w:rPr>
                    <w:t>洒水抑尘、设置密目安全网、车</w:t>
                  </w:r>
                  <w:r>
                    <w:rPr>
                      <w:rFonts w:eastAsia="宋体"/>
                      <w:color w:val="000000" w:themeColor="text1"/>
                      <w:spacing w:val="8"/>
                      <w:sz w:val="21"/>
                      <w:szCs w:val="21"/>
                      <w14:textFill>
                        <w14:solidFill>
                          <w14:schemeClr w14:val="tx1"/>
                        </w14:solidFill>
                      </w14:textFill>
                    </w:rPr>
                    <w:t>辆加盖苫布等</w:t>
                  </w:r>
                </w:p>
              </w:tc>
              <w:tc>
                <w:tcPr>
                  <w:tcW w:w="870" w:type="pct"/>
                  <w:tcBorders>
                    <w:tl2br w:val="nil"/>
                    <w:tr2bl w:val="nil"/>
                  </w:tcBorders>
                  <w:shd w:val="clear" w:color="auto" w:fill="auto"/>
                  <w:vAlign w:val="center"/>
                </w:tcPr>
                <w:p w14:paraId="014F1BC7">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2</w:t>
                  </w:r>
                </w:p>
              </w:tc>
            </w:tr>
            <w:tr w14:paraId="47345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5C6E7ADA">
                  <w:pPr>
                    <w:jc w:val="center"/>
                    <w:rPr>
                      <w:rFonts w:eastAsia="宋体"/>
                      <w:color w:val="000000" w:themeColor="text1"/>
                      <w:spacing w:val="5"/>
                      <w:sz w:val="21"/>
                      <w:szCs w:val="21"/>
                      <w14:textFill>
                        <w14:solidFill>
                          <w14:schemeClr w14:val="tx1"/>
                        </w14:solidFill>
                      </w14:textFill>
                    </w:rPr>
                  </w:pPr>
                </w:p>
              </w:tc>
              <w:tc>
                <w:tcPr>
                  <w:tcW w:w="1035" w:type="pct"/>
                  <w:gridSpan w:val="2"/>
                  <w:tcBorders>
                    <w:tl2br w:val="nil"/>
                    <w:tr2bl w:val="nil"/>
                  </w:tcBorders>
                  <w:shd w:val="clear" w:color="auto" w:fill="auto"/>
                  <w:vAlign w:val="center"/>
                </w:tcPr>
                <w:p w14:paraId="64F18844">
                  <w:pPr>
                    <w:jc w:val="center"/>
                    <w:rPr>
                      <w:rFonts w:eastAsia="宋体"/>
                      <w:color w:val="000000" w:themeColor="text1"/>
                      <w:spacing w:val="7"/>
                      <w:sz w:val="21"/>
                      <w:szCs w:val="21"/>
                      <w14:textFill>
                        <w14:solidFill>
                          <w14:schemeClr w14:val="tx1"/>
                        </w14:solidFill>
                      </w14:textFill>
                    </w:rPr>
                  </w:pPr>
                  <w:r>
                    <w:rPr>
                      <w:rFonts w:eastAsia="宋体"/>
                      <w:color w:val="000000" w:themeColor="text1"/>
                      <w:spacing w:val="7"/>
                      <w:sz w:val="21"/>
                      <w:szCs w:val="21"/>
                      <w14:textFill>
                        <w14:solidFill>
                          <w14:schemeClr w14:val="tx1"/>
                        </w14:solidFill>
                      </w14:textFill>
                    </w:rPr>
                    <w:t>废水治理</w:t>
                  </w:r>
                </w:p>
              </w:tc>
              <w:tc>
                <w:tcPr>
                  <w:tcW w:w="2580" w:type="pct"/>
                  <w:tcBorders>
                    <w:tl2br w:val="nil"/>
                    <w:tr2bl w:val="nil"/>
                  </w:tcBorders>
                  <w:shd w:val="clear" w:color="auto" w:fill="auto"/>
                  <w:vAlign w:val="center"/>
                </w:tcPr>
                <w:p w14:paraId="210595E9">
                  <w:pPr>
                    <w:jc w:val="center"/>
                    <w:rPr>
                      <w:rFonts w:eastAsia="宋体"/>
                      <w:color w:val="000000" w:themeColor="text1"/>
                      <w:spacing w:val="4"/>
                      <w:sz w:val="21"/>
                      <w:szCs w:val="21"/>
                      <w14:textFill>
                        <w14:solidFill>
                          <w14:schemeClr w14:val="tx1"/>
                        </w14:solidFill>
                      </w14:textFill>
                    </w:rPr>
                  </w:pPr>
                  <w:r>
                    <w:rPr>
                      <w:rFonts w:eastAsia="宋体"/>
                      <w:color w:val="000000" w:themeColor="text1"/>
                      <w:spacing w:val="4"/>
                      <w:sz w:val="21"/>
                      <w:szCs w:val="21"/>
                      <w14:textFill>
                        <w14:solidFill>
                          <w14:schemeClr w14:val="tx1"/>
                        </w14:solidFill>
                      </w14:textFill>
                    </w:rPr>
                    <w:t>设置临时防渗旱厕，定期委托环卫部门清掏施工废水经临时沉淀池沉淀后回用</w:t>
                  </w:r>
                </w:p>
              </w:tc>
              <w:tc>
                <w:tcPr>
                  <w:tcW w:w="870" w:type="pct"/>
                  <w:tcBorders>
                    <w:tl2br w:val="nil"/>
                    <w:tr2bl w:val="nil"/>
                  </w:tcBorders>
                  <w:shd w:val="clear" w:color="auto" w:fill="auto"/>
                  <w:vAlign w:val="center"/>
                </w:tcPr>
                <w:p w14:paraId="6E54D320">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w:t>
                  </w:r>
                </w:p>
              </w:tc>
            </w:tr>
            <w:tr w14:paraId="2623C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3E09F019">
                  <w:pPr>
                    <w:jc w:val="center"/>
                    <w:rPr>
                      <w:rFonts w:eastAsia="宋体"/>
                      <w:color w:val="000000" w:themeColor="text1"/>
                      <w:spacing w:val="5"/>
                      <w:sz w:val="21"/>
                      <w:szCs w:val="21"/>
                      <w14:textFill>
                        <w14:solidFill>
                          <w14:schemeClr w14:val="tx1"/>
                        </w14:solidFill>
                      </w14:textFill>
                    </w:rPr>
                  </w:pPr>
                </w:p>
              </w:tc>
              <w:tc>
                <w:tcPr>
                  <w:tcW w:w="1035" w:type="pct"/>
                  <w:gridSpan w:val="2"/>
                  <w:tcBorders>
                    <w:tl2br w:val="nil"/>
                    <w:tr2bl w:val="nil"/>
                  </w:tcBorders>
                  <w:shd w:val="clear" w:color="auto" w:fill="auto"/>
                  <w:vAlign w:val="center"/>
                </w:tcPr>
                <w:p w14:paraId="7FD0D96A">
                  <w:pPr>
                    <w:jc w:val="center"/>
                    <w:rPr>
                      <w:rFonts w:eastAsia="宋体"/>
                      <w:color w:val="000000" w:themeColor="text1"/>
                      <w:spacing w:val="7"/>
                      <w:sz w:val="21"/>
                      <w:szCs w:val="21"/>
                      <w14:textFill>
                        <w14:solidFill>
                          <w14:schemeClr w14:val="tx1"/>
                        </w14:solidFill>
                      </w14:textFill>
                    </w:rPr>
                  </w:pPr>
                  <w:r>
                    <w:rPr>
                      <w:rFonts w:eastAsia="宋体"/>
                      <w:color w:val="000000" w:themeColor="text1"/>
                      <w:spacing w:val="7"/>
                      <w:sz w:val="21"/>
                      <w:szCs w:val="21"/>
                      <w14:textFill>
                        <w14:solidFill>
                          <w14:schemeClr w14:val="tx1"/>
                        </w14:solidFill>
                      </w14:textFill>
                    </w:rPr>
                    <w:t>噪声治理</w:t>
                  </w:r>
                </w:p>
              </w:tc>
              <w:tc>
                <w:tcPr>
                  <w:tcW w:w="2580" w:type="pct"/>
                  <w:tcBorders>
                    <w:tl2br w:val="nil"/>
                    <w:tr2bl w:val="nil"/>
                  </w:tcBorders>
                  <w:shd w:val="clear" w:color="auto" w:fill="auto"/>
                  <w:vAlign w:val="center"/>
                </w:tcPr>
                <w:p w14:paraId="0A31C0EE">
                  <w:pPr>
                    <w:jc w:val="center"/>
                    <w:rPr>
                      <w:rFonts w:eastAsia="宋体"/>
                      <w:color w:val="000000" w:themeColor="text1"/>
                      <w:spacing w:val="4"/>
                      <w:sz w:val="21"/>
                      <w:szCs w:val="21"/>
                      <w14:textFill>
                        <w14:solidFill>
                          <w14:schemeClr w14:val="tx1"/>
                        </w14:solidFill>
                      </w14:textFill>
                    </w:rPr>
                  </w:pPr>
                  <w:r>
                    <w:rPr>
                      <w:rFonts w:eastAsia="宋体"/>
                      <w:color w:val="000000" w:themeColor="text1"/>
                      <w:spacing w:val="4"/>
                      <w:sz w:val="21"/>
                      <w:szCs w:val="21"/>
                      <w14:textFill>
                        <w14:solidFill>
                          <w14:schemeClr w14:val="tx1"/>
                        </w14:solidFill>
                      </w14:textFill>
                    </w:rPr>
                    <w:t>采用低噪声设备，加强设备检修、养护</w:t>
                  </w:r>
                </w:p>
              </w:tc>
              <w:tc>
                <w:tcPr>
                  <w:tcW w:w="870" w:type="pct"/>
                  <w:tcBorders>
                    <w:tl2br w:val="nil"/>
                    <w:tr2bl w:val="nil"/>
                  </w:tcBorders>
                  <w:shd w:val="clear" w:color="auto" w:fill="auto"/>
                  <w:vAlign w:val="center"/>
                </w:tcPr>
                <w:p w14:paraId="31C32308">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w:t>
                  </w:r>
                </w:p>
              </w:tc>
            </w:tr>
            <w:tr w14:paraId="7D58A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45E55EE0">
                  <w:pPr>
                    <w:jc w:val="center"/>
                    <w:rPr>
                      <w:rFonts w:eastAsia="宋体"/>
                      <w:color w:val="000000" w:themeColor="text1"/>
                      <w:spacing w:val="5"/>
                      <w:sz w:val="21"/>
                      <w:szCs w:val="21"/>
                      <w14:textFill>
                        <w14:solidFill>
                          <w14:schemeClr w14:val="tx1"/>
                        </w14:solidFill>
                      </w14:textFill>
                    </w:rPr>
                  </w:pPr>
                </w:p>
              </w:tc>
              <w:tc>
                <w:tcPr>
                  <w:tcW w:w="1035" w:type="pct"/>
                  <w:gridSpan w:val="2"/>
                  <w:tcBorders>
                    <w:tl2br w:val="nil"/>
                    <w:tr2bl w:val="nil"/>
                  </w:tcBorders>
                  <w:shd w:val="clear" w:color="auto" w:fill="auto"/>
                  <w:vAlign w:val="center"/>
                </w:tcPr>
                <w:p w14:paraId="3A6484BA">
                  <w:pPr>
                    <w:jc w:val="center"/>
                    <w:rPr>
                      <w:rFonts w:eastAsia="宋体"/>
                      <w:color w:val="000000" w:themeColor="text1"/>
                      <w:spacing w:val="7"/>
                      <w:sz w:val="21"/>
                      <w:szCs w:val="21"/>
                      <w14:textFill>
                        <w14:solidFill>
                          <w14:schemeClr w14:val="tx1"/>
                        </w14:solidFill>
                      </w14:textFill>
                    </w:rPr>
                  </w:pPr>
                  <w:r>
                    <w:rPr>
                      <w:rFonts w:eastAsia="宋体"/>
                      <w:color w:val="000000" w:themeColor="text1"/>
                      <w:spacing w:val="7"/>
                      <w:sz w:val="21"/>
                      <w:szCs w:val="21"/>
                      <w14:textFill>
                        <w14:solidFill>
                          <w14:schemeClr w14:val="tx1"/>
                        </w14:solidFill>
                      </w14:textFill>
                    </w:rPr>
                    <w:t>固体废物治理</w:t>
                  </w:r>
                </w:p>
              </w:tc>
              <w:tc>
                <w:tcPr>
                  <w:tcW w:w="2580" w:type="pct"/>
                  <w:tcBorders>
                    <w:tl2br w:val="nil"/>
                    <w:tr2bl w:val="nil"/>
                  </w:tcBorders>
                  <w:shd w:val="clear" w:color="auto" w:fill="auto"/>
                  <w:vAlign w:val="center"/>
                </w:tcPr>
                <w:p w14:paraId="3D44B1D5">
                  <w:pPr>
                    <w:jc w:val="center"/>
                    <w:rPr>
                      <w:rFonts w:eastAsia="宋体"/>
                      <w:color w:val="000000" w:themeColor="text1"/>
                      <w:spacing w:val="4"/>
                      <w:sz w:val="21"/>
                      <w:szCs w:val="21"/>
                      <w14:textFill>
                        <w14:solidFill>
                          <w14:schemeClr w14:val="tx1"/>
                        </w14:solidFill>
                      </w14:textFill>
                    </w:rPr>
                  </w:pPr>
                  <w:r>
                    <w:rPr>
                      <w:rFonts w:eastAsia="宋体"/>
                      <w:bCs/>
                      <w:color w:val="000000" w:themeColor="text1"/>
                      <w:spacing w:val="4"/>
                      <w:sz w:val="21"/>
                      <w:szCs w:val="21"/>
                      <w14:textFill>
                        <w14:solidFill>
                          <w14:schemeClr w14:val="tx1"/>
                        </w14:solidFill>
                      </w14:textFill>
                    </w:rPr>
                    <w:t>建筑垃圾应运送到政府指定地点，生活垃圾集中收集后由</w:t>
                  </w:r>
                  <w:r>
                    <w:rPr>
                      <w:rFonts w:eastAsia="宋体"/>
                      <w:color w:val="000000" w:themeColor="text1"/>
                      <w:spacing w:val="4"/>
                      <w:sz w:val="21"/>
                      <w:szCs w:val="21"/>
                      <w14:textFill>
                        <w14:solidFill>
                          <w14:schemeClr w14:val="tx1"/>
                        </w14:solidFill>
                      </w14:textFill>
                    </w:rPr>
                    <w:t>当地环卫部门统一清运处置</w:t>
                  </w:r>
                </w:p>
              </w:tc>
              <w:tc>
                <w:tcPr>
                  <w:tcW w:w="870" w:type="pct"/>
                  <w:tcBorders>
                    <w:tl2br w:val="nil"/>
                    <w:tr2bl w:val="nil"/>
                  </w:tcBorders>
                  <w:shd w:val="clear" w:color="auto" w:fill="auto"/>
                  <w:vAlign w:val="center"/>
                </w:tcPr>
                <w:p w14:paraId="0F66FF30">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w:t>
                  </w:r>
                </w:p>
              </w:tc>
            </w:tr>
            <w:tr w14:paraId="0D173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restart"/>
                  <w:tcBorders>
                    <w:tl2br w:val="nil"/>
                    <w:tr2bl w:val="nil"/>
                  </w:tcBorders>
                  <w:shd w:val="clear" w:color="auto" w:fill="auto"/>
                  <w:vAlign w:val="center"/>
                </w:tcPr>
                <w:p w14:paraId="4C20229D">
                  <w:pPr>
                    <w:jc w:val="center"/>
                    <w:rPr>
                      <w:rFonts w:eastAsia="宋体"/>
                      <w:color w:val="000000" w:themeColor="text1"/>
                      <w:sz w:val="21"/>
                      <w:szCs w:val="21"/>
                      <w14:textFill>
                        <w14:solidFill>
                          <w14:schemeClr w14:val="tx1"/>
                        </w14:solidFill>
                      </w14:textFill>
                    </w:rPr>
                  </w:pPr>
                  <w:r>
                    <w:rPr>
                      <w:rFonts w:eastAsia="宋体"/>
                      <w:color w:val="000000" w:themeColor="text1"/>
                      <w:spacing w:val="1"/>
                      <w:sz w:val="21"/>
                      <w:szCs w:val="21"/>
                      <w14:textFill>
                        <w14:solidFill>
                          <w14:schemeClr w14:val="tx1"/>
                        </w14:solidFill>
                      </w14:textFill>
                    </w:rPr>
                    <w:t>营运</w:t>
                  </w:r>
                  <w:r>
                    <w:rPr>
                      <w:rFonts w:eastAsia="宋体"/>
                      <w:color w:val="000000" w:themeColor="text1"/>
                      <w:sz w:val="21"/>
                      <w:szCs w:val="21"/>
                      <w14:textFill>
                        <w14:solidFill>
                          <w14:schemeClr w14:val="tx1"/>
                        </w14:solidFill>
                      </w14:textFill>
                    </w:rPr>
                    <w:t>期</w:t>
                  </w:r>
                </w:p>
              </w:tc>
              <w:tc>
                <w:tcPr>
                  <w:tcW w:w="326" w:type="pct"/>
                  <w:vMerge w:val="restart"/>
                  <w:tcBorders>
                    <w:tl2br w:val="nil"/>
                    <w:tr2bl w:val="nil"/>
                  </w:tcBorders>
                  <w:shd w:val="clear" w:color="auto" w:fill="auto"/>
                  <w:vAlign w:val="center"/>
                </w:tcPr>
                <w:p w14:paraId="07DCC345">
                  <w:pPr>
                    <w:jc w:val="center"/>
                    <w:rPr>
                      <w:rFonts w:eastAsia="宋体"/>
                      <w:color w:val="000000" w:themeColor="text1"/>
                      <w:spacing w:val="8"/>
                      <w:sz w:val="21"/>
                      <w:szCs w:val="21"/>
                      <w14:textFill>
                        <w14:solidFill>
                          <w14:schemeClr w14:val="tx1"/>
                        </w14:solidFill>
                      </w14:textFill>
                    </w:rPr>
                  </w:pPr>
                  <w:r>
                    <w:rPr>
                      <w:rFonts w:eastAsia="宋体"/>
                      <w:color w:val="000000" w:themeColor="text1"/>
                      <w:spacing w:val="8"/>
                      <w:sz w:val="21"/>
                      <w:szCs w:val="21"/>
                      <w14:textFill>
                        <w14:solidFill>
                          <w14:schemeClr w14:val="tx1"/>
                        </w14:solidFill>
                      </w14:textFill>
                    </w:rPr>
                    <w:t>废气治理</w:t>
                  </w:r>
                </w:p>
              </w:tc>
              <w:tc>
                <w:tcPr>
                  <w:tcW w:w="710" w:type="pct"/>
                  <w:tcBorders>
                    <w:tl2br w:val="nil"/>
                    <w:tr2bl w:val="nil"/>
                  </w:tcBorders>
                  <w:shd w:val="clear" w:color="auto" w:fill="auto"/>
                  <w:vAlign w:val="center"/>
                </w:tcPr>
                <w:p w14:paraId="3B3BE69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石灰石卸料及堆存粉尘</w:t>
                  </w:r>
                </w:p>
              </w:tc>
              <w:tc>
                <w:tcPr>
                  <w:tcW w:w="2580" w:type="pct"/>
                  <w:tcBorders>
                    <w:tl2br w:val="nil"/>
                    <w:tr2bl w:val="nil"/>
                  </w:tcBorders>
                  <w:shd w:val="clear" w:color="auto" w:fill="auto"/>
                  <w:vAlign w:val="center"/>
                </w:tcPr>
                <w:p w14:paraId="0408FA8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石灰石料仓</w:t>
                  </w:r>
                  <w:r>
                    <w:rPr>
                      <w:rFonts w:eastAsia="宋体"/>
                      <w:color w:val="000000" w:themeColor="text1"/>
                      <w:kern w:val="0"/>
                      <w:sz w:val="21"/>
                      <w:szCs w:val="21"/>
                      <w:lang w:bidi="ar"/>
                      <w14:textFill>
                        <w14:solidFill>
                          <w14:schemeClr w14:val="tx1"/>
                        </w14:solidFill>
                      </w14:textFill>
                    </w:rPr>
                    <w:t>全封闭，正常生产时仓门关闭，仓内设置1套喷雾降尘装置，通过洒水降尘后仓内粉尘无组织排放。</w:t>
                  </w:r>
                </w:p>
              </w:tc>
              <w:tc>
                <w:tcPr>
                  <w:tcW w:w="870" w:type="pct"/>
                  <w:tcBorders>
                    <w:tl2br w:val="nil"/>
                    <w:tr2bl w:val="nil"/>
                  </w:tcBorders>
                  <w:shd w:val="clear" w:color="auto" w:fill="auto"/>
                  <w:vAlign w:val="center"/>
                </w:tcPr>
                <w:p w14:paraId="677EF8AF">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r>
            <w:tr w14:paraId="570581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4EEEBBE7">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37AB596C">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4392492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石灰石投料、磨粉粉尘</w:t>
                  </w:r>
                </w:p>
              </w:tc>
              <w:tc>
                <w:tcPr>
                  <w:tcW w:w="2580" w:type="pct"/>
                  <w:tcBorders>
                    <w:tl2br w:val="nil"/>
                    <w:tr2bl w:val="nil"/>
                  </w:tcBorders>
                  <w:shd w:val="clear" w:color="auto" w:fill="auto"/>
                  <w:vAlign w:val="center"/>
                </w:tcPr>
                <w:p w14:paraId="5E0DD4A8">
                  <w:pPr>
                    <w:widowControl/>
                    <w:jc w:val="center"/>
                    <w:rPr>
                      <w:rFonts w:eastAsia="宋体"/>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投料口</w:t>
                  </w:r>
                  <w:r>
                    <w:rPr>
                      <w:rFonts w:eastAsia="宋体"/>
                      <w:bCs/>
                      <w:color w:val="000000" w:themeColor="text1"/>
                      <w:sz w:val="21"/>
                      <w:szCs w:val="21"/>
                      <w:lang w:bidi="en-US"/>
                      <w14:textFill>
                        <w14:solidFill>
                          <w14:schemeClr w14:val="tx1"/>
                        </w14:solidFill>
                      </w14:textFill>
                    </w:rPr>
                    <w:t>设置1个集气罩（集气效率90%）</w:t>
                  </w:r>
                  <w:r>
                    <w:rPr>
                      <w:rFonts w:eastAsia="宋体"/>
                      <w:bCs/>
                      <w:color w:val="000000" w:themeColor="text1"/>
                      <w:sz w:val="21"/>
                      <w:szCs w:val="21"/>
                      <w14:textFill>
                        <w14:solidFill>
                          <w14:schemeClr w14:val="tx1"/>
                        </w14:solidFill>
                      </w14:textFill>
                    </w:rPr>
                    <w:t>对产生的粉尘进行收集，</w:t>
                  </w:r>
                  <w:r>
                    <w:rPr>
                      <w:rFonts w:eastAsia="宋体"/>
                      <w:color w:val="000000" w:themeColor="text1"/>
                      <w:sz w:val="21"/>
                      <w:szCs w:val="21"/>
                      <w14:textFill>
                        <w14:solidFill>
                          <w14:schemeClr w14:val="tx1"/>
                        </w14:solidFill>
                      </w14:textFill>
                    </w:rPr>
                    <w:t>粉磨机为封闭式结构，3台磨粉机产生的含尘气体通过密闭管道收集汇总，汇同</w:t>
                  </w:r>
                  <w:r>
                    <w:rPr>
                      <w:rFonts w:eastAsia="宋体"/>
                      <w:bCs/>
                      <w:color w:val="000000" w:themeColor="text1"/>
                      <w:sz w:val="21"/>
                      <w:szCs w:val="21"/>
                      <w14:textFill>
                        <w14:solidFill>
                          <w14:schemeClr w14:val="tx1"/>
                        </w14:solidFill>
                      </w14:textFill>
                    </w:rPr>
                    <w:t>投料粉尘</w:t>
                  </w:r>
                  <w:r>
                    <w:rPr>
                      <w:rFonts w:eastAsia="宋体"/>
                      <w:color w:val="000000" w:themeColor="text1"/>
                      <w:sz w:val="21"/>
                      <w:szCs w:val="21"/>
                      <w14:textFill>
                        <w14:solidFill>
                          <w14:schemeClr w14:val="tx1"/>
                        </w14:solidFill>
                      </w14:textFill>
                    </w:rPr>
                    <w:t>一同送入1台高效脉冲袋式除尘器（3#，除尘效率99%）处理后由15m高排气筒（DA003）排放。</w:t>
                  </w:r>
                </w:p>
              </w:tc>
              <w:tc>
                <w:tcPr>
                  <w:tcW w:w="870" w:type="pct"/>
                  <w:tcBorders>
                    <w:tl2br w:val="nil"/>
                    <w:tr2bl w:val="nil"/>
                  </w:tcBorders>
                  <w:shd w:val="clear" w:color="auto" w:fill="auto"/>
                  <w:vAlign w:val="center"/>
                </w:tcPr>
                <w:p w14:paraId="53A4094C">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16</w:t>
                  </w:r>
                </w:p>
              </w:tc>
            </w:tr>
            <w:tr w14:paraId="53F6B3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14" w:type="pct"/>
                  <w:vMerge w:val="continue"/>
                  <w:tcBorders>
                    <w:tl2br w:val="nil"/>
                    <w:tr2bl w:val="nil"/>
                  </w:tcBorders>
                  <w:shd w:val="clear" w:color="auto" w:fill="auto"/>
                  <w:vAlign w:val="center"/>
                </w:tcPr>
                <w:p w14:paraId="09420943">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456A15B3">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11CF3D0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石灰石罐仓储存粉尘</w:t>
                  </w:r>
                </w:p>
              </w:tc>
              <w:tc>
                <w:tcPr>
                  <w:tcW w:w="2580" w:type="pct"/>
                  <w:tcBorders>
                    <w:tl2br w:val="nil"/>
                    <w:tr2bl w:val="nil"/>
                  </w:tcBorders>
                  <w:shd w:val="clear" w:color="auto" w:fill="auto"/>
                  <w:vAlign w:val="center"/>
                </w:tcPr>
                <w:p w14:paraId="56644C6B">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每座罐仓仓顶自带高效脉冲布袋除尘器（除尘效率99%）处理后由顶部排放。</w:t>
                  </w:r>
                </w:p>
              </w:tc>
              <w:tc>
                <w:tcPr>
                  <w:tcW w:w="870" w:type="pct"/>
                  <w:tcBorders>
                    <w:tl2br w:val="nil"/>
                    <w:tr2bl w:val="nil"/>
                  </w:tcBorders>
                  <w:shd w:val="clear" w:color="auto" w:fill="auto"/>
                  <w:vAlign w:val="center"/>
                </w:tcPr>
                <w:p w14:paraId="60D484C7">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3</w:t>
                  </w:r>
                </w:p>
              </w:tc>
            </w:tr>
            <w:tr w14:paraId="1F6E73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514" w:type="pct"/>
                  <w:vMerge w:val="continue"/>
                  <w:tcBorders>
                    <w:tl2br w:val="nil"/>
                    <w:tr2bl w:val="nil"/>
                  </w:tcBorders>
                  <w:shd w:val="clear" w:color="auto" w:fill="auto"/>
                  <w:vAlign w:val="center"/>
                </w:tcPr>
                <w:p w14:paraId="3A49E8EB">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40794594">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076F202D">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建筑垃圾卸料及堆存粉尘</w:t>
                  </w:r>
                </w:p>
              </w:tc>
              <w:tc>
                <w:tcPr>
                  <w:tcW w:w="2580" w:type="pct"/>
                  <w:tcBorders>
                    <w:tl2br w:val="nil"/>
                    <w:tr2bl w:val="nil"/>
                  </w:tcBorders>
                  <w:shd w:val="clear" w:color="auto" w:fill="auto"/>
                  <w:vAlign w:val="center"/>
                </w:tcPr>
                <w:p w14:paraId="4D3216EB">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建筑垃圾料仓</w:t>
                  </w:r>
                  <w:r>
                    <w:rPr>
                      <w:rFonts w:eastAsia="宋体"/>
                      <w:color w:val="000000" w:themeColor="text1"/>
                      <w:kern w:val="0"/>
                      <w:sz w:val="21"/>
                      <w:szCs w:val="21"/>
                      <w:lang w:bidi="ar"/>
                      <w14:textFill>
                        <w14:solidFill>
                          <w14:schemeClr w14:val="tx1"/>
                        </w14:solidFill>
                      </w14:textFill>
                    </w:rPr>
                    <w:t>全封闭，正常生产时仓门关闭，仓内设置1套喷雾降尘装置，通过洒水降尘后仓内粉尘无组织排放。</w:t>
                  </w:r>
                </w:p>
              </w:tc>
              <w:tc>
                <w:tcPr>
                  <w:tcW w:w="870" w:type="pct"/>
                  <w:tcBorders>
                    <w:tl2br w:val="nil"/>
                    <w:tr2bl w:val="nil"/>
                  </w:tcBorders>
                  <w:shd w:val="clear" w:color="auto" w:fill="auto"/>
                  <w:vAlign w:val="center"/>
                </w:tcPr>
                <w:p w14:paraId="15A61488">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5</w:t>
                  </w:r>
                </w:p>
              </w:tc>
            </w:tr>
            <w:tr w14:paraId="632CC6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6B42BA82">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79F9F60C">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05612F10">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建筑垃圾给料、破碎、筛分粉尘</w:t>
                  </w:r>
                </w:p>
              </w:tc>
              <w:tc>
                <w:tcPr>
                  <w:tcW w:w="2580" w:type="pct"/>
                  <w:tcBorders>
                    <w:tl2br w:val="nil"/>
                    <w:tr2bl w:val="nil"/>
                  </w:tcBorders>
                  <w:shd w:val="clear" w:color="auto" w:fill="auto"/>
                  <w:vAlign w:val="center"/>
                </w:tcPr>
                <w:p w14:paraId="7C57204C">
                  <w:pPr>
                    <w:widowControl/>
                    <w:jc w:val="center"/>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建筑垃圾加工生产线进行封闭处理，</w:t>
                  </w:r>
                  <w:r>
                    <w:rPr>
                      <w:rFonts w:eastAsia="宋体"/>
                      <w:color w:val="000000" w:themeColor="text1"/>
                      <w:sz w:val="21"/>
                      <w:szCs w:val="21"/>
                      <w14:textFill>
                        <w14:solidFill>
                          <w14:schemeClr w14:val="tx1"/>
                        </w14:solidFill>
                      </w14:textFill>
                    </w:rPr>
                    <w:t>给料台和破碎机出口各设置1个集气罩（集气效率90%），收集后经1台高效脉冲袋式除尘器（4#，除尘效率99%）处理后由15m高排气筒（DA004）排放。</w:t>
                  </w:r>
                </w:p>
              </w:tc>
              <w:tc>
                <w:tcPr>
                  <w:tcW w:w="870" w:type="pct"/>
                  <w:tcBorders>
                    <w:tl2br w:val="nil"/>
                    <w:tr2bl w:val="nil"/>
                  </w:tcBorders>
                  <w:shd w:val="clear" w:color="auto" w:fill="auto"/>
                  <w:vAlign w:val="center"/>
                </w:tcPr>
                <w:p w14:paraId="357EF93F">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6</w:t>
                  </w:r>
                </w:p>
              </w:tc>
            </w:tr>
            <w:tr w14:paraId="460FEF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47CC8858">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0C9775DB">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29911CE4">
                  <w:pPr>
                    <w:pStyle w:val="68"/>
                    <w:adjustRightInd/>
                    <w:snapToGrid/>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再生骨料及再生水稳料装卸堆存粉尘</w:t>
                  </w:r>
                </w:p>
              </w:tc>
              <w:tc>
                <w:tcPr>
                  <w:tcW w:w="2580" w:type="pct"/>
                  <w:tcBorders>
                    <w:tl2br w:val="nil"/>
                    <w:tr2bl w:val="nil"/>
                  </w:tcBorders>
                  <w:shd w:val="clear" w:color="auto" w:fill="auto"/>
                  <w:vAlign w:val="center"/>
                </w:tcPr>
                <w:p w14:paraId="3F0E117F">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再生骨料及再生水稳料料仓</w:t>
                  </w:r>
                  <w:r>
                    <w:rPr>
                      <w:rFonts w:eastAsia="宋体"/>
                      <w:color w:val="000000" w:themeColor="text1"/>
                      <w:kern w:val="0"/>
                      <w:sz w:val="21"/>
                      <w:szCs w:val="21"/>
                      <w:lang w:bidi="ar"/>
                      <w14:textFill>
                        <w14:solidFill>
                          <w14:schemeClr w14:val="tx1"/>
                        </w14:solidFill>
                      </w14:textFill>
                    </w:rPr>
                    <w:t>全封闭，正常生产时仓门关闭，仓内设置1套喷雾降尘装置，通过洒水降尘后仓内粉尘无组织排放。</w:t>
                  </w:r>
                </w:p>
              </w:tc>
              <w:tc>
                <w:tcPr>
                  <w:tcW w:w="870" w:type="pct"/>
                  <w:tcBorders>
                    <w:tl2br w:val="nil"/>
                    <w:tr2bl w:val="nil"/>
                  </w:tcBorders>
                  <w:shd w:val="clear" w:color="auto" w:fill="auto"/>
                  <w:vAlign w:val="center"/>
                </w:tcPr>
                <w:p w14:paraId="19C21798">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w:t>
                  </w:r>
                </w:p>
              </w:tc>
            </w:tr>
            <w:tr w14:paraId="0A180D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6C687296">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7E00DDCC">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0249DE5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车辆运输扬尘</w:t>
                  </w:r>
                </w:p>
              </w:tc>
              <w:tc>
                <w:tcPr>
                  <w:tcW w:w="2580" w:type="pct"/>
                  <w:tcBorders>
                    <w:tl2br w:val="nil"/>
                    <w:tr2bl w:val="nil"/>
                  </w:tcBorders>
                  <w:shd w:val="clear" w:color="auto" w:fill="auto"/>
                  <w:vAlign w:val="center"/>
                </w:tcPr>
                <w:p w14:paraId="66E258A2">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在厂区进出口设置洗车设备；对厂区内运输道路地面进行硬化，保持厂区路面清洁，进行洒水抑尘。</w:t>
                  </w:r>
                </w:p>
              </w:tc>
              <w:tc>
                <w:tcPr>
                  <w:tcW w:w="870" w:type="pct"/>
                  <w:tcBorders>
                    <w:tl2br w:val="nil"/>
                    <w:tr2bl w:val="nil"/>
                  </w:tcBorders>
                  <w:shd w:val="clear" w:color="auto" w:fill="auto"/>
                  <w:vAlign w:val="center"/>
                </w:tcPr>
                <w:p w14:paraId="146F3A30">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w:t>
                  </w:r>
                  <w:r>
                    <w:rPr>
                      <w:rFonts w:eastAsia="宋体"/>
                      <w:color w:val="000000" w:themeColor="text1"/>
                      <w:kern w:val="0"/>
                      <w:sz w:val="21"/>
                      <w:szCs w:val="21"/>
                      <w:lang w:bidi="ar"/>
                      <w14:textFill>
                        <w14:solidFill>
                          <w14:schemeClr w14:val="tx1"/>
                        </w14:solidFill>
                      </w14:textFill>
                    </w:rPr>
                    <w:t>（依托现有）</w:t>
                  </w:r>
                </w:p>
              </w:tc>
            </w:tr>
            <w:tr w14:paraId="2138C1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5F8F9E47">
                  <w:pPr>
                    <w:jc w:val="center"/>
                    <w:rPr>
                      <w:rFonts w:eastAsia="宋体"/>
                      <w:color w:val="000000" w:themeColor="text1"/>
                      <w:sz w:val="21"/>
                      <w:szCs w:val="21"/>
                      <w14:textFill>
                        <w14:solidFill>
                          <w14:schemeClr w14:val="tx1"/>
                        </w14:solidFill>
                      </w14:textFill>
                    </w:rPr>
                  </w:pPr>
                </w:p>
              </w:tc>
              <w:tc>
                <w:tcPr>
                  <w:tcW w:w="326" w:type="pct"/>
                  <w:vMerge w:val="restart"/>
                  <w:tcBorders>
                    <w:tl2br w:val="nil"/>
                    <w:tr2bl w:val="nil"/>
                  </w:tcBorders>
                  <w:shd w:val="clear" w:color="auto" w:fill="auto"/>
                  <w:vAlign w:val="center"/>
                </w:tcPr>
                <w:p w14:paraId="23B7E7AE">
                  <w:pPr>
                    <w:jc w:val="center"/>
                    <w:rPr>
                      <w:rFonts w:eastAsia="宋体"/>
                      <w:color w:val="000000" w:themeColor="text1"/>
                      <w:spacing w:val="8"/>
                      <w:sz w:val="21"/>
                      <w:szCs w:val="21"/>
                      <w14:textFill>
                        <w14:solidFill>
                          <w14:schemeClr w14:val="tx1"/>
                        </w14:solidFill>
                      </w14:textFill>
                    </w:rPr>
                  </w:pPr>
                  <w:r>
                    <w:rPr>
                      <w:rFonts w:eastAsia="宋体"/>
                      <w:color w:val="000000" w:themeColor="text1"/>
                      <w:spacing w:val="8"/>
                      <w:sz w:val="21"/>
                      <w:szCs w:val="21"/>
                      <w14:textFill>
                        <w14:solidFill>
                          <w14:schemeClr w14:val="tx1"/>
                        </w14:solidFill>
                      </w14:textFill>
                    </w:rPr>
                    <w:t>废水治理</w:t>
                  </w:r>
                </w:p>
              </w:tc>
              <w:tc>
                <w:tcPr>
                  <w:tcW w:w="710" w:type="pct"/>
                  <w:tcBorders>
                    <w:tl2br w:val="nil"/>
                    <w:tr2bl w:val="nil"/>
                  </w:tcBorders>
                  <w:shd w:val="clear" w:color="auto" w:fill="auto"/>
                  <w:vAlign w:val="center"/>
                </w:tcPr>
                <w:p w14:paraId="613FC88A">
                  <w:pPr>
                    <w:jc w:val="center"/>
                    <w:rPr>
                      <w:rFonts w:eastAsia="宋体"/>
                      <w:color w:val="000000" w:themeColor="text1"/>
                      <w:spacing w:val="8"/>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生活污水</w:t>
                  </w:r>
                </w:p>
              </w:tc>
              <w:tc>
                <w:tcPr>
                  <w:tcW w:w="2580" w:type="pct"/>
                  <w:tcBorders>
                    <w:tl2br w:val="nil"/>
                    <w:tr2bl w:val="nil"/>
                  </w:tcBorders>
                  <w:shd w:val="clear" w:color="auto" w:fill="auto"/>
                  <w:vAlign w:val="center"/>
                </w:tcPr>
                <w:p w14:paraId="66FD372A">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本项目不提供食宿，生活污水主要为员工洗漱废水，用于厂区抑尘，粪污依托现有防渗旱厕，定期清掏用于厂区周边绿化或周边农田施肥。</w:t>
                  </w:r>
                </w:p>
              </w:tc>
              <w:tc>
                <w:tcPr>
                  <w:tcW w:w="870" w:type="pct"/>
                  <w:tcBorders>
                    <w:tl2br w:val="nil"/>
                    <w:tr2bl w:val="nil"/>
                  </w:tcBorders>
                  <w:shd w:val="clear" w:color="auto" w:fill="auto"/>
                  <w:vAlign w:val="center"/>
                </w:tcPr>
                <w:p w14:paraId="1B3A28B7">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0（依托现有）</w:t>
                  </w:r>
                </w:p>
              </w:tc>
            </w:tr>
            <w:tr w14:paraId="406A73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083A9C1A">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textDirection w:val="tbRlV"/>
                  <w:vAlign w:val="center"/>
                </w:tcPr>
                <w:p w14:paraId="4B834C0A">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0708F720">
                  <w:pPr>
                    <w:jc w:val="center"/>
                    <w:rPr>
                      <w:rFonts w:eastAsia="宋体"/>
                      <w:color w:val="000000" w:themeColor="text1"/>
                      <w:spacing w:val="8"/>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车辆清洗废水</w:t>
                  </w:r>
                </w:p>
              </w:tc>
              <w:tc>
                <w:tcPr>
                  <w:tcW w:w="2580" w:type="pct"/>
                  <w:tcBorders>
                    <w:tl2br w:val="nil"/>
                    <w:tr2bl w:val="nil"/>
                  </w:tcBorders>
                  <w:shd w:val="clear" w:color="auto" w:fill="auto"/>
                  <w:vAlign w:val="center"/>
                </w:tcPr>
                <w:p w14:paraId="7DFD31C8">
                  <w:pPr>
                    <w:widowControl/>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车辆清洗废水依托现有砂石分离机预处理后再经三级沉淀池沉淀处理，最终全部回用于混凝土搅拌，不外排。</w:t>
                  </w:r>
                </w:p>
              </w:tc>
              <w:tc>
                <w:tcPr>
                  <w:tcW w:w="870" w:type="pct"/>
                  <w:tcBorders>
                    <w:tl2br w:val="nil"/>
                    <w:tr2bl w:val="nil"/>
                  </w:tcBorders>
                  <w:shd w:val="clear" w:color="auto" w:fill="auto"/>
                  <w:vAlign w:val="center"/>
                </w:tcPr>
                <w:p w14:paraId="756BB778">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0（依托现有）</w:t>
                  </w:r>
                </w:p>
              </w:tc>
            </w:tr>
            <w:tr w14:paraId="2B6D33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57BDFA45">
                  <w:pPr>
                    <w:jc w:val="center"/>
                    <w:rPr>
                      <w:rFonts w:eastAsia="宋体"/>
                      <w:color w:val="000000" w:themeColor="text1"/>
                      <w:sz w:val="21"/>
                      <w:szCs w:val="21"/>
                      <w14:textFill>
                        <w14:solidFill>
                          <w14:schemeClr w14:val="tx1"/>
                        </w14:solidFill>
                      </w14:textFill>
                    </w:rPr>
                  </w:pPr>
                </w:p>
              </w:tc>
              <w:tc>
                <w:tcPr>
                  <w:tcW w:w="1035" w:type="pct"/>
                  <w:gridSpan w:val="2"/>
                  <w:tcBorders>
                    <w:tl2br w:val="nil"/>
                    <w:tr2bl w:val="nil"/>
                  </w:tcBorders>
                  <w:shd w:val="clear" w:color="auto" w:fill="auto"/>
                  <w:vAlign w:val="center"/>
                </w:tcPr>
                <w:p w14:paraId="0FF2EA65">
                  <w:pPr>
                    <w:jc w:val="center"/>
                    <w:rPr>
                      <w:rFonts w:eastAsia="宋体"/>
                      <w:color w:val="000000" w:themeColor="text1"/>
                      <w:sz w:val="21"/>
                      <w:szCs w:val="21"/>
                      <w14:textFill>
                        <w14:solidFill>
                          <w14:schemeClr w14:val="tx1"/>
                        </w14:solidFill>
                      </w14:textFill>
                    </w:rPr>
                  </w:pPr>
                  <w:r>
                    <w:rPr>
                      <w:rFonts w:eastAsia="宋体"/>
                      <w:color w:val="000000" w:themeColor="text1"/>
                      <w:spacing w:val="8"/>
                      <w:sz w:val="21"/>
                      <w:szCs w:val="21"/>
                      <w14:textFill>
                        <w14:solidFill>
                          <w14:schemeClr w14:val="tx1"/>
                        </w14:solidFill>
                      </w14:textFill>
                    </w:rPr>
                    <w:t>噪声治理</w:t>
                  </w:r>
                </w:p>
              </w:tc>
              <w:tc>
                <w:tcPr>
                  <w:tcW w:w="2580" w:type="pct"/>
                  <w:tcBorders>
                    <w:tl2br w:val="nil"/>
                    <w:tr2bl w:val="nil"/>
                  </w:tcBorders>
                  <w:shd w:val="clear" w:color="auto" w:fill="auto"/>
                  <w:vAlign w:val="center"/>
                </w:tcPr>
                <w:p w14:paraId="7516E653">
                  <w:pPr>
                    <w:jc w:val="center"/>
                    <w:rPr>
                      <w:rFonts w:eastAsia="宋体"/>
                      <w:color w:val="000000" w:themeColor="text1"/>
                      <w:sz w:val="21"/>
                      <w:szCs w:val="21"/>
                      <w14:textFill>
                        <w14:solidFill>
                          <w14:schemeClr w14:val="tx1"/>
                        </w14:solidFill>
                      </w14:textFill>
                    </w:rPr>
                  </w:pPr>
                  <w:r>
                    <w:rPr>
                      <w:rFonts w:eastAsia="宋体"/>
                      <w:color w:val="000000" w:themeColor="text1"/>
                      <w:spacing w:val="9"/>
                      <w:sz w:val="21"/>
                      <w:szCs w:val="21"/>
                      <w14:textFill>
                        <w14:solidFill>
                          <w14:schemeClr w14:val="tx1"/>
                        </w14:solidFill>
                      </w14:textFill>
                    </w:rPr>
                    <w:t>选用低噪声设备，采取隔声、减振等措施。</w:t>
                  </w:r>
                </w:p>
              </w:tc>
              <w:tc>
                <w:tcPr>
                  <w:tcW w:w="870" w:type="pct"/>
                  <w:tcBorders>
                    <w:tl2br w:val="nil"/>
                    <w:tr2bl w:val="nil"/>
                  </w:tcBorders>
                  <w:shd w:val="clear" w:color="auto" w:fill="auto"/>
                  <w:vAlign w:val="center"/>
                </w:tcPr>
                <w:p w14:paraId="0A8F02DB">
                  <w:pPr>
                    <w:widowControl/>
                    <w:jc w:val="center"/>
                    <w:textAlignment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w:t>
                  </w:r>
                </w:p>
              </w:tc>
            </w:tr>
            <w:tr w14:paraId="5B71EA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2C0E0C73">
                  <w:pPr>
                    <w:jc w:val="center"/>
                    <w:rPr>
                      <w:rFonts w:eastAsia="宋体"/>
                      <w:color w:val="000000" w:themeColor="text1"/>
                      <w:sz w:val="21"/>
                      <w:szCs w:val="21"/>
                      <w14:textFill>
                        <w14:solidFill>
                          <w14:schemeClr w14:val="tx1"/>
                        </w14:solidFill>
                      </w14:textFill>
                    </w:rPr>
                  </w:pPr>
                </w:p>
              </w:tc>
              <w:tc>
                <w:tcPr>
                  <w:tcW w:w="326" w:type="pct"/>
                  <w:vMerge w:val="restart"/>
                  <w:tcBorders>
                    <w:tl2br w:val="nil"/>
                    <w:tr2bl w:val="nil"/>
                  </w:tcBorders>
                  <w:shd w:val="clear" w:color="auto" w:fill="auto"/>
                  <w:vAlign w:val="center"/>
                </w:tcPr>
                <w:p w14:paraId="3200616F">
                  <w:pPr>
                    <w:jc w:val="center"/>
                    <w:rPr>
                      <w:rFonts w:eastAsia="宋体"/>
                      <w:color w:val="000000" w:themeColor="text1"/>
                      <w:spacing w:val="8"/>
                      <w:sz w:val="21"/>
                      <w:szCs w:val="21"/>
                      <w14:textFill>
                        <w14:solidFill>
                          <w14:schemeClr w14:val="tx1"/>
                        </w14:solidFill>
                      </w14:textFill>
                    </w:rPr>
                  </w:pPr>
                  <w:r>
                    <w:rPr>
                      <w:rFonts w:eastAsia="宋体"/>
                      <w:color w:val="000000" w:themeColor="text1"/>
                      <w:spacing w:val="8"/>
                      <w:sz w:val="21"/>
                      <w:szCs w:val="21"/>
                      <w14:textFill>
                        <w14:solidFill>
                          <w14:schemeClr w14:val="tx1"/>
                        </w14:solidFill>
                      </w14:textFill>
                    </w:rPr>
                    <w:t>固废治理</w:t>
                  </w:r>
                </w:p>
              </w:tc>
              <w:tc>
                <w:tcPr>
                  <w:tcW w:w="710" w:type="pct"/>
                  <w:vMerge w:val="restart"/>
                  <w:tcBorders>
                    <w:tl2br w:val="nil"/>
                    <w:tr2bl w:val="nil"/>
                  </w:tcBorders>
                  <w:shd w:val="clear" w:color="auto" w:fill="auto"/>
                  <w:vAlign w:val="center"/>
                </w:tcPr>
                <w:p w14:paraId="53A6A801">
                  <w:pPr>
                    <w:jc w:val="center"/>
                    <w:rPr>
                      <w:rFonts w:eastAsia="宋体"/>
                      <w:color w:val="000000" w:themeColor="text1"/>
                      <w:spacing w:val="6"/>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一般固废</w:t>
                  </w:r>
                </w:p>
              </w:tc>
              <w:tc>
                <w:tcPr>
                  <w:tcW w:w="2580" w:type="pct"/>
                  <w:tcBorders>
                    <w:tl2br w:val="nil"/>
                    <w:tr2bl w:val="nil"/>
                  </w:tcBorders>
                  <w:shd w:val="clear" w:color="auto" w:fill="auto"/>
                  <w:vAlign w:val="center"/>
                </w:tcPr>
                <w:p w14:paraId="3B880F8C">
                  <w:pPr>
                    <w:jc w:val="center"/>
                    <w:rPr>
                      <w:rFonts w:eastAsia="宋体"/>
                      <w:color w:val="000000" w:themeColor="text1"/>
                      <w:spacing w:val="9"/>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布袋除尘器收尘灰收集后回用于生产；分拣杂质经分类后暂存至建筑垃圾加工车间内一般固废暂存区，定期外售</w:t>
                  </w:r>
                  <w:r>
                    <w:rPr>
                      <w:rFonts w:eastAsia="宋体"/>
                      <w:color w:val="000000" w:themeColor="text1"/>
                      <w:spacing w:val="9"/>
                      <w:sz w:val="21"/>
                      <w:szCs w:val="21"/>
                      <w14:textFill>
                        <w14:solidFill>
                          <w14:schemeClr w14:val="tx1"/>
                        </w14:solidFill>
                      </w14:textFill>
                    </w:rPr>
                    <w:t>。</w:t>
                  </w:r>
                </w:p>
              </w:tc>
              <w:tc>
                <w:tcPr>
                  <w:tcW w:w="870" w:type="pct"/>
                  <w:tcBorders>
                    <w:tl2br w:val="nil"/>
                    <w:tr2bl w:val="nil"/>
                  </w:tcBorders>
                  <w:shd w:val="clear" w:color="auto" w:fill="auto"/>
                  <w:vAlign w:val="center"/>
                </w:tcPr>
                <w:p w14:paraId="6DC937E3">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1</w:t>
                  </w:r>
                </w:p>
              </w:tc>
            </w:tr>
            <w:tr w14:paraId="211CA3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12EEA931">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vAlign w:val="center"/>
                </w:tcPr>
                <w:p w14:paraId="68DD88C7">
                  <w:pPr>
                    <w:jc w:val="center"/>
                    <w:rPr>
                      <w:rFonts w:eastAsia="宋体"/>
                      <w:color w:val="000000" w:themeColor="text1"/>
                      <w:spacing w:val="8"/>
                      <w:sz w:val="21"/>
                      <w:szCs w:val="21"/>
                      <w14:textFill>
                        <w14:solidFill>
                          <w14:schemeClr w14:val="tx1"/>
                        </w14:solidFill>
                      </w14:textFill>
                    </w:rPr>
                  </w:pPr>
                </w:p>
              </w:tc>
              <w:tc>
                <w:tcPr>
                  <w:tcW w:w="710" w:type="pct"/>
                  <w:vMerge w:val="continue"/>
                  <w:tcBorders>
                    <w:tl2br w:val="nil"/>
                    <w:tr2bl w:val="nil"/>
                  </w:tcBorders>
                  <w:shd w:val="clear" w:color="auto" w:fill="auto"/>
                  <w:vAlign w:val="center"/>
                </w:tcPr>
                <w:p w14:paraId="15D51B2E">
                  <w:pPr>
                    <w:jc w:val="center"/>
                    <w:rPr>
                      <w:rFonts w:eastAsia="宋体"/>
                      <w:color w:val="000000" w:themeColor="text1"/>
                      <w:sz w:val="21"/>
                      <w:szCs w:val="21"/>
                      <w14:textFill>
                        <w14:solidFill>
                          <w14:schemeClr w14:val="tx1"/>
                        </w14:solidFill>
                      </w14:textFill>
                    </w:rPr>
                  </w:pPr>
                </w:p>
              </w:tc>
              <w:tc>
                <w:tcPr>
                  <w:tcW w:w="2580" w:type="pct"/>
                  <w:tcBorders>
                    <w:tl2br w:val="nil"/>
                    <w:tr2bl w:val="nil"/>
                  </w:tcBorders>
                  <w:shd w:val="clear" w:color="auto" w:fill="auto"/>
                  <w:vAlign w:val="center"/>
                </w:tcPr>
                <w:p w14:paraId="2B8061D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分离砂石作为混凝土生产原料，沉淀池沉渣与再生水稳料混合作为成品外售。</w:t>
                  </w:r>
                </w:p>
              </w:tc>
              <w:tc>
                <w:tcPr>
                  <w:tcW w:w="870" w:type="pct"/>
                  <w:tcBorders>
                    <w:tl2br w:val="nil"/>
                    <w:tr2bl w:val="nil"/>
                  </w:tcBorders>
                  <w:shd w:val="clear" w:color="auto" w:fill="auto"/>
                  <w:vAlign w:val="center"/>
                </w:tcPr>
                <w:p w14:paraId="7737574A">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0（依托现有）</w:t>
                  </w:r>
                </w:p>
              </w:tc>
            </w:tr>
            <w:tr w14:paraId="65A192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02D95F88">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vAlign w:val="center"/>
                </w:tcPr>
                <w:p w14:paraId="6832A7C4">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7A5AEF5B">
                  <w:pPr>
                    <w:jc w:val="center"/>
                    <w:rPr>
                      <w:rFonts w:eastAsia="宋体"/>
                      <w:color w:val="000000" w:themeColor="text1"/>
                      <w:spacing w:val="6"/>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危险废物</w:t>
                  </w:r>
                </w:p>
              </w:tc>
              <w:tc>
                <w:tcPr>
                  <w:tcW w:w="2580" w:type="pct"/>
                  <w:tcBorders>
                    <w:tl2br w:val="nil"/>
                    <w:tr2bl w:val="nil"/>
                  </w:tcBorders>
                  <w:shd w:val="clear" w:color="auto" w:fill="auto"/>
                  <w:vAlign w:val="center"/>
                </w:tcPr>
                <w:p w14:paraId="0D9D6F25">
                  <w:pPr>
                    <w:jc w:val="center"/>
                    <w:rPr>
                      <w:rFonts w:eastAsia="宋体"/>
                      <w:color w:val="000000" w:themeColor="text1"/>
                      <w:spacing w:val="9"/>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设备维护产生的废机油集中收集后暂存于现有5m</w:t>
                  </w:r>
                  <w:r>
                    <w:rPr>
                      <w:rFonts w:eastAsia="宋体"/>
                      <w:color w:val="000000" w:themeColor="text1"/>
                      <w:kern w:val="0"/>
                      <w:sz w:val="21"/>
                      <w:szCs w:val="21"/>
                      <w:vertAlign w:val="superscript"/>
                      <w:lang w:bidi="ar"/>
                      <w14:textFill>
                        <w14:solidFill>
                          <w14:schemeClr w14:val="tx1"/>
                        </w14:solidFill>
                      </w14:textFill>
                    </w:rPr>
                    <w:t>2</w:t>
                  </w:r>
                  <w:r>
                    <w:rPr>
                      <w:rFonts w:eastAsia="宋体"/>
                      <w:color w:val="000000" w:themeColor="text1"/>
                      <w:kern w:val="0"/>
                      <w:sz w:val="21"/>
                      <w:szCs w:val="21"/>
                      <w:lang w:bidi="ar"/>
                      <w14:textFill>
                        <w14:solidFill>
                          <w14:schemeClr w14:val="tx1"/>
                        </w14:solidFill>
                      </w14:textFill>
                    </w:rPr>
                    <w:t>危废贮存点，定期交由有资质的单位处理。</w:t>
                  </w:r>
                </w:p>
              </w:tc>
              <w:tc>
                <w:tcPr>
                  <w:tcW w:w="870" w:type="pct"/>
                  <w:tcBorders>
                    <w:tl2br w:val="nil"/>
                    <w:tr2bl w:val="nil"/>
                  </w:tcBorders>
                  <w:shd w:val="clear" w:color="auto" w:fill="auto"/>
                  <w:vAlign w:val="center"/>
                </w:tcPr>
                <w:p w14:paraId="6BBDA64C">
                  <w:pPr>
                    <w:widowControl/>
                    <w:jc w:val="center"/>
                    <w:textAlignment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0（依托现有）</w:t>
                  </w:r>
                </w:p>
              </w:tc>
            </w:tr>
            <w:tr w14:paraId="55D472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14" w:type="pct"/>
                  <w:vMerge w:val="continue"/>
                  <w:tcBorders>
                    <w:tl2br w:val="nil"/>
                    <w:tr2bl w:val="nil"/>
                  </w:tcBorders>
                  <w:shd w:val="clear" w:color="auto" w:fill="auto"/>
                  <w:vAlign w:val="center"/>
                </w:tcPr>
                <w:p w14:paraId="3C50B890">
                  <w:pPr>
                    <w:jc w:val="center"/>
                    <w:rPr>
                      <w:rFonts w:eastAsia="宋体"/>
                      <w:color w:val="000000" w:themeColor="text1"/>
                      <w:sz w:val="21"/>
                      <w:szCs w:val="21"/>
                      <w14:textFill>
                        <w14:solidFill>
                          <w14:schemeClr w14:val="tx1"/>
                        </w14:solidFill>
                      </w14:textFill>
                    </w:rPr>
                  </w:pPr>
                </w:p>
              </w:tc>
              <w:tc>
                <w:tcPr>
                  <w:tcW w:w="326" w:type="pct"/>
                  <w:vMerge w:val="continue"/>
                  <w:tcBorders>
                    <w:tl2br w:val="nil"/>
                    <w:tr2bl w:val="nil"/>
                  </w:tcBorders>
                  <w:shd w:val="clear" w:color="auto" w:fill="auto"/>
                  <w:vAlign w:val="center"/>
                </w:tcPr>
                <w:p w14:paraId="7FC53F2E">
                  <w:pPr>
                    <w:jc w:val="center"/>
                    <w:rPr>
                      <w:rFonts w:eastAsia="宋体"/>
                      <w:color w:val="000000" w:themeColor="text1"/>
                      <w:spacing w:val="8"/>
                      <w:sz w:val="21"/>
                      <w:szCs w:val="21"/>
                      <w14:textFill>
                        <w14:solidFill>
                          <w14:schemeClr w14:val="tx1"/>
                        </w14:solidFill>
                      </w14:textFill>
                    </w:rPr>
                  </w:pPr>
                </w:p>
              </w:tc>
              <w:tc>
                <w:tcPr>
                  <w:tcW w:w="710" w:type="pct"/>
                  <w:tcBorders>
                    <w:tl2br w:val="nil"/>
                    <w:tr2bl w:val="nil"/>
                  </w:tcBorders>
                  <w:shd w:val="clear" w:color="auto" w:fill="auto"/>
                  <w:vAlign w:val="center"/>
                </w:tcPr>
                <w:p w14:paraId="4D15C3DE">
                  <w:pPr>
                    <w:jc w:val="center"/>
                    <w:rPr>
                      <w:rFonts w:eastAsia="宋体"/>
                      <w:color w:val="000000" w:themeColor="text1"/>
                      <w:spacing w:val="6"/>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生活垃圾</w:t>
                  </w:r>
                </w:p>
              </w:tc>
              <w:tc>
                <w:tcPr>
                  <w:tcW w:w="2580" w:type="pct"/>
                  <w:tcBorders>
                    <w:tl2br w:val="nil"/>
                    <w:tr2bl w:val="nil"/>
                  </w:tcBorders>
                  <w:shd w:val="clear" w:color="auto" w:fill="auto"/>
                  <w:vAlign w:val="center"/>
                </w:tcPr>
                <w:p w14:paraId="5707F4BD">
                  <w:pPr>
                    <w:jc w:val="center"/>
                    <w:rPr>
                      <w:rFonts w:eastAsia="宋体"/>
                      <w:color w:val="000000" w:themeColor="text1"/>
                      <w:spacing w:val="9"/>
                      <w:sz w:val="21"/>
                      <w:szCs w:val="21"/>
                      <w14:textFill>
                        <w14:solidFill>
                          <w14:schemeClr w14:val="tx1"/>
                        </w14:solidFill>
                      </w14:textFill>
                    </w:rPr>
                  </w:pPr>
                  <w:r>
                    <w:rPr>
                      <w:rFonts w:eastAsia="宋体"/>
                      <w:bCs/>
                      <w:color w:val="000000" w:themeColor="text1"/>
                      <w:kern w:val="0"/>
                      <w:sz w:val="21"/>
                      <w:szCs w:val="21"/>
                      <w:lang w:bidi="ar"/>
                      <w14:textFill>
                        <w14:solidFill>
                          <w14:schemeClr w14:val="tx1"/>
                        </w14:solidFill>
                      </w14:textFill>
                    </w:rPr>
                    <w:t>通过厂区现有垃圾收集设施集中收集后，交由环卫部门处理。</w:t>
                  </w:r>
                </w:p>
              </w:tc>
              <w:tc>
                <w:tcPr>
                  <w:tcW w:w="870" w:type="pct"/>
                  <w:tcBorders>
                    <w:tl2br w:val="nil"/>
                    <w:tr2bl w:val="nil"/>
                  </w:tcBorders>
                  <w:shd w:val="clear" w:color="auto" w:fill="auto"/>
                  <w:vAlign w:val="center"/>
                </w:tcPr>
                <w:p w14:paraId="6744CF60">
                  <w:pPr>
                    <w:widowControl/>
                    <w:jc w:val="center"/>
                    <w:textAlignment w:val="center"/>
                    <w:rPr>
                      <w:rFonts w:eastAsia="宋体"/>
                      <w:color w:val="000000" w:themeColor="text1"/>
                      <w:spacing w:val="1"/>
                      <w:sz w:val="21"/>
                      <w:szCs w:val="21"/>
                      <w14:textFill>
                        <w14:solidFill>
                          <w14:schemeClr w14:val="tx1"/>
                        </w14:solidFill>
                      </w14:textFill>
                    </w:rPr>
                  </w:pPr>
                  <w:r>
                    <w:rPr>
                      <w:rFonts w:eastAsia="宋体"/>
                      <w:color w:val="000000" w:themeColor="text1"/>
                      <w:spacing w:val="1"/>
                      <w:sz w:val="21"/>
                      <w:szCs w:val="21"/>
                      <w14:textFill>
                        <w14:solidFill>
                          <w14:schemeClr w14:val="tx1"/>
                        </w14:solidFill>
                      </w14:textFill>
                    </w:rPr>
                    <w:t>0</w:t>
                  </w:r>
                  <w:r>
                    <w:rPr>
                      <w:rFonts w:eastAsia="宋体"/>
                      <w:color w:val="000000" w:themeColor="text1"/>
                      <w:kern w:val="0"/>
                      <w:sz w:val="21"/>
                      <w:szCs w:val="21"/>
                      <w:lang w:bidi="ar"/>
                      <w14:textFill>
                        <w14:solidFill>
                          <w14:schemeClr w14:val="tx1"/>
                        </w14:solidFill>
                      </w14:textFill>
                    </w:rPr>
                    <w:t>（依托现有）</w:t>
                  </w:r>
                </w:p>
              </w:tc>
            </w:tr>
            <w:tr w14:paraId="0BF968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130" w:type="pct"/>
                  <w:gridSpan w:val="4"/>
                  <w:tcBorders>
                    <w:tl2br w:val="nil"/>
                    <w:tr2bl w:val="nil"/>
                  </w:tcBorders>
                  <w:shd w:val="clear" w:color="auto" w:fill="auto"/>
                  <w:vAlign w:val="center"/>
                </w:tcPr>
                <w:p w14:paraId="522A8D03">
                  <w:pPr>
                    <w:jc w:val="center"/>
                    <w:rPr>
                      <w:rFonts w:eastAsia="宋体"/>
                      <w:color w:val="000000" w:themeColor="text1"/>
                      <w:sz w:val="21"/>
                      <w:szCs w:val="21"/>
                      <w14:textFill>
                        <w14:solidFill>
                          <w14:schemeClr w14:val="tx1"/>
                        </w14:solidFill>
                      </w14:textFill>
                    </w:rPr>
                  </w:pPr>
                  <w:r>
                    <w:rPr>
                      <w:rFonts w:eastAsia="宋体"/>
                      <w:color w:val="000000" w:themeColor="text1"/>
                      <w:spacing w:val="4"/>
                      <w:sz w:val="21"/>
                      <w:szCs w:val="21"/>
                      <w14:textFill>
                        <w14:solidFill>
                          <w14:schemeClr w14:val="tx1"/>
                        </w14:solidFill>
                      </w14:textFill>
                    </w:rPr>
                    <w:t>合计</w:t>
                  </w:r>
                </w:p>
              </w:tc>
              <w:tc>
                <w:tcPr>
                  <w:tcW w:w="870" w:type="pct"/>
                  <w:tcBorders>
                    <w:tl2br w:val="nil"/>
                    <w:tr2bl w:val="nil"/>
                  </w:tcBorders>
                  <w:shd w:val="clear" w:color="auto" w:fill="auto"/>
                  <w:vAlign w:val="center"/>
                </w:tcPr>
                <w:p w14:paraId="45709B0F">
                  <w:pPr>
                    <w:jc w:val="center"/>
                    <w:rPr>
                      <w:rFonts w:eastAsia="宋体"/>
                      <w:color w:val="000000" w:themeColor="text1"/>
                      <w:sz w:val="21"/>
                      <w:szCs w:val="21"/>
                      <w14:textFill>
                        <w14:solidFill>
                          <w14:schemeClr w14:val="tx1"/>
                        </w14:solidFill>
                      </w14:textFill>
                    </w:rPr>
                  </w:pPr>
                  <w:r>
                    <w:rPr>
                      <w:rFonts w:eastAsia="宋体"/>
                      <w:color w:val="000000" w:themeColor="text1"/>
                      <w:spacing w:val="2"/>
                      <w:sz w:val="21"/>
                      <w:szCs w:val="21"/>
                      <w14:textFill>
                        <w14:solidFill>
                          <w14:schemeClr w14:val="tx1"/>
                        </w14:solidFill>
                      </w14:textFill>
                    </w:rPr>
                    <w:t>50</w:t>
                  </w:r>
                </w:p>
              </w:tc>
            </w:tr>
          </w:tbl>
          <w:p w14:paraId="451B9289">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14:paraId="21C6A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0" w:type="dxa"/>
            <w:tcBorders>
              <w:top w:val="single" w:color="auto" w:sz="4" w:space="0"/>
            </w:tcBorders>
            <w:vAlign w:val="center"/>
          </w:tcPr>
          <w:p w14:paraId="75569A23">
            <w:pPr>
              <w:pStyle w:val="33"/>
              <w:adjustRightInd w:val="0"/>
              <w:snapToGrid w:val="0"/>
              <w:spacing w:before="0" w:beforeAutospacing="0" w:after="0" w:afterAutospacing="0"/>
              <w:jc w:val="center"/>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b/>
                <w:bCs/>
                <w:color w:val="000000" w:themeColor="text1"/>
                <w:szCs w:val="24"/>
                <w14:textFill>
                  <w14:solidFill>
                    <w14:schemeClr w14:val="tx1"/>
                  </w14:solidFill>
                </w14:textFill>
              </w:rPr>
              <w:t>工艺流程和产排污环节</w:t>
            </w:r>
          </w:p>
        </w:tc>
        <w:tc>
          <w:tcPr>
            <w:tcW w:w="8646" w:type="dxa"/>
            <w:tcBorders>
              <w:top w:val="single" w:color="auto" w:sz="4" w:space="0"/>
            </w:tcBorders>
          </w:tcPr>
          <w:p w14:paraId="166415CC">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一、施工期工艺流程及产污环节</w:t>
            </w:r>
          </w:p>
          <w:p w14:paraId="4B03F731">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本项目建设过程分为场地平整、基础工程、主体工程、设备安装调试、投入运营、竣工验收等。在建设期间各种施工活动会对环境造成一定的影响，主要污染工序如下：</w:t>
            </w:r>
          </w:p>
          <w:p w14:paraId="0DF3EB8F">
            <w:pPr>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（1）废气</w:t>
            </w:r>
          </w:p>
          <w:p w14:paraId="61A08C56">
            <w:pPr>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施工产生的地面扬尘主要来自三个方面：</w:t>
            </w:r>
          </w:p>
          <w:p w14:paraId="6734B2B4">
            <w:pPr>
              <w:spacing w:line="360" w:lineRule="auto"/>
              <w:ind w:firstLine="480" w:firstLineChars="200"/>
              <w:rPr>
                <w:rFonts w:eastAsia="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①</w:t>
            </w:r>
            <w:r>
              <w:rPr>
                <w:rFonts w:eastAsia="宋体"/>
                <w:color w:val="000000" w:themeColor="text1"/>
                <w:kern w:val="0"/>
                <w14:textFill>
                  <w14:solidFill>
                    <w14:schemeClr w14:val="tx1"/>
                  </w14:solidFill>
                </w14:textFill>
              </w:rPr>
              <w:t>来自土方的挖掘扬尘及现场堆放扬尘；</w:t>
            </w:r>
          </w:p>
          <w:p w14:paraId="6BB8A012">
            <w:pPr>
              <w:spacing w:line="360" w:lineRule="auto"/>
              <w:ind w:firstLine="480" w:firstLineChars="200"/>
              <w:rPr>
                <w:rFonts w:eastAsia="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②</w:t>
            </w:r>
            <w:r>
              <w:rPr>
                <w:rFonts w:eastAsia="宋体"/>
                <w:color w:val="000000" w:themeColor="text1"/>
                <w:kern w:val="0"/>
                <w14:textFill>
                  <w14:solidFill>
                    <w14:schemeClr w14:val="tx1"/>
                  </w14:solidFill>
                </w14:textFill>
              </w:rPr>
              <w:t>来自建筑材料包括白灰、水泥、沙子等搬运和搅拌扬尘；</w:t>
            </w:r>
          </w:p>
          <w:p w14:paraId="24E1B5F9">
            <w:pPr>
              <w:spacing w:line="360" w:lineRule="auto"/>
              <w:ind w:firstLine="480" w:firstLineChars="200"/>
              <w:rPr>
                <w:rFonts w:eastAsia="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③</w:t>
            </w:r>
            <w:r>
              <w:rPr>
                <w:rFonts w:eastAsia="宋体"/>
                <w:color w:val="000000" w:themeColor="text1"/>
                <w:kern w:val="0"/>
                <w14:textFill>
                  <w14:solidFill>
                    <w14:schemeClr w14:val="tx1"/>
                  </w14:solidFill>
                </w14:textFill>
              </w:rPr>
              <w:t>来自来往运输车辆引起的二次扬尘。燃油机械在运行时排放的尾气。</w:t>
            </w:r>
          </w:p>
          <w:p w14:paraId="020EC66F">
            <w:pPr>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（2）废水</w:t>
            </w:r>
          </w:p>
          <w:p w14:paraId="0BDF53EA">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kern w:val="0"/>
                <w14:textFill>
                  <w14:solidFill>
                    <w14:schemeClr w14:val="tx1"/>
                  </w14:solidFill>
                </w14:textFill>
              </w:rPr>
              <w:t>施工期水污染主要为施工区的冲洗废水、施工队伍的生活污水等。冲洗废水主要来源于石料等建材的洗涤，主要污染物为SS；生活污水主要污染物为SS、BOD</w:t>
            </w:r>
            <w:r>
              <w:rPr>
                <w:rFonts w:eastAsia="宋体"/>
                <w:color w:val="000000" w:themeColor="text1"/>
                <w:kern w:val="0"/>
                <w:vertAlign w:val="subscript"/>
                <w14:textFill>
                  <w14:solidFill>
                    <w14:schemeClr w14:val="tx1"/>
                  </w14:solidFill>
                </w14:textFill>
              </w:rPr>
              <w:t>5</w:t>
            </w:r>
            <w:r>
              <w:rPr>
                <w:rFonts w:eastAsia="宋体"/>
                <w:color w:val="000000" w:themeColor="text1"/>
                <w:kern w:val="0"/>
                <w14:textFill>
                  <w14:solidFill>
                    <w14:schemeClr w14:val="tx1"/>
                  </w14:solidFill>
                </w14:textFill>
              </w:rPr>
              <w:t>、CODcr等。冲洗废水的排放特点是间歇式排放，废水量不稳定。施工中往往用水量无节制、废水排放量大，若不采取措施，将会在施工现场随意流淌，对周围水环境造成一定影响。</w:t>
            </w:r>
          </w:p>
          <w:p w14:paraId="11A2E558">
            <w:pPr>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（3）噪声</w:t>
            </w:r>
          </w:p>
          <w:p w14:paraId="31452751">
            <w:pPr>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建筑施工期的噪声源主要是施工机械和车辆，主要特点是间歇性，并具有流动性、噪声值较高的特征。</w:t>
            </w:r>
          </w:p>
          <w:p w14:paraId="45022E85">
            <w:pPr>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（4）固废</w:t>
            </w:r>
          </w:p>
          <w:p w14:paraId="7FBF8F93">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施工期间挖土方后，可能将产生多余土方，将产生弃土外运。固体废弃物主要为临时建筑物和施工过程中产生的建筑垃圾及生活垃圾，均属于一般固体废弃物。建筑垃圾如不妥善处理，不仅会影响城市景观，占用宝贵的土地资源，还容易引起扬尘等环境污染。</w:t>
            </w:r>
          </w:p>
          <w:p w14:paraId="18A4E7F0">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施工期工艺流程及产污环节见下。</w:t>
            </w:r>
          </w:p>
          <w:p w14:paraId="096297D7">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5238750" cy="1838325"/>
                  <wp:effectExtent l="0" t="0" r="0" b="0"/>
                  <wp:docPr id="6"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38750" cy="1838325"/>
                          </a:xfrm>
                          <a:prstGeom prst="rect">
                            <a:avLst/>
                          </a:prstGeom>
                          <a:noFill/>
                          <a:ln>
                            <a:noFill/>
                          </a:ln>
                          <a:effectLst/>
                        </pic:spPr>
                      </pic:pic>
                    </a:graphicData>
                  </a:graphic>
                </wp:inline>
              </w:drawing>
            </w:r>
          </w:p>
          <w:p w14:paraId="2667C8AE">
            <w:pPr>
              <w:adjustRightInd w:val="0"/>
              <w:snapToGrid w:val="0"/>
              <w:spacing w:line="360" w:lineRule="auto"/>
              <w:jc w:val="center"/>
              <w:rPr>
                <w:rFonts w:eastAsia="宋体"/>
                <w:b/>
                <w:color w:val="000000" w:themeColor="text1"/>
                <w14:textFill>
                  <w14:solidFill>
                    <w14:schemeClr w14:val="tx1"/>
                  </w14:solidFill>
                </w14:textFill>
              </w:rPr>
            </w:pPr>
            <w:r>
              <w:rPr>
                <w:rFonts w:eastAsia="宋体"/>
                <w:b/>
                <w:bCs/>
                <w:color w:val="000000" w:themeColor="text1"/>
                <w14:textFill>
                  <w14:solidFill>
                    <w14:schemeClr w14:val="tx1"/>
                  </w14:solidFill>
                </w14:textFill>
              </w:rPr>
              <w:t xml:space="preserve">图2-2  </w:t>
            </w:r>
            <w:r>
              <w:rPr>
                <w:rFonts w:eastAsia="宋体"/>
                <w:b/>
                <w:color w:val="000000" w:themeColor="text1"/>
                <w14:textFill>
                  <w14:solidFill>
                    <w14:schemeClr w14:val="tx1"/>
                  </w14:solidFill>
                </w14:textFill>
              </w:rPr>
              <w:t>施工期工艺流程及产污环节示意图</w:t>
            </w:r>
          </w:p>
          <w:p w14:paraId="7970408F">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二、营运期工艺流程及产污环节</w:t>
            </w:r>
          </w:p>
          <w:p w14:paraId="6269B378">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1、石灰石加工</w:t>
            </w:r>
          </w:p>
          <w:p w14:paraId="3D2B0634">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（1）卸料、堆存：外购的石灰石颗粒粒径为0.5~3cm，汽车加盖苫布运输至厂区内石灰石料仓后卸料，卸车后的石灰石颗粒堆放于密闭的石灰石料仓内，此工序主要产生扬尘及噪声。</w:t>
            </w:r>
          </w:p>
          <w:p w14:paraId="3699C937">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（2）投料：将石灰石原料投入投料口内，通过板式给料机+带式运输机将石灰石原料运输至粉磨机内。此工序主要产生投料粉尘和噪声。</w:t>
            </w:r>
          </w:p>
          <w:p w14:paraId="44C91208">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粉磨机磨粉：旋转的铲刀将扬起的物料抛向磨辊与磨环之间，因磨辊的辊碾而达到粉碎和研磨作用。欧版磨内自带选粉系统，粉磨同时完成分级，合格细粉进入罐仓，不合格粗粉落回磨盘重新粉磨。此工序主要产生粉磨粉尘和噪声。</w:t>
            </w:r>
          </w:p>
          <w:p w14:paraId="70C58895">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（4）入库：经粉磨机粉磨后的产品通过管道密闭输送至石灰石粉罐仓存储待售，此工序主要产生罐仓粉尘。</w:t>
            </w:r>
          </w:p>
          <w:p w14:paraId="0C16F6D0">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石灰石加工工艺流程及产污环节图见下图。</w:t>
            </w:r>
          </w:p>
          <w:p w14:paraId="0FD52ECD">
            <w:pPr>
              <w:rPr>
                <w:color w:val="000000" w:themeColor="text1"/>
                <w14:textFill>
                  <w14:solidFill>
                    <w14:schemeClr w14:val="tx1"/>
                  </w14:solidFill>
                </w14:textFill>
              </w:rPr>
            </w:pPr>
          </w:p>
          <w:p w14:paraId="4E161875">
            <w:pPr>
              <w:pStyle w:val="2"/>
              <w:ind w:left="480"/>
              <w:rPr>
                <w:color w:val="000000" w:themeColor="text1"/>
                <w14:textFill>
                  <w14:solidFill>
                    <w14:schemeClr w14:val="tx1"/>
                  </w14:solidFill>
                </w14:textFill>
              </w:rPr>
            </w:pPr>
          </w:p>
          <w:p w14:paraId="40B518D8">
            <w:pPr>
              <w:rPr>
                <w:color w:val="000000" w:themeColor="text1"/>
                <w14:textFill>
                  <w14:solidFill>
                    <w14:schemeClr w14:val="tx1"/>
                  </w14:solidFill>
                </w14:textFill>
              </w:rPr>
            </w:pPr>
          </w:p>
          <w:p w14:paraId="7E86F639">
            <w:pPr>
              <w:pStyle w:val="2"/>
              <w:ind w:left="480"/>
              <w:rPr>
                <w:color w:val="000000" w:themeColor="text1"/>
                <w14:textFill>
                  <w14:solidFill>
                    <w14:schemeClr w14:val="tx1"/>
                  </w14:solidFill>
                </w14:textFill>
              </w:rPr>
            </w:pPr>
          </w:p>
          <w:p w14:paraId="1AA0EE28">
            <w:pPr>
              <w:rPr>
                <w:color w:val="000000" w:themeColor="text1"/>
                <w14:textFill>
                  <w14:solidFill>
                    <w14:schemeClr w14:val="tx1"/>
                  </w14:solidFill>
                </w14:textFill>
              </w:rPr>
            </w:pPr>
          </w:p>
          <w:p w14:paraId="2ADD3B57">
            <w:pPr>
              <w:pStyle w:val="2"/>
              <w:ind w:left="480"/>
              <w:rPr>
                <w:color w:val="000000" w:themeColor="text1"/>
                <w14:textFill>
                  <w14:solidFill>
                    <w14:schemeClr w14:val="tx1"/>
                  </w14:solidFill>
                </w14:textFill>
              </w:rPr>
            </w:pPr>
          </w:p>
          <w:p w14:paraId="043A4509">
            <w:pPr>
              <w:rPr>
                <w:color w:val="000000" w:themeColor="text1"/>
                <w14:textFill>
                  <w14:solidFill>
                    <w14:schemeClr w14:val="tx1"/>
                  </w14:solidFill>
                </w14:textFill>
              </w:rPr>
            </w:pPr>
          </w:p>
          <w:p w14:paraId="4A77283C">
            <w:pPr>
              <w:pStyle w:val="2"/>
              <w:ind w:left="480"/>
              <w:rPr>
                <w:color w:val="000000" w:themeColor="text1"/>
                <w14:textFill>
                  <w14:solidFill>
                    <w14:schemeClr w14:val="tx1"/>
                  </w14:solidFill>
                </w14:textFill>
              </w:rPr>
            </w:pPr>
          </w:p>
          <w:p w14:paraId="6EE783E2">
            <w:pPr>
              <w:pStyle w:val="2"/>
              <w:ind w:left="0" w:leftChars="0" w:firstLine="0"/>
              <w:jc w:val="center"/>
              <w:rPr>
                <w:color w:val="000000" w:themeColor="text1"/>
                <w14:textFill>
                  <w14:solidFill>
                    <w14:schemeClr w14:val="tx1"/>
                  </w14:solidFill>
                </w14:textFill>
              </w:rPr>
            </w:pPr>
            <w:r>
              <w:rPr>
                <w:color w:val="000000" w:themeColor="text1"/>
                <w14:textFill>
                  <w14:solidFill>
                    <w14:schemeClr w14:val="tx1"/>
                  </w14:solidFill>
                </w14:textFill>
              </w:rPr>
              <w:object>
                <v:shape id="_x0000_i1025" o:spt="75" type="#_x0000_t75" style="height:267.1pt;width:231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14:paraId="77282C89">
            <w:pPr>
              <w:pStyle w:val="65"/>
              <w:spacing w:before="120" w:beforeLines="50"/>
              <w:ind w:firstLine="0" w:firstLineChars="0"/>
              <w:jc w:val="center"/>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b/>
                <w:color w:val="000000" w:themeColor="text1"/>
                <w:lang w:eastAsia="zh-CN"/>
                <w14:textFill>
                  <w14:solidFill>
                    <w14:schemeClr w14:val="tx1"/>
                  </w14:solidFill>
                </w14:textFill>
              </w:rPr>
              <w:t>图2-3   石灰石加工工艺流程及产污环节图</w:t>
            </w:r>
          </w:p>
          <w:p w14:paraId="4248DADA">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2、建筑垃圾加工</w:t>
            </w:r>
          </w:p>
          <w:p w14:paraId="77B09443">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（1）卸料、堆存：建筑垃圾由汽车加盖苫布运输至厂区内建筑垃圾料仓后卸料，卸车后的建筑垃圾堆放于密闭的建筑垃圾料仓内，此工序主要产生扬尘及噪声。</w:t>
            </w:r>
          </w:p>
          <w:p w14:paraId="316200B6">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（2）分拣：采用人工进行分拣，挑出建筑垃圾中的废金属及废木材，分类后暂存至建筑垃圾加工车间内一般固废暂存区，定期外售。</w:t>
            </w:r>
          </w:p>
          <w:p w14:paraId="6C0623B5">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（3）给料破碎：将混凝土类、砖瓦砌块类和石材类按批次经料斗由给料机均匀的投入破碎机内进行破碎。此工序主要产生给料粉尘、破碎粉尘和噪声。</w:t>
            </w:r>
          </w:p>
          <w:p w14:paraId="08640F67">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（4）筛分：对破碎后的物料进行筛分，粒径大于15mm的返回破机重新破碎，粒径小于15mm进入下一工序。此工序主要产生筛分粉尘和噪声。</w:t>
            </w:r>
          </w:p>
          <w:p w14:paraId="67F6805F">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（5）入库：成品混凝土类建设垃圾作为再生骨料运至再生骨料仓暂存，用于现有预拌混凝土生产线。破碎后的砖瓦砌块类和石材类建设垃圾作为再生水稳料运至再生水稳料仓待售。此工序主要产生扬尘和噪声。</w:t>
            </w:r>
          </w:p>
          <w:p w14:paraId="386B51DD">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建筑垃圾加工工艺流程及产污环节图见下图。</w:t>
            </w:r>
          </w:p>
          <w:p w14:paraId="3BC9AA09">
            <w:pPr>
              <w:rPr>
                <w:color w:val="000000" w:themeColor="text1"/>
                <w14:textFill>
                  <w14:solidFill>
                    <w14:schemeClr w14:val="tx1"/>
                  </w14:solidFill>
                </w14:textFill>
              </w:rPr>
            </w:pPr>
          </w:p>
          <w:p w14:paraId="55D59A1B">
            <w:pPr>
              <w:pStyle w:val="2"/>
              <w:spacing w:after="0" w:line="360" w:lineRule="auto"/>
              <w:ind w:left="0" w:leftChars="0" w:firstLine="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 xml:space="preserve">     </w:t>
            </w:r>
            <w:r>
              <w:rPr>
                <w:rFonts w:eastAsia="宋体"/>
                <w:color w:val="000000" w:themeColor="text1"/>
                <w:sz w:val="21"/>
                <w:szCs w:val="21"/>
                <w14:textFill>
                  <w14:solidFill>
                    <w14:schemeClr w14:val="tx1"/>
                  </w14:solidFill>
                </w14:textFill>
              </w:rPr>
              <w:object>
                <v:shape id="_x0000_i1026" o:spt="75" type="#_x0000_t75" style="height:404.25pt;width:351.85pt;" o:ole="t" filled="f" o:preferrelative="t" stroked="f" coordsize="21600,21600">
                  <v:path/>
                  <v:fill on="f" focussize="0,0"/>
                  <v:stroke on="f" joinstyle="miter"/>
                  <v:imagedata r:id="rId11" o:title=""/>
                  <o:lock v:ext="edit" aspectratio="t"/>
                  <w10:wrap type="none"/>
                  <w10:anchorlock/>
                </v:shape>
                <o:OLEObject Type="Embed" ProgID="Visio.Drawing.15" ShapeID="_x0000_i1026" DrawAspect="Content" ObjectID="_1468075726" r:id="rId10">
                  <o:LockedField>false</o:LockedField>
                </o:OLEObject>
              </w:object>
            </w:r>
          </w:p>
          <w:p w14:paraId="7E85F1CC">
            <w:pPr>
              <w:pStyle w:val="65"/>
              <w:ind w:firstLine="0" w:firstLineChars="0"/>
              <w:jc w:val="center"/>
              <w:rPr>
                <w:rFonts w:ascii="Times New Roman" w:hAnsi="Times New Roman" w:eastAsia="宋体"/>
                <w:b/>
                <w:color w:val="000000" w:themeColor="text1"/>
                <w:lang w:eastAsia="zh-CN"/>
                <w14:textFill>
                  <w14:solidFill>
                    <w14:schemeClr w14:val="tx1"/>
                  </w14:solidFill>
                </w14:textFill>
              </w:rPr>
            </w:pPr>
            <w:r>
              <w:rPr>
                <w:rFonts w:ascii="Times New Roman" w:hAnsi="Times New Roman" w:eastAsia="宋体"/>
                <w:b/>
                <w:color w:val="000000" w:themeColor="text1"/>
                <w:lang w:eastAsia="zh-CN"/>
                <w14:textFill>
                  <w14:solidFill>
                    <w14:schemeClr w14:val="tx1"/>
                  </w14:solidFill>
                </w14:textFill>
              </w:rPr>
              <w:t>图2-4   建筑垃圾加工工艺流程及产污环节图</w:t>
            </w:r>
          </w:p>
          <w:p w14:paraId="5AABBDA7">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3、主要产污情况</w:t>
            </w:r>
          </w:p>
          <w:p w14:paraId="24BBFB7D">
            <w:pPr>
              <w:pStyle w:val="2"/>
              <w:spacing w:after="0" w:line="360" w:lineRule="auto"/>
              <w:ind w:left="0" w:leftChars="0"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项目运营期产污环节汇总见下表</w:t>
            </w:r>
          </w:p>
          <w:p w14:paraId="43D24A7E">
            <w:pPr>
              <w:pStyle w:val="65"/>
              <w:spacing w:line="240" w:lineRule="auto"/>
              <w:ind w:firstLine="482"/>
              <w:rPr>
                <w:rFonts w:ascii="Times New Roman" w:hAnsi="Times New Roman" w:eastAsia="宋体"/>
                <w:b/>
                <w:color w:val="000000" w:themeColor="text1"/>
                <w:lang w:eastAsia="zh-CN"/>
                <w14:textFill>
                  <w14:solidFill>
                    <w14:schemeClr w14:val="tx1"/>
                  </w14:solidFill>
                </w14:textFill>
              </w:rPr>
            </w:pPr>
            <w:r>
              <w:rPr>
                <w:rFonts w:ascii="Times New Roman" w:hAnsi="Times New Roman" w:eastAsia="宋体"/>
                <w:b/>
                <w:color w:val="000000" w:themeColor="text1"/>
                <w:lang w:eastAsia="zh-CN"/>
                <w14:textFill>
                  <w14:solidFill>
                    <w14:schemeClr w14:val="tx1"/>
                  </w14:solidFill>
                </w14:textFill>
              </w:rPr>
              <w:t>表2-10                 营运期产污环节汇总表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1046"/>
              <w:gridCol w:w="1366"/>
              <w:gridCol w:w="3970"/>
              <w:gridCol w:w="2018"/>
            </w:tblGrid>
            <w:tr w14:paraId="16A50F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tcBorders>
                    <w:tl2br w:val="nil"/>
                    <w:tr2bl w:val="nil"/>
                  </w:tcBorders>
                  <w:vAlign w:val="center"/>
                </w:tcPr>
                <w:p w14:paraId="7580AE18">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名称</w:t>
                  </w:r>
                </w:p>
              </w:tc>
              <w:tc>
                <w:tcPr>
                  <w:tcW w:w="3176" w:type="pct"/>
                  <w:gridSpan w:val="2"/>
                  <w:tcBorders>
                    <w:tl2br w:val="nil"/>
                    <w:tr2bl w:val="nil"/>
                  </w:tcBorders>
                  <w:vAlign w:val="center"/>
                </w:tcPr>
                <w:p w14:paraId="64A3C541">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产污环节</w:t>
                  </w:r>
                </w:p>
              </w:tc>
              <w:tc>
                <w:tcPr>
                  <w:tcW w:w="1201" w:type="pct"/>
                  <w:tcBorders>
                    <w:tl2br w:val="nil"/>
                    <w:tr2bl w:val="nil"/>
                  </w:tcBorders>
                  <w:vAlign w:val="center"/>
                </w:tcPr>
                <w:p w14:paraId="79D3363C">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污染物名称</w:t>
                  </w:r>
                </w:p>
              </w:tc>
            </w:tr>
            <w:tr w14:paraId="53CF1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restart"/>
                  <w:tcBorders>
                    <w:tl2br w:val="nil"/>
                    <w:tr2bl w:val="nil"/>
                  </w:tcBorders>
                  <w:vAlign w:val="center"/>
                </w:tcPr>
                <w:p w14:paraId="55630AE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废气</w:t>
                  </w:r>
                </w:p>
              </w:tc>
              <w:tc>
                <w:tcPr>
                  <w:tcW w:w="813" w:type="pct"/>
                  <w:vMerge w:val="restart"/>
                  <w:tcBorders>
                    <w:tl2br w:val="nil"/>
                    <w:tr2bl w:val="nil"/>
                  </w:tcBorders>
                  <w:vAlign w:val="center"/>
                </w:tcPr>
                <w:p w14:paraId="53A6A11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石灰石加工</w:t>
                  </w:r>
                </w:p>
              </w:tc>
              <w:tc>
                <w:tcPr>
                  <w:tcW w:w="2363" w:type="pct"/>
                  <w:tcBorders>
                    <w:tl2br w:val="nil"/>
                    <w:tr2bl w:val="nil"/>
                  </w:tcBorders>
                  <w:vAlign w:val="center"/>
                </w:tcPr>
                <w:p w14:paraId="3E6C83B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石灰石卸料及堆存粉尘G1</w:t>
                  </w:r>
                </w:p>
              </w:tc>
              <w:tc>
                <w:tcPr>
                  <w:tcW w:w="1201" w:type="pct"/>
                  <w:tcBorders>
                    <w:tl2br w:val="nil"/>
                    <w:tr2bl w:val="nil"/>
                  </w:tcBorders>
                  <w:vAlign w:val="center"/>
                </w:tcPr>
                <w:p w14:paraId="3A7E4F9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054EB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385D3200">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6A53F0CE">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314A01A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石灰石投料G2</w:t>
                  </w:r>
                </w:p>
              </w:tc>
              <w:tc>
                <w:tcPr>
                  <w:tcW w:w="1201" w:type="pct"/>
                  <w:tcBorders>
                    <w:tl2br w:val="nil"/>
                    <w:tr2bl w:val="nil"/>
                  </w:tcBorders>
                  <w:vAlign w:val="center"/>
                </w:tcPr>
                <w:p w14:paraId="7F2D3B7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010BC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4B3BC07D">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4E5446A3">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0C9B00B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石灰石粉磨粉尘G3</w:t>
                  </w:r>
                </w:p>
              </w:tc>
              <w:tc>
                <w:tcPr>
                  <w:tcW w:w="1201" w:type="pct"/>
                  <w:tcBorders>
                    <w:tl2br w:val="nil"/>
                    <w:tr2bl w:val="nil"/>
                  </w:tcBorders>
                  <w:vAlign w:val="center"/>
                </w:tcPr>
                <w:p w14:paraId="1226C325">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1C357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3CF69B12">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5BA7CA5F">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2D1F164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石灰石罐仓储存粉尘G4</w:t>
                  </w:r>
                </w:p>
              </w:tc>
              <w:tc>
                <w:tcPr>
                  <w:tcW w:w="1201" w:type="pct"/>
                  <w:tcBorders>
                    <w:tl2br w:val="nil"/>
                    <w:tr2bl w:val="nil"/>
                  </w:tcBorders>
                  <w:vAlign w:val="center"/>
                </w:tcPr>
                <w:p w14:paraId="4F0B72BB">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79700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4A3F6626">
                  <w:pPr>
                    <w:jc w:val="center"/>
                    <w:rPr>
                      <w:rFonts w:eastAsia="宋体"/>
                      <w:color w:val="000000" w:themeColor="text1"/>
                      <w:sz w:val="21"/>
                      <w:szCs w:val="21"/>
                      <w14:textFill>
                        <w14:solidFill>
                          <w14:schemeClr w14:val="tx1"/>
                        </w14:solidFill>
                      </w14:textFill>
                    </w:rPr>
                  </w:pPr>
                </w:p>
              </w:tc>
              <w:tc>
                <w:tcPr>
                  <w:tcW w:w="813" w:type="pct"/>
                  <w:vMerge w:val="restart"/>
                  <w:tcBorders>
                    <w:tl2br w:val="nil"/>
                    <w:tr2bl w:val="nil"/>
                  </w:tcBorders>
                  <w:vAlign w:val="center"/>
                </w:tcPr>
                <w:p w14:paraId="7D3EAD7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建筑垃圾加工</w:t>
                  </w:r>
                </w:p>
              </w:tc>
              <w:tc>
                <w:tcPr>
                  <w:tcW w:w="2363" w:type="pct"/>
                  <w:tcBorders>
                    <w:tl2br w:val="nil"/>
                    <w:tr2bl w:val="nil"/>
                  </w:tcBorders>
                  <w:vAlign w:val="center"/>
                </w:tcPr>
                <w:p w14:paraId="324FF41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建筑垃圾卸料及堆存粉尘G5</w:t>
                  </w:r>
                </w:p>
              </w:tc>
              <w:tc>
                <w:tcPr>
                  <w:tcW w:w="1201" w:type="pct"/>
                  <w:tcBorders>
                    <w:tl2br w:val="nil"/>
                    <w:tr2bl w:val="nil"/>
                  </w:tcBorders>
                  <w:vAlign w:val="center"/>
                </w:tcPr>
                <w:p w14:paraId="6892DE57">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283AA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03F78C06">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4AC375FE">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11AC516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建筑垃圾给料粉尘G6</w:t>
                  </w:r>
                </w:p>
              </w:tc>
              <w:tc>
                <w:tcPr>
                  <w:tcW w:w="1201" w:type="pct"/>
                  <w:tcBorders>
                    <w:tl2br w:val="nil"/>
                    <w:tr2bl w:val="nil"/>
                  </w:tcBorders>
                  <w:vAlign w:val="center"/>
                </w:tcPr>
                <w:p w14:paraId="47926F1F">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37185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6C34F2F5">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465996B7">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5B61712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建筑垃圾破碎粉尘G7</w:t>
                  </w:r>
                </w:p>
              </w:tc>
              <w:tc>
                <w:tcPr>
                  <w:tcW w:w="1201" w:type="pct"/>
                  <w:tcBorders>
                    <w:tl2br w:val="nil"/>
                    <w:tr2bl w:val="nil"/>
                  </w:tcBorders>
                  <w:vAlign w:val="center"/>
                </w:tcPr>
                <w:p w14:paraId="75F7D21A">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3B687F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01441CFD">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2D18BDD9">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2938008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建筑垃圾筛分粉尘G8</w:t>
                  </w:r>
                </w:p>
              </w:tc>
              <w:tc>
                <w:tcPr>
                  <w:tcW w:w="1201" w:type="pct"/>
                  <w:tcBorders>
                    <w:tl2br w:val="nil"/>
                    <w:tr2bl w:val="nil"/>
                  </w:tcBorders>
                  <w:vAlign w:val="center"/>
                </w:tcPr>
                <w:p w14:paraId="647A1AF1">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26D24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6FB79302">
                  <w:pPr>
                    <w:jc w:val="center"/>
                    <w:rPr>
                      <w:rFonts w:eastAsia="宋体"/>
                      <w:color w:val="000000" w:themeColor="text1"/>
                      <w:sz w:val="21"/>
                      <w:szCs w:val="21"/>
                      <w14:textFill>
                        <w14:solidFill>
                          <w14:schemeClr w14:val="tx1"/>
                        </w14:solidFill>
                      </w14:textFill>
                    </w:rPr>
                  </w:pPr>
                </w:p>
              </w:tc>
              <w:tc>
                <w:tcPr>
                  <w:tcW w:w="813" w:type="pct"/>
                  <w:vMerge w:val="continue"/>
                  <w:tcBorders>
                    <w:tl2br w:val="nil"/>
                    <w:tr2bl w:val="nil"/>
                  </w:tcBorders>
                  <w:vAlign w:val="center"/>
                </w:tcPr>
                <w:p w14:paraId="708F93B5">
                  <w:pPr>
                    <w:jc w:val="center"/>
                    <w:rPr>
                      <w:rFonts w:eastAsia="宋体"/>
                      <w:color w:val="000000" w:themeColor="text1"/>
                      <w:sz w:val="21"/>
                      <w:szCs w:val="21"/>
                      <w14:textFill>
                        <w14:solidFill>
                          <w14:schemeClr w14:val="tx1"/>
                        </w14:solidFill>
                      </w14:textFill>
                    </w:rPr>
                  </w:pPr>
                </w:p>
              </w:tc>
              <w:tc>
                <w:tcPr>
                  <w:tcW w:w="2363" w:type="pct"/>
                  <w:tcBorders>
                    <w:tl2br w:val="nil"/>
                    <w:tr2bl w:val="nil"/>
                  </w:tcBorders>
                  <w:vAlign w:val="center"/>
                </w:tcPr>
                <w:p w14:paraId="242A082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再生骨料及再生水稳料装卸堆存粉尘G9</w:t>
                  </w:r>
                </w:p>
              </w:tc>
              <w:tc>
                <w:tcPr>
                  <w:tcW w:w="1201" w:type="pct"/>
                  <w:tcBorders>
                    <w:tl2br w:val="nil"/>
                    <w:tr2bl w:val="nil"/>
                  </w:tcBorders>
                  <w:vAlign w:val="center"/>
                </w:tcPr>
                <w:p w14:paraId="4F227AD1">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43FA4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631F1205">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25FD0FE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车辆运输扬尘</w:t>
                  </w:r>
                </w:p>
              </w:tc>
              <w:tc>
                <w:tcPr>
                  <w:tcW w:w="1201" w:type="pct"/>
                  <w:tcBorders>
                    <w:tl2br w:val="nil"/>
                    <w:tr2bl w:val="nil"/>
                  </w:tcBorders>
                  <w:vAlign w:val="center"/>
                </w:tcPr>
                <w:p w14:paraId="785730DB">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r>
            <w:tr w14:paraId="0EA10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restart"/>
                  <w:tcBorders>
                    <w:tl2br w:val="nil"/>
                    <w:tr2bl w:val="nil"/>
                  </w:tcBorders>
                  <w:vAlign w:val="center"/>
                </w:tcPr>
                <w:p w14:paraId="6B33EF6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废水</w:t>
                  </w:r>
                </w:p>
              </w:tc>
              <w:tc>
                <w:tcPr>
                  <w:tcW w:w="3176" w:type="pct"/>
                  <w:gridSpan w:val="2"/>
                  <w:tcBorders>
                    <w:tl2br w:val="nil"/>
                    <w:tr2bl w:val="nil"/>
                  </w:tcBorders>
                  <w:vAlign w:val="center"/>
                </w:tcPr>
                <w:p w14:paraId="4275162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车辆冲洗废水</w:t>
                  </w:r>
                </w:p>
              </w:tc>
              <w:tc>
                <w:tcPr>
                  <w:tcW w:w="1201" w:type="pct"/>
                  <w:tcBorders>
                    <w:tl2br w:val="nil"/>
                    <w:tr2bl w:val="nil"/>
                  </w:tcBorders>
                  <w:vAlign w:val="center"/>
                </w:tcPr>
                <w:p w14:paraId="20DF528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SS</w:t>
                  </w:r>
                </w:p>
              </w:tc>
            </w:tr>
            <w:tr w14:paraId="7A2F3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51AC3E96">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57E9E1D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地面冲洗废水</w:t>
                  </w:r>
                </w:p>
              </w:tc>
              <w:tc>
                <w:tcPr>
                  <w:tcW w:w="1201" w:type="pct"/>
                  <w:tcBorders>
                    <w:tl2br w:val="nil"/>
                    <w:tr2bl w:val="nil"/>
                  </w:tcBorders>
                  <w:vAlign w:val="center"/>
                </w:tcPr>
                <w:p w14:paraId="4289339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SS</w:t>
                  </w:r>
                </w:p>
              </w:tc>
            </w:tr>
            <w:tr w14:paraId="79899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73E973D3">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5E0D497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生活污水</w:t>
                  </w:r>
                </w:p>
              </w:tc>
              <w:tc>
                <w:tcPr>
                  <w:tcW w:w="1201" w:type="pct"/>
                  <w:tcBorders>
                    <w:tl2br w:val="nil"/>
                    <w:tr2bl w:val="nil"/>
                  </w:tcBorders>
                  <w:vAlign w:val="center"/>
                </w:tcPr>
                <w:p w14:paraId="3EC7E53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pH、NH</w:t>
                  </w:r>
                  <w:r>
                    <w:rPr>
                      <w:rFonts w:eastAsia="宋体"/>
                      <w:color w:val="000000" w:themeColor="text1"/>
                      <w:sz w:val="21"/>
                      <w:szCs w:val="21"/>
                      <w:vertAlign w:val="subscript"/>
                      <w14:textFill>
                        <w14:solidFill>
                          <w14:schemeClr w14:val="tx1"/>
                        </w14:solidFill>
                      </w14:textFill>
                    </w:rPr>
                    <w:t>3</w:t>
                  </w:r>
                  <w:r>
                    <w:rPr>
                      <w:rFonts w:eastAsia="宋体"/>
                      <w:color w:val="000000" w:themeColor="text1"/>
                      <w:sz w:val="21"/>
                      <w:szCs w:val="21"/>
                      <w14:textFill>
                        <w14:solidFill>
                          <w14:schemeClr w14:val="tx1"/>
                        </w14:solidFill>
                      </w14:textFill>
                    </w:rPr>
                    <w:t>-N、COD、BOD、SS</w:t>
                  </w:r>
                </w:p>
              </w:tc>
            </w:tr>
            <w:tr w14:paraId="2E6ED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tcBorders>
                    <w:tl2br w:val="nil"/>
                    <w:tr2bl w:val="nil"/>
                  </w:tcBorders>
                  <w:vAlign w:val="center"/>
                </w:tcPr>
                <w:p w14:paraId="264F511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噪声</w:t>
                  </w:r>
                </w:p>
              </w:tc>
              <w:tc>
                <w:tcPr>
                  <w:tcW w:w="3176" w:type="pct"/>
                  <w:gridSpan w:val="2"/>
                  <w:tcBorders>
                    <w:tl2br w:val="nil"/>
                    <w:tr2bl w:val="nil"/>
                  </w:tcBorders>
                  <w:vAlign w:val="center"/>
                </w:tcPr>
                <w:p w14:paraId="4BE6F58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设备运行</w:t>
                  </w:r>
                </w:p>
              </w:tc>
              <w:tc>
                <w:tcPr>
                  <w:tcW w:w="1201" w:type="pct"/>
                  <w:tcBorders>
                    <w:tl2br w:val="nil"/>
                    <w:tr2bl w:val="nil"/>
                  </w:tcBorders>
                  <w:vAlign w:val="center"/>
                </w:tcPr>
                <w:p w14:paraId="76657CB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噪声</w:t>
                  </w:r>
                </w:p>
              </w:tc>
            </w:tr>
            <w:tr w14:paraId="3F092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restart"/>
                  <w:tcBorders>
                    <w:tl2br w:val="nil"/>
                    <w:tr2bl w:val="nil"/>
                  </w:tcBorders>
                  <w:vAlign w:val="center"/>
                </w:tcPr>
                <w:p w14:paraId="2E00BAA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固废</w:t>
                  </w:r>
                </w:p>
              </w:tc>
              <w:tc>
                <w:tcPr>
                  <w:tcW w:w="3176" w:type="pct"/>
                  <w:gridSpan w:val="2"/>
                  <w:tcBorders>
                    <w:tl2br w:val="nil"/>
                    <w:tr2bl w:val="nil"/>
                  </w:tcBorders>
                  <w:vAlign w:val="center"/>
                </w:tcPr>
                <w:p w14:paraId="6D05073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分拣S1</w:t>
                  </w:r>
                </w:p>
              </w:tc>
              <w:tc>
                <w:tcPr>
                  <w:tcW w:w="1201" w:type="pct"/>
                  <w:tcBorders>
                    <w:tl2br w:val="nil"/>
                    <w:tr2bl w:val="nil"/>
                  </w:tcBorders>
                  <w:vAlign w:val="center"/>
                </w:tcPr>
                <w:p w14:paraId="74F2701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分拣杂质</w:t>
                  </w:r>
                </w:p>
              </w:tc>
            </w:tr>
            <w:tr w14:paraId="6000D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14FBB53A">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1764401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职工生活</w:t>
                  </w:r>
                </w:p>
              </w:tc>
              <w:tc>
                <w:tcPr>
                  <w:tcW w:w="1201" w:type="pct"/>
                  <w:tcBorders>
                    <w:tl2br w:val="nil"/>
                    <w:tr2bl w:val="nil"/>
                  </w:tcBorders>
                  <w:vAlign w:val="center"/>
                </w:tcPr>
                <w:p w14:paraId="7BFACFB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生活垃圾</w:t>
                  </w:r>
                </w:p>
              </w:tc>
            </w:tr>
            <w:tr w14:paraId="28F71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7A51D57D">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3078119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废气治理</w:t>
                  </w:r>
                </w:p>
              </w:tc>
              <w:tc>
                <w:tcPr>
                  <w:tcW w:w="1201" w:type="pct"/>
                  <w:tcBorders>
                    <w:tl2br w:val="nil"/>
                    <w:tr2bl w:val="nil"/>
                  </w:tcBorders>
                  <w:vAlign w:val="center"/>
                </w:tcPr>
                <w:p w14:paraId="0947F7B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收尘灰</w:t>
                  </w:r>
                </w:p>
              </w:tc>
            </w:tr>
            <w:tr w14:paraId="6D179E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608EBF5D">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5F503FE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废水治理</w:t>
                  </w:r>
                </w:p>
              </w:tc>
              <w:tc>
                <w:tcPr>
                  <w:tcW w:w="1201" w:type="pct"/>
                  <w:tcBorders>
                    <w:tl2br w:val="nil"/>
                    <w:tr2bl w:val="nil"/>
                  </w:tcBorders>
                  <w:vAlign w:val="center"/>
                </w:tcPr>
                <w:p w14:paraId="24AF869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废砂石、沉淀池沉渣</w:t>
                  </w:r>
                </w:p>
              </w:tc>
            </w:tr>
            <w:tr w14:paraId="44081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40" w:hRule="atLeast"/>
                <w:jc w:val="center"/>
              </w:trPr>
              <w:tc>
                <w:tcPr>
                  <w:tcW w:w="623" w:type="pct"/>
                  <w:vMerge w:val="continue"/>
                  <w:tcBorders>
                    <w:tl2br w:val="nil"/>
                    <w:tr2bl w:val="nil"/>
                  </w:tcBorders>
                  <w:vAlign w:val="center"/>
                </w:tcPr>
                <w:p w14:paraId="72B5624D">
                  <w:pPr>
                    <w:jc w:val="center"/>
                    <w:rPr>
                      <w:rFonts w:eastAsia="宋体"/>
                      <w:color w:val="000000" w:themeColor="text1"/>
                      <w:sz w:val="21"/>
                      <w:szCs w:val="21"/>
                      <w14:textFill>
                        <w14:solidFill>
                          <w14:schemeClr w14:val="tx1"/>
                        </w14:solidFill>
                      </w14:textFill>
                    </w:rPr>
                  </w:pPr>
                </w:p>
              </w:tc>
              <w:tc>
                <w:tcPr>
                  <w:tcW w:w="3176" w:type="pct"/>
                  <w:gridSpan w:val="2"/>
                  <w:tcBorders>
                    <w:tl2br w:val="nil"/>
                    <w:tr2bl w:val="nil"/>
                  </w:tcBorders>
                  <w:vAlign w:val="center"/>
                </w:tcPr>
                <w:p w14:paraId="338906A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设备维护</w:t>
                  </w:r>
                </w:p>
              </w:tc>
              <w:tc>
                <w:tcPr>
                  <w:tcW w:w="1201" w:type="pct"/>
                  <w:tcBorders>
                    <w:tl2br w:val="nil"/>
                    <w:tr2bl w:val="nil"/>
                  </w:tcBorders>
                  <w:vAlign w:val="center"/>
                </w:tcPr>
                <w:p w14:paraId="2AD1170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废机油</w:t>
                  </w:r>
                </w:p>
              </w:tc>
            </w:tr>
          </w:tbl>
          <w:p w14:paraId="6252E922">
            <w:pPr>
              <w:adjustRightInd w:val="0"/>
              <w:snapToGrid w:val="0"/>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    </w:t>
            </w:r>
          </w:p>
        </w:tc>
      </w:tr>
      <w:tr w14:paraId="017F6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10" w:type="dxa"/>
            <w:vAlign w:val="center"/>
          </w:tcPr>
          <w:p w14:paraId="5D3546DB">
            <w:pPr>
              <w:pStyle w:val="33"/>
              <w:adjustRightInd w:val="0"/>
              <w:snapToGrid w:val="0"/>
              <w:spacing w:before="0" w:beforeAutospacing="0" w:after="0" w:afterAutospacing="0"/>
              <w:jc w:val="center"/>
              <w:rPr>
                <w:rFonts w:ascii="Times New Roman" w:hAnsi="Times New Roman" w:eastAsia="宋体"/>
                <w:color w:val="000000" w:themeColor="text1"/>
                <w:szCs w:val="24"/>
                <w14:textFill>
                  <w14:solidFill>
                    <w14:schemeClr w14:val="tx1"/>
                  </w14:solidFill>
                </w14:textFill>
              </w:rPr>
            </w:pPr>
            <w:r>
              <w:rPr>
                <w:rFonts w:ascii="Times New Roman" w:hAnsi="Times New Roman" w:eastAsia="宋体"/>
                <w:b/>
                <w:bCs/>
                <w:color w:val="000000" w:themeColor="text1"/>
                <w:szCs w:val="24"/>
                <w14:textFill>
                  <w14:solidFill>
                    <w14:schemeClr w14:val="tx1"/>
                  </w14:solidFill>
                </w14:textFill>
              </w:rPr>
              <w:t>与项目有关的原有环境污染问题</w:t>
            </w:r>
          </w:p>
        </w:tc>
        <w:tc>
          <w:tcPr>
            <w:tcW w:w="8646" w:type="dxa"/>
            <w:vAlign w:val="center"/>
          </w:tcPr>
          <w:p w14:paraId="5FEC284F">
            <w:pPr>
              <w:spacing w:line="360" w:lineRule="auto"/>
              <w:ind w:firstLine="482" w:firstLineChars="200"/>
              <w:rPr>
                <w:rFonts w:eastAsia="宋体"/>
                <w:b/>
                <w:bCs/>
                <w:snapToGrid w:val="0"/>
                <w:color w:val="000000" w:themeColor="text1"/>
                <w:kern w:val="0"/>
                <w14:textFill>
                  <w14:solidFill>
                    <w14:schemeClr w14:val="tx1"/>
                  </w14:solidFill>
                </w14:textFill>
              </w:rPr>
            </w:pPr>
            <w:r>
              <w:rPr>
                <w:rFonts w:eastAsia="宋体"/>
                <w:b/>
                <w:color w:val="000000" w:themeColor="text1"/>
                <w14:textFill>
                  <w14:solidFill>
                    <w14:schemeClr w14:val="tx1"/>
                  </w14:solidFill>
                </w14:textFill>
              </w:rPr>
              <w:t>1、现有一期工程环保手续履行情况</w:t>
            </w:r>
          </w:p>
          <w:p w14:paraId="6A1B2CE3">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kern w:val="0"/>
                <w14:textFill>
                  <w14:solidFill>
                    <w14:schemeClr w14:val="tx1"/>
                  </w14:solidFill>
                </w14:textFill>
              </w:rPr>
              <w:t>宁夏昊际建材有限公司</w:t>
            </w:r>
            <w:r>
              <w:rPr>
                <w:rFonts w:eastAsia="宋体"/>
                <w:color w:val="000000" w:themeColor="text1"/>
                <w14:textFill>
                  <w14:solidFill>
                    <w14:schemeClr w14:val="tx1"/>
                  </w14:solidFill>
                </w14:textFill>
              </w:rPr>
              <w:t>于2025年11月16日取得固原市生态局彭阳分局《关于宁夏昊际健材有限公司年产30万方预拌混凝士搅拌站项目环影响报告表的批复》（固环彭审【2025】17号），项目占地面积18413.76m</w:t>
            </w:r>
            <w:r>
              <w:rPr>
                <w:rFonts w:eastAsia="宋体"/>
                <w:color w:val="000000" w:themeColor="text1"/>
                <w:vertAlign w:val="superscript"/>
                <w14:textFill>
                  <w14:solidFill>
                    <w14:schemeClr w14:val="tx1"/>
                  </w14:solidFill>
                </w14:textFill>
              </w:rPr>
              <w:t>2</w:t>
            </w:r>
            <w:r>
              <w:rPr>
                <w:rFonts w:eastAsia="宋体"/>
                <w:color w:val="000000" w:themeColor="text1"/>
                <w14:textFill>
                  <w14:solidFill>
                    <w14:schemeClr w14:val="tx1"/>
                  </w14:solidFill>
                </w14:textFill>
              </w:rPr>
              <w:t>，现已建成混凝土搅拌生产线2条，钢架结构全封闭原料库2座2500m</w:t>
            </w:r>
            <w:r>
              <w:rPr>
                <w:rFonts w:eastAsia="宋体"/>
                <w:color w:val="000000" w:themeColor="text1"/>
                <w:vertAlign w:val="superscript"/>
                <w14:textFill>
                  <w14:solidFill>
                    <w14:schemeClr w14:val="tx1"/>
                  </w14:solidFill>
                </w14:textFill>
              </w:rPr>
              <w:t>2</w:t>
            </w:r>
            <w:r>
              <w:rPr>
                <w:rFonts w:eastAsia="宋体"/>
                <w:color w:val="000000" w:themeColor="text1"/>
                <w14:textFill>
                  <w14:solidFill>
                    <w14:schemeClr w14:val="tx1"/>
                  </w14:solidFill>
                </w14:textFill>
              </w:rPr>
              <w:t>，5个200t水泥储罐，配套有废气、废水处理设施、危废贮存点、车辆冲洗平台及实验室和办公用房等，项目目前已进入工程验收阶段，已办理排污登记（登记编号：91640425MAEMPE9N 2F001X），尚未进行竣工环境保护验收。</w:t>
            </w:r>
          </w:p>
          <w:p w14:paraId="1ECB1C34">
            <w:pPr>
              <w:spacing w:line="360" w:lineRule="auto"/>
              <w:ind w:firstLine="482" w:firstLineChars="200"/>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2、现有一期工程污染物排放量</w:t>
            </w:r>
          </w:p>
          <w:p w14:paraId="7822AAE5">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因现有一期工程部分尚未进行自主验收，尚未开展相应的污染源监测，故本次评价对现有一期工程的污染物排放量核算主要参照现有一期工程的环评文件及其批复内容。</w:t>
            </w:r>
          </w:p>
          <w:p w14:paraId="05149669">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（1）废气</w:t>
            </w:r>
          </w:p>
          <w:p w14:paraId="01DADB31">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现有一期工程有组织废气为全封闭式搅拌机产生的搅拌粉尘，无组织废气为料仓粉尘、筒仓粉尘和厂内运输车辆扬尘。其中有组织搅拌粉尘产生总量为93.99t/a，两条生产线搅拌粉尘产生量分别为46.995t/a，产生速率为7.25kg/h，搅拌粉尘经脉冲式布袋除尘器处理，处理后的每条生产线搅拌系统粉尘排放量均为0.47t/a，排放速率为0.07kg/h，排放浓度均为6.9mg/m</w:t>
            </w:r>
            <w:r>
              <w:rPr>
                <w:rFonts w:eastAsia="宋体"/>
                <w:color w:val="000000" w:themeColor="text1"/>
                <w:vertAlign w:val="superscript"/>
                <w14:textFill>
                  <w14:solidFill>
                    <w14:schemeClr w14:val="tx1"/>
                  </w14:solidFill>
                </w14:textFill>
              </w:rPr>
              <w:t>3</w:t>
            </w:r>
            <w:r>
              <w:rPr>
                <w:rFonts w:eastAsia="宋体"/>
                <w:color w:val="000000" w:themeColor="text1"/>
                <w14:textFill>
                  <w14:solidFill>
                    <w14:schemeClr w14:val="tx1"/>
                  </w14:solidFill>
                </w14:textFill>
              </w:rPr>
              <w:t>。无组织料仓粉尘排放量为3.38t/a，无组织筒仓粉尘排放量为0.29t/a，厂内运输车辆扬尘排放量为0.28t/a。均满足《水泥工业大气污染物排放标准》（DB64/1995-2024）中排放限值要求。</w:t>
            </w:r>
          </w:p>
          <w:p w14:paraId="44179E3F">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（2）废水</w:t>
            </w:r>
          </w:p>
          <w:p w14:paraId="591EC09D">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现有一期工程各类生产废水（搅拌机清洗废水、车辆清洗废水和地面清洗废水）经配套的沉淀池处理后循环利用，不外排。生活污水主要为员工洗漱废水，用于厂区抑尘，设置防渗旱厕，定期清掏用于厂区周边绿化及周边农田施肥。不设废水排放口。</w:t>
            </w:r>
          </w:p>
          <w:p w14:paraId="0BD01CD5">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（3）噪声</w:t>
            </w:r>
          </w:p>
          <w:p w14:paraId="49EECA08">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现有一期工程噪声源主要来自搅拌系统、风机等设备运转过程中产生的噪声，采取基础减振、厂房隔声、距离衰减的降噪措施，根据预测结果，厂界昼夜间噪声最大贡献值为48.5dB（A），满足《工业企业厂界环境噪声排放标准》（GB12348-2008）中2类区标准要求。</w:t>
            </w:r>
          </w:p>
          <w:p w14:paraId="68C966A7">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（4）固废</w:t>
            </w:r>
          </w:p>
          <w:p w14:paraId="1173F507">
            <w:pPr>
              <w:pStyle w:val="65"/>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现有一期工程固体废物为袋式除尘器除尘灰、废砂石、沉淀池沉渣、不合格品、废机油及生活垃圾。</w:t>
            </w:r>
          </w:p>
          <w:p w14:paraId="288BD7A6">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（5）污染物排放量统计</w:t>
            </w:r>
          </w:p>
          <w:p w14:paraId="17DCC76F">
            <w:pPr>
              <w:pStyle w:val="169"/>
              <w:ind w:firstLine="480"/>
              <w:rPr>
                <w:color w:val="000000" w:themeColor="text1"/>
                <w14:textFill>
                  <w14:solidFill>
                    <w14:schemeClr w14:val="tx1"/>
                  </w14:solidFill>
                </w14:textFill>
              </w:rPr>
            </w:pPr>
            <w:r>
              <w:rPr>
                <w:color w:val="000000" w:themeColor="text1"/>
                <w14:textFill>
                  <w14:solidFill>
                    <w14:schemeClr w14:val="tx1"/>
                  </w14:solidFill>
                </w14:textFill>
              </w:rPr>
              <w:t>现有一期工程污染物排放统计见表下表。</w:t>
            </w:r>
          </w:p>
          <w:p w14:paraId="0BDBB5C9">
            <w:pPr>
              <w:pStyle w:val="170"/>
              <w:ind w:firstLine="482" w:firstLineChars="200"/>
              <w:jc w:val="both"/>
              <w:rPr>
                <w:color w:val="000000" w:themeColor="text1"/>
                <w14:textFill>
                  <w14:solidFill>
                    <w14:schemeClr w14:val="tx1"/>
                  </w14:solidFill>
                </w14:textFill>
              </w:rPr>
            </w:pPr>
            <w:r>
              <w:rPr>
                <w:color w:val="000000" w:themeColor="text1"/>
                <w14:textFill>
                  <w14:solidFill>
                    <w14:schemeClr w14:val="tx1"/>
                  </w14:solidFill>
                </w14:textFill>
              </w:rPr>
              <w:t>表2-11          现有一期工程污染物排放量统计一览表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2618"/>
              <w:gridCol w:w="1571"/>
              <w:gridCol w:w="3289"/>
            </w:tblGrid>
            <w:tr w14:paraId="29F58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tcBorders>
                    <w:tl2br w:val="nil"/>
                    <w:tr2bl w:val="nil"/>
                  </w:tcBorders>
                  <w:shd w:val="clear" w:color="auto" w:fill="auto"/>
                  <w:vAlign w:val="center"/>
                </w:tcPr>
                <w:p w14:paraId="06D985F0">
                  <w:pPr>
                    <w:pStyle w:val="171"/>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类型</w:t>
                  </w:r>
                </w:p>
              </w:tc>
              <w:tc>
                <w:tcPr>
                  <w:tcW w:w="1558" w:type="pct"/>
                  <w:tcBorders>
                    <w:tl2br w:val="nil"/>
                    <w:tr2bl w:val="nil"/>
                  </w:tcBorders>
                  <w:shd w:val="clear" w:color="auto" w:fill="auto"/>
                  <w:vAlign w:val="center"/>
                </w:tcPr>
                <w:p w14:paraId="61F3F837">
                  <w:pPr>
                    <w:pStyle w:val="171"/>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产污工序及排放形式</w:t>
                  </w:r>
                </w:p>
              </w:tc>
              <w:tc>
                <w:tcPr>
                  <w:tcW w:w="935" w:type="pct"/>
                  <w:tcBorders>
                    <w:tl2br w:val="nil"/>
                    <w:tr2bl w:val="nil"/>
                  </w:tcBorders>
                  <w:shd w:val="clear" w:color="auto" w:fill="auto"/>
                  <w:vAlign w:val="center"/>
                </w:tcPr>
                <w:p w14:paraId="67864060">
                  <w:pPr>
                    <w:pStyle w:val="171"/>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排放量（t/a）</w:t>
                  </w:r>
                </w:p>
              </w:tc>
              <w:tc>
                <w:tcPr>
                  <w:tcW w:w="1957" w:type="pct"/>
                  <w:tcBorders>
                    <w:tl2br w:val="nil"/>
                    <w:tr2bl w:val="nil"/>
                  </w:tcBorders>
                  <w:shd w:val="clear" w:color="auto" w:fill="auto"/>
                  <w:vAlign w:val="center"/>
                </w:tcPr>
                <w:p w14:paraId="2460A062">
                  <w:pPr>
                    <w:pStyle w:val="171"/>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备注</w:t>
                  </w:r>
                </w:p>
              </w:tc>
            </w:tr>
            <w:tr w14:paraId="183F0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restart"/>
                  <w:tcBorders>
                    <w:tl2br w:val="nil"/>
                    <w:tr2bl w:val="nil"/>
                  </w:tcBorders>
                  <w:shd w:val="clear" w:color="auto" w:fill="auto"/>
                  <w:vAlign w:val="center"/>
                </w:tcPr>
                <w:p w14:paraId="4C1F7783">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废气</w:t>
                  </w:r>
                </w:p>
              </w:tc>
              <w:tc>
                <w:tcPr>
                  <w:tcW w:w="1558" w:type="pct"/>
                  <w:tcBorders>
                    <w:tl2br w:val="nil"/>
                    <w:tr2bl w:val="nil"/>
                  </w:tcBorders>
                  <w:shd w:val="clear" w:color="auto" w:fill="auto"/>
                  <w:vAlign w:val="center"/>
                </w:tcPr>
                <w:p w14:paraId="6E38C3B0">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搅拌粉尘（有组织）</w:t>
                  </w:r>
                </w:p>
              </w:tc>
              <w:tc>
                <w:tcPr>
                  <w:tcW w:w="935" w:type="pct"/>
                  <w:tcBorders>
                    <w:tl2br w:val="nil"/>
                    <w:tr2bl w:val="nil"/>
                  </w:tcBorders>
                  <w:shd w:val="clear" w:color="auto" w:fill="auto"/>
                  <w:vAlign w:val="center"/>
                </w:tcPr>
                <w:p w14:paraId="12B834BF">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0.94</w:t>
                  </w:r>
                </w:p>
              </w:tc>
              <w:tc>
                <w:tcPr>
                  <w:tcW w:w="1957" w:type="pct"/>
                  <w:tcBorders>
                    <w:tl2br w:val="nil"/>
                    <w:tr2bl w:val="nil"/>
                  </w:tcBorders>
                  <w:shd w:val="clear" w:color="auto" w:fill="auto"/>
                  <w:vAlign w:val="center"/>
                </w:tcPr>
                <w:p w14:paraId="3FCC35F7">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经脉冲式布袋除尘器处理后通过24m排气筒高空排放</w:t>
                  </w:r>
                </w:p>
              </w:tc>
            </w:tr>
            <w:tr w14:paraId="2B2FF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4642D2B5">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0C9A337D">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料仓粉尘（无组织）</w:t>
                  </w:r>
                </w:p>
              </w:tc>
              <w:tc>
                <w:tcPr>
                  <w:tcW w:w="935" w:type="pct"/>
                  <w:tcBorders>
                    <w:tl2br w:val="nil"/>
                    <w:tr2bl w:val="nil"/>
                  </w:tcBorders>
                  <w:shd w:val="clear" w:color="auto" w:fill="auto"/>
                  <w:vAlign w:val="center"/>
                </w:tcPr>
                <w:p w14:paraId="12B5EBB3">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3.38</w:t>
                  </w:r>
                </w:p>
              </w:tc>
              <w:tc>
                <w:tcPr>
                  <w:tcW w:w="1957" w:type="pct"/>
                  <w:tcBorders>
                    <w:tl2br w:val="nil"/>
                    <w:tr2bl w:val="nil"/>
                  </w:tcBorders>
                  <w:shd w:val="clear" w:color="auto" w:fill="auto"/>
                  <w:vAlign w:val="center"/>
                </w:tcPr>
                <w:p w14:paraId="681FE8B9">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r w14:paraId="75EA8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6962C575">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0D3DF7D8">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筒仓粉尘（无组织）</w:t>
                  </w:r>
                </w:p>
              </w:tc>
              <w:tc>
                <w:tcPr>
                  <w:tcW w:w="935" w:type="pct"/>
                  <w:tcBorders>
                    <w:tl2br w:val="nil"/>
                    <w:tr2bl w:val="nil"/>
                  </w:tcBorders>
                  <w:shd w:val="clear" w:color="auto" w:fill="auto"/>
                  <w:vAlign w:val="center"/>
                </w:tcPr>
                <w:p w14:paraId="1D59C0E2">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0.29</w:t>
                  </w:r>
                </w:p>
              </w:tc>
              <w:tc>
                <w:tcPr>
                  <w:tcW w:w="1957" w:type="pct"/>
                  <w:tcBorders>
                    <w:tl2br w:val="nil"/>
                    <w:tr2bl w:val="nil"/>
                  </w:tcBorders>
                  <w:shd w:val="clear" w:color="auto" w:fill="auto"/>
                  <w:vAlign w:val="center"/>
                </w:tcPr>
                <w:p w14:paraId="17496669">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r w14:paraId="01FD3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4182DBAE">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54328BEF">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运输车辆扬尘（无组织）</w:t>
                  </w:r>
                </w:p>
              </w:tc>
              <w:tc>
                <w:tcPr>
                  <w:tcW w:w="935" w:type="pct"/>
                  <w:tcBorders>
                    <w:tl2br w:val="nil"/>
                    <w:tr2bl w:val="nil"/>
                  </w:tcBorders>
                  <w:shd w:val="clear" w:color="auto" w:fill="auto"/>
                  <w:vAlign w:val="center"/>
                </w:tcPr>
                <w:p w14:paraId="322F34FB">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0.28</w:t>
                  </w:r>
                </w:p>
              </w:tc>
              <w:tc>
                <w:tcPr>
                  <w:tcW w:w="1957" w:type="pct"/>
                  <w:tcBorders>
                    <w:tl2br w:val="nil"/>
                    <w:tr2bl w:val="nil"/>
                  </w:tcBorders>
                  <w:shd w:val="clear" w:color="auto" w:fill="auto"/>
                  <w:vAlign w:val="center"/>
                </w:tcPr>
                <w:p w14:paraId="58103CE6">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w:t>
                  </w:r>
                </w:p>
              </w:tc>
            </w:tr>
            <w:tr w14:paraId="07A35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restart"/>
                  <w:tcBorders>
                    <w:tl2br w:val="nil"/>
                    <w:tr2bl w:val="nil"/>
                  </w:tcBorders>
                  <w:shd w:val="clear" w:color="auto" w:fill="auto"/>
                  <w:vAlign w:val="center"/>
                </w:tcPr>
                <w:p w14:paraId="6AC72A89">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固废</w:t>
                  </w:r>
                </w:p>
              </w:tc>
              <w:tc>
                <w:tcPr>
                  <w:tcW w:w="1558" w:type="pct"/>
                  <w:tcBorders>
                    <w:tl2br w:val="nil"/>
                    <w:tr2bl w:val="nil"/>
                  </w:tcBorders>
                  <w:shd w:val="clear" w:color="auto" w:fill="auto"/>
                  <w:vAlign w:val="center"/>
                </w:tcPr>
                <w:p w14:paraId="75B7C134">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袋式除尘器除尘灰</w:t>
                  </w:r>
                </w:p>
              </w:tc>
              <w:tc>
                <w:tcPr>
                  <w:tcW w:w="935" w:type="pct"/>
                  <w:tcBorders>
                    <w:tl2br w:val="nil"/>
                    <w:tr2bl w:val="nil"/>
                  </w:tcBorders>
                  <w:shd w:val="clear" w:color="auto" w:fill="auto"/>
                  <w:vAlign w:val="center"/>
                </w:tcPr>
                <w:p w14:paraId="257BED57">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128.69</w:t>
                  </w:r>
                </w:p>
              </w:tc>
              <w:tc>
                <w:tcPr>
                  <w:tcW w:w="1957" w:type="pct"/>
                  <w:tcBorders>
                    <w:tl2br w:val="nil"/>
                    <w:tr2bl w:val="nil"/>
                  </w:tcBorders>
                  <w:shd w:val="clear" w:color="auto" w:fill="auto"/>
                  <w:vAlign w:val="center"/>
                </w:tcPr>
                <w:p w14:paraId="1E4CE96A">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收集后作为原材料回用</w:t>
                  </w:r>
                </w:p>
              </w:tc>
            </w:tr>
            <w:tr w14:paraId="0F17A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1FD7DC28">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3725A653">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沉淀池沉渣</w:t>
                  </w:r>
                </w:p>
              </w:tc>
              <w:tc>
                <w:tcPr>
                  <w:tcW w:w="935" w:type="pct"/>
                  <w:tcBorders>
                    <w:tl2br w:val="nil"/>
                    <w:tr2bl w:val="nil"/>
                  </w:tcBorders>
                  <w:shd w:val="clear" w:color="auto" w:fill="auto"/>
                  <w:vAlign w:val="center"/>
                </w:tcPr>
                <w:p w14:paraId="3A6A960B">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2.2</w:t>
                  </w:r>
                </w:p>
              </w:tc>
              <w:tc>
                <w:tcPr>
                  <w:tcW w:w="1957" w:type="pct"/>
                  <w:tcBorders>
                    <w:tl2br w:val="nil"/>
                    <w:tr2bl w:val="nil"/>
                  </w:tcBorders>
                  <w:shd w:val="clear" w:color="auto" w:fill="auto"/>
                  <w:vAlign w:val="center"/>
                </w:tcPr>
                <w:p w14:paraId="260B004F">
                  <w:pPr>
                    <w:pStyle w:val="171"/>
                    <w:rPr>
                      <w:rFonts w:eastAsia="宋体"/>
                      <w:color w:val="000000" w:themeColor="text1"/>
                      <w14:textFill>
                        <w14:solidFill>
                          <w14:schemeClr w14:val="tx1"/>
                        </w14:solidFill>
                      </w14:textFill>
                    </w:rPr>
                  </w:pPr>
                  <w:r>
                    <w:rPr>
                      <w:rFonts w:eastAsia="宋体"/>
                      <w:color w:val="000000" w:themeColor="text1"/>
                      <w:szCs w:val="21"/>
                      <w14:textFill>
                        <w14:solidFill>
                          <w14:schemeClr w14:val="tx1"/>
                        </w14:solidFill>
                      </w14:textFill>
                    </w:rPr>
                    <w:t>外售</w:t>
                  </w:r>
                </w:p>
              </w:tc>
            </w:tr>
            <w:tr w14:paraId="5D763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6336BFCD">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4668FF47">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废砂石</w:t>
                  </w:r>
                </w:p>
              </w:tc>
              <w:tc>
                <w:tcPr>
                  <w:tcW w:w="935" w:type="pct"/>
                  <w:tcBorders>
                    <w:tl2br w:val="nil"/>
                    <w:tr2bl w:val="nil"/>
                  </w:tcBorders>
                  <w:shd w:val="clear" w:color="auto" w:fill="auto"/>
                  <w:vAlign w:val="center"/>
                </w:tcPr>
                <w:p w14:paraId="45161E89">
                  <w:pPr>
                    <w:pStyle w:val="171"/>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2</w:t>
                  </w:r>
                  <w:r>
                    <w:rPr>
                      <w:rFonts w:eastAsia="宋体"/>
                      <w:color w:val="000000" w:themeColor="text1"/>
                      <w14:textFill>
                        <w14:solidFill>
                          <w14:schemeClr w14:val="tx1"/>
                        </w14:solidFill>
                      </w14:textFill>
                    </w:rPr>
                    <w:t>0</w:t>
                  </w:r>
                </w:p>
              </w:tc>
              <w:tc>
                <w:tcPr>
                  <w:tcW w:w="1957" w:type="pct"/>
                  <w:tcBorders>
                    <w:tl2br w:val="nil"/>
                    <w:tr2bl w:val="nil"/>
                  </w:tcBorders>
                  <w:shd w:val="clear" w:color="auto" w:fill="auto"/>
                  <w:vAlign w:val="center"/>
                </w:tcPr>
                <w:p w14:paraId="7C9E3C24">
                  <w:pPr>
                    <w:pStyle w:val="171"/>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回用于生产</w:t>
                  </w:r>
                </w:p>
              </w:tc>
            </w:tr>
            <w:tr w14:paraId="16FE7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199A7E4B">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56EBB778">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不合格品</w:t>
                  </w:r>
                </w:p>
              </w:tc>
              <w:tc>
                <w:tcPr>
                  <w:tcW w:w="935" w:type="pct"/>
                  <w:tcBorders>
                    <w:tl2br w:val="nil"/>
                    <w:tr2bl w:val="nil"/>
                  </w:tcBorders>
                  <w:shd w:val="clear" w:color="auto" w:fill="auto"/>
                  <w:vAlign w:val="center"/>
                </w:tcPr>
                <w:p w14:paraId="2BEA6796">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3000</w:t>
                  </w:r>
                </w:p>
              </w:tc>
              <w:tc>
                <w:tcPr>
                  <w:tcW w:w="1957" w:type="pct"/>
                  <w:tcBorders>
                    <w:tl2br w:val="nil"/>
                    <w:tr2bl w:val="nil"/>
                  </w:tcBorders>
                  <w:shd w:val="clear" w:color="auto" w:fill="auto"/>
                  <w:vAlign w:val="center"/>
                </w:tcPr>
                <w:p w14:paraId="5A94BC08">
                  <w:pPr>
                    <w:pStyle w:val="171"/>
                    <w:rPr>
                      <w:rFonts w:eastAsia="宋体"/>
                      <w:color w:val="000000" w:themeColor="text1"/>
                      <w14:textFill>
                        <w14:solidFill>
                          <w14:schemeClr w14:val="tx1"/>
                        </w14:solidFill>
                      </w14:textFill>
                    </w:rPr>
                  </w:pPr>
                  <w:r>
                    <w:rPr>
                      <w:rFonts w:eastAsia="宋体"/>
                      <w:color w:val="000000" w:themeColor="text1"/>
                      <w:szCs w:val="21"/>
                      <w14:textFill>
                        <w14:solidFill>
                          <w14:schemeClr w14:val="tx1"/>
                        </w14:solidFill>
                      </w14:textFill>
                    </w:rPr>
                    <w:t>回用于生产</w:t>
                  </w:r>
                </w:p>
              </w:tc>
            </w:tr>
            <w:tr w14:paraId="5B69A0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3B31546C">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6E809756">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生活垃圾</w:t>
                  </w:r>
                </w:p>
              </w:tc>
              <w:tc>
                <w:tcPr>
                  <w:tcW w:w="935" w:type="pct"/>
                  <w:tcBorders>
                    <w:tl2br w:val="nil"/>
                    <w:tr2bl w:val="nil"/>
                  </w:tcBorders>
                  <w:shd w:val="clear" w:color="auto" w:fill="auto"/>
                  <w:vAlign w:val="center"/>
                </w:tcPr>
                <w:p w14:paraId="563AB1DB">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4.05</w:t>
                  </w:r>
                </w:p>
              </w:tc>
              <w:tc>
                <w:tcPr>
                  <w:tcW w:w="1957" w:type="pct"/>
                  <w:tcBorders>
                    <w:tl2br w:val="nil"/>
                    <w:tr2bl w:val="nil"/>
                  </w:tcBorders>
                  <w:shd w:val="clear" w:color="auto" w:fill="auto"/>
                  <w:vAlign w:val="center"/>
                </w:tcPr>
                <w:p w14:paraId="24C602E4">
                  <w:pPr>
                    <w:pStyle w:val="171"/>
                    <w:rPr>
                      <w:rFonts w:eastAsia="宋体"/>
                      <w:color w:val="000000" w:themeColor="text1"/>
                      <w14:textFill>
                        <w14:solidFill>
                          <w14:schemeClr w14:val="tx1"/>
                        </w14:solidFill>
                      </w14:textFill>
                    </w:rPr>
                  </w:pPr>
                  <w:r>
                    <w:rPr>
                      <w:rFonts w:eastAsia="宋体"/>
                      <w:color w:val="000000" w:themeColor="text1"/>
                      <w:szCs w:val="21"/>
                      <w14:textFill>
                        <w14:solidFill>
                          <w14:schemeClr w14:val="tx1"/>
                        </w14:solidFill>
                      </w14:textFill>
                    </w:rPr>
                    <w:t>收集于垃圾桶中，环卫部门统一处置</w:t>
                  </w:r>
                </w:p>
              </w:tc>
            </w:tr>
            <w:tr w14:paraId="41523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9" w:type="pct"/>
                  <w:vMerge w:val="continue"/>
                  <w:tcBorders>
                    <w:tl2br w:val="nil"/>
                    <w:tr2bl w:val="nil"/>
                  </w:tcBorders>
                  <w:shd w:val="clear" w:color="auto" w:fill="auto"/>
                  <w:vAlign w:val="center"/>
                </w:tcPr>
                <w:p w14:paraId="7E43CBA6">
                  <w:pPr>
                    <w:pStyle w:val="171"/>
                    <w:rPr>
                      <w:rFonts w:eastAsia="宋体"/>
                      <w:color w:val="000000" w:themeColor="text1"/>
                      <w14:textFill>
                        <w14:solidFill>
                          <w14:schemeClr w14:val="tx1"/>
                        </w14:solidFill>
                      </w14:textFill>
                    </w:rPr>
                  </w:pPr>
                </w:p>
              </w:tc>
              <w:tc>
                <w:tcPr>
                  <w:tcW w:w="1558" w:type="pct"/>
                  <w:tcBorders>
                    <w:tl2br w:val="nil"/>
                    <w:tr2bl w:val="nil"/>
                  </w:tcBorders>
                  <w:shd w:val="clear" w:color="auto" w:fill="auto"/>
                  <w:vAlign w:val="center"/>
                </w:tcPr>
                <w:p w14:paraId="09E8A1FC">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废机油</w:t>
                  </w:r>
                </w:p>
              </w:tc>
              <w:tc>
                <w:tcPr>
                  <w:tcW w:w="935" w:type="pct"/>
                  <w:tcBorders>
                    <w:tl2br w:val="nil"/>
                    <w:tr2bl w:val="nil"/>
                  </w:tcBorders>
                  <w:shd w:val="clear" w:color="auto" w:fill="auto"/>
                  <w:vAlign w:val="center"/>
                </w:tcPr>
                <w:p w14:paraId="3C9AEBA2">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0.05</w:t>
                  </w:r>
                </w:p>
              </w:tc>
              <w:tc>
                <w:tcPr>
                  <w:tcW w:w="1957" w:type="pct"/>
                  <w:tcBorders>
                    <w:tl2br w:val="nil"/>
                    <w:tr2bl w:val="nil"/>
                  </w:tcBorders>
                  <w:shd w:val="clear" w:color="auto" w:fill="auto"/>
                  <w:vAlign w:val="center"/>
                </w:tcPr>
                <w:p w14:paraId="1E4E6A57">
                  <w:pPr>
                    <w:pStyle w:val="171"/>
                    <w:rPr>
                      <w:rFonts w:eastAsia="宋体"/>
                      <w:color w:val="000000" w:themeColor="text1"/>
                      <w14:textFill>
                        <w14:solidFill>
                          <w14:schemeClr w14:val="tx1"/>
                        </w14:solidFill>
                      </w14:textFill>
                    </w:rPr>
                  </w:pPr>
                  <w:r>
                    <w:rPr>
                      <w:rFonts w:eastAsia="宋体"/>
                      <w:color w:val="000000" w:themeColor="text1"/>
                      <w:szCs w:val="21"/>
                      <w14:textFill>
                        <w14:solidFill>
                          <w14:schemeClr w14:val="tx1"/>
                        </w14:solidFill>
                      </w14:textFill>
                    </w:rPr>
                    <w:t>暂存于危废贮存点定期交由有资质的单位处理</w:t>
                  </w:r>
                </w:p>
              </w:tc>
            </w:tr>
          </w:tbl>
          <w:p w14:paraId="0B679903">
            <w:pPr>
              <w:pStyle w:val="169"/>
              <w:spacing w:before="120" w:beforeLines="50"/>
              <w:ind w:firstLine="482"/>
              <w:rPr>
                <w:color w:val="000000" w:themeColor="text1"/>
                <w14:textFill>
                  <w14:solidFill>
                    <w14:schemeClr w14:val="tx1"/>
                  </w14:solidFill>
                </w14:textFill>
              </w:rPr>
            </w:pPr>
            <w:r>
              <w:rPr>
                <w:b/>
                <w:bCs/>
                <w:color w:val="000000" w:themeColor="text1"/>
                <w14:textFill>
                  <w14:solidFill>
                    <w14:schemeClr w14:val="tx1"/>
                  </w14:solidFill>
                </w14:textFill>
              </w:rPr>
              <w:t>3、与项目有关主要环境问题及整改措施</w:t>
            </w:r>
          </w:p>
          <w:p w14:paraId="2065B845">
            <w:pPr>
              <w:pStyle w:val="169"/>
              <w:ind w:firstLine="480"/>
              <w:rPr>
                <w:color w:val="000000" w:themeColor="text1"/>
                <w14:textFill>
                  <w14:solidFill>
                    <w14:schemeClr w14:val="tx1"/>
                  </w14:solidFill>
                </w14:textFill>
              </w:rPr>
            </w:pPr>
            <w:r>
              <w:rPr>
                <w:color w:val="000000" w:themeColor="text1"/>
                <w14:textFill>
                  <w14:solidFill>
                    <w14:schemeClr w14:val="tx1"/>
                  </w14:solidFill>
                </w14:textFill>
              </w:rPr>
              <w:t>与项目有关的主要环境问题及整改措施详见下表。</w:t>
            </w:r>
          </w:p>
          <w:p w14:paraId="795B0109">
            <w:pPr>
              <w:pStyle w:val="170"/>
              <w:ind w:firstLine="482" w:firstLineChars="200"/>
              <w:jc w:val="both"/>
              <w:rPr>
                <w:color w:val="000000" w:themeColor="text1"/>
                <w14:textFill>
                  <w14:solidFill>
                    <w14:schemeClr w14:val="tx1"/>
                  </w14:solidFill>
                </w14:textFill>
              </w:rPr>
            </w:pPr>
            <w:r>
              <w:rPr>
                <w:color w:val="000000" w:themeColor="text1"/>
                <w14:textFill>
                  <w14:solidFill>
                    <w14:schemeClr w14:val="tx1"/>
                  </w14:solidFill>
                </w14:textFill>
              </w:rPr>
              <w:t>表2-12    与项目有关主要环境问题及整改措施一览表</w:t>
            </w:r>
          </w:p>
          <w:tbl>
            <w:tblPr>
              <w:tblStyle w:val="36"/>
              <w:tblW w:w="82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4548"/>
              <w:gridCol w:w="2996"/>
            </w:tblGrid>
            <w:tr w14:paraId="5B8A0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l2br w:val="nil"/>
                    <w:tr2bl w:val="nil"/>
                  </w:tcBorders>
                  <w:shd w:val="clear" w:color="auto" w:fill="auto"/>
                  <w:vAlign w:val="center"/>
                </w:tcPr>
                <w:p w14:paraId="3343AB89">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序号</w:t>
                  </w:r>
                </w:p>
              </w:tc>
              <w:tc>
                <w:tcPr>
                  <w:tcW w:w="4548" w:type="dxa"/>
                  <w:tcBorders>
                    <w:tl2br w:val="nil"/>
                    <w:tr2bl w:val="nil"/>
                  </w:tcBorders>
                  <w:shd w:val="clear" w:color="auto" w:fill="auto"/>
                  <w:vAlign w:val="center"/>
                </w:tcPr>
                <w:p w14:paraId="46186496">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主要问题</w:t>
                  </w:r>
                </w:p>
              </w:tc>
              <w:tc>
                <w:tcPr>
                  <w:tcW w:w="2996" w:type="dxa"/>
                  <w:tcBorders>
                    <w:tl2br w:val="nil"/>
                    <w:tr2bl w:val="nil"/>
                  </w:tcBorders>
                  <w:shd w:val="clear" w:color="auto" w:fill="auto"/>
                  <w:vAlign w:val="center"/>
                </w:tcPr>
                <w:p w14:paraId="30D7A2B6">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整改措施</w:t>
                  </w:r>
                </w:p>
              </w:tc>
            </w:tr>
            <w:tr w14:paraId="3D719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0" w:type="dxa"/>
                  <w:tcBorders>
                    <w:tl2br w:val="nil"/>
                    <w:tr2bl w:val="nil"/>
                  </w:tcBorders>
                  <w:shd w:val="clear" w:color="auto" w:fill="auto"/>
                  <w:vAlign w:val="center"/>
                </w:tcPr>
                <w:p w14:paraId="583872D0">
                  <w:pPr>
                    <w:pStyle w:val="171"/>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w:t>
                  </w:r>
                </w:p>
              </w:tc>
              <w:tc>
                <w:tcPr>
                  <w:tcW w:w="4548" w:type="dxa"/>
                  <w:tcBorders>
                    <w:tl2br w:val="nil"/>
                    <w:tr2bl w:val="nil"/>
                  </w:tcBorders>
                  <w:shd w:val="clear" w:color="auto" w:fill="auto"/>
                  <w:vAlign w:val="center"/>
                </w:tcPr>
                <w:p w14:paraId="08996E0E">
                  <w:pPr>
                    <w:pStyle w:val="171"/>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项目目前已进入工程验收阶段，尚未进行竣工环境保护验收。</w:t>
                  </w:r>
                </w:p>
              </w:tc>
              <w:tc>
                <w:tcPr>
                  <w:tcW w:w="2996" w:type="dxa"/>
                  <w:tcBorders>
                    <w:tl2br w:val="nil"/>
                    <w:tr2bl w:val="nil"/>
                  </w:tcBorders>
                  <w:shd w:val="clear" w:color="auto" w:fill="auto"/>
                  <w:vAlign w:val="center"/>
                </w:tcPr>
                <w:p w14:paraId="011FD66C">
                  <w:pPr>
                    <w:pStyle w:val="171"/>
                    <w:jc w:val="both"/>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及时进行竣工环境保护验收。</w:t>
                  </w:r>
                </w:p>
              </w:tc>
            </w:tr>
          </w:tbl>
          <w:p w14:paraId="41FEB7CB">
            <w:pPr>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  </w:t>
            </w:r>
          </w:p>
          <w:p w14:paraId="63DDCBF9">
            <w:pPr>
              <w:pStyle w:val="2"/>
              <w:ind w:left="480"/>
              <w:rPr>
                <w:color w:val="000000" w:themeColor="text1"/>
                <w14:textFill>
                  <w14:solidFill>
                    <w14:schemeClr w14:val="tx1"/>
                  </w14:solidFill>
                </w14:textFill>
              </w:rPr>
            </w:pPr>
          </w:p>
          <w:p w14:paraId="4EE6F882">
            <w:pPr>
              <w:rPr>
                <w:color w:val="000000" w:themeColor="text1"/>
                <w14:textFill>
                  <w14:solidFill>
                    <w14:schemeClr w14:val="tx1"/>
                  </w14:solidFill>
                </w14:textFill>
              </w:rPr>
            </w:pPr>
          </w:p>
          <w:p w14:paraId="0DD86008">
            <w:pPr>
              <w:pStyle w:val="2"/>
              <w:ind w:left="480"/>
              <w:rPr>
                <w:color w:val="000000" w:themeColor="text1"/>
                <w14:textFill>
                  <w14:solidFill>
                    <w14:schemeClr w14:val="tx1"/>
                  </w14:solidFill>
                </w14:textFill>
              </w:rPr>
            </w:pPr>
          </w:p>
          <w:p w14:paraId="40E8CD5A">
            <w:pPr>
              <w:rPr>
                <w:color w:val="000000" w:themeColor="text1"/>
                <w14:textFill>
                  <w14:solidFill>
                    <w14:schemeClr w14:val="tx1"/>
                  </w14:solidFill>
                </w14:textFill>
              </w:rPr>
            </w:pPr>
          </w:p>
          <w:p w14:paraId="3E1AC33F">
            <w:pPr>
              <w:pStyle w:val="2"/>
              <w:ind w:left="480"/>
              <w:rPr>
                <w:color w:val="000000" w:themeColor="text1"/>
                <w14:textFill>
                  <w14:solidFill>
                    <w14:schemeClr w14:val="tx1"/>
                  </w14:solidFill>
                </w14:textFill>
              </w:rPr>
            </w:pPr>
          </w:p>
          <w:p w14:paraId="23C121A7">
            <w:pPr>
              <w:rPr>
                <w:color w:val="000000" w:themeColor="text1"/>
                <w14:textFill>
                  <w14:solidFill>
                    <w14:schemeClr w14:val="tx1"/>
                  </w14:solidFill>
                </w14:textFill>
              </w:rPr>
            </w:pPr>
          </w:p>
          <w:p w14:paraId="4334CE5F">
            <w:pPr>
              <w:pStyle w:val="2"/>
              <w:ind w:left="480"/>
              <w:rPr>
                <w:color w:val="000000" w:themeColor="text1"/>
                <w14:textFill>
                  <w14:solidFill>
                    <w14:schemeClr w14:val="tx1"/>
                  </w14:solidFill>
                </w14:textFill>
              </w:rPr>
            </w:pPr>
          </w:p>
          <w:p w14:paraId="5BDDF005">
            <w:pPr>
              <w:rPr>
                <w:color w:val="000000" w:themeColor="text1"/>
                <w14:textFill>
                  <w14:solidFill>
                    <w14:schemeClr w14:val="tx1"/>
                  </w14:solidFill>
                </w14:textFill>
              </w:rPr>
            </w:pPr>
          </w:p>
          <w:p w14:paraId="6C4DE407">
            <w:pPr>
              <w:pStyle w:val="2"/>
              <w:ind w:left="480"/>
              <w:rPr>
                <w:color w:val="000000" w:themeColor="text1"/>
                <w14:textFill>
                  <w14:solidFill>
                    <w14:schemeClr w14:val="tx1"/>
                  </w14:solidFill>
                </w14:textFill>
              </w:rPr>
            </w:pPr>
          </w:p>
          <w:p w14:paraId="0331D62F">
            <w:pPr>
              <w:rPr>
                <w:color w:val="000000" w:themeColor="text1"/>
                <w14:textFill>
                  <w14:solidFill>
                    <w14:schemeClr w14:val="tx1"/>
                  </w14:solidFill>
                </w14:textFill>
              </w:rPr>
            </w:pPr>
          </w:p>
          <w:p w14:paraId="29F28372">
            <w:pPr>
              <w:pStyle w:val="2"/>
              <w:ind w:left="480"/>
              <w:rPr>
                <w:color w:val="000000" w:themeColor="text1"/>
                <w14:textFill>
                  <w14:solidFill>
                    <w14:schemeClr w14:val="tx1"/>
                  </w14:solidFill>
                </w14:textFill>
              </w:rPr>
            </w:pPr>
          </w:p>
          <w:p w14:paraId="57A972FF">
            <w:pPr>
              <w:rPr>
                <w:color w:val="000000" w:themeColor="text1"/>
                <w14:textFill>
                  <w14:solidFill>
                    <w14:schemeClr w14:val="tx1"/>
                  </w14:solidFill>
                </w14:textFill>
              </w:rPr>
            </w:pPr>
          </w:p>
          <w:p w14:paraId="1AAD9587">
            <w:pPr>
              <w:pStyle w:val="2"/>
              <w:ind w:left="480"/>
              <w:rPr>
                <w:color w:val="000000" w:themeColor="text1"/>
                <w14:textFill>
                  <w14:solidFill>
                    <w14:schemeClr w14:val="tx1"/>
                  </w14:solidFill>
                </w14:textFill>
              </w:rPr>
            </w:pPr>
          </w:p>
          <w:p w14:paraId="104E1D4F">
            <w:pPr>
              <w:rPr>
                <w:color w:val="000000" w:themeColor="text1"/>
                <w14:textFill>
                  <w14:solidFill>
                    <w14:schemeClr w14:val="tx1"/>
                  </w14:solidFill>
                </w14:textFill>
              </w:rPr>
            </w:pPr>
          </w:p>
          <w:p w14:paraId="3BAF1045">
            <w:pPr>
              <w:rPr>
                <w:color w:val="000000" w:themeColor="text1"/>
                <w14:textFill>
                  <w14:solidFill>
                    <w14:schemeClr w14:val="tx1"/>
                  </w14:solidFill>
                </w14:textFill>
              </w:rPr>
            </w:pPr>
          </w:p>
          <w:p w14:paraId="460FFB70">
            <w:pPr>
              <w:pStyle w:val="2"/>
              <w:ind w:left="480"/>
              <w:rPr>
                <w:color w:val="000000" w:themeColor="text1"/>
                <w14:textFill>
                  <w14:solidFill>
                    <w14:schemeClr w14:val="tx1"/>
                  </w14:solidFill>
                </w14:textFill>
              </w:rPr>
            </w:pPr>
          </w:p>
          <w:p w14:paraId="4708492D">
            <w:pPr>
              <w:rPr>
                <w:color w:val="000000" w:themeColor="text1"/>
                <w14:textFill>
                  <w14:solidFill>
                    <w14:schemeClr w14:val="tx1"/>
                  </w14:solidFill>
                </w14:textFill>
              </w:rPr>
            </w:pPr>
          </w:p>
          <w:p w14:paraId="23EC15EC">
            <w:pPr>
              <w:pStyle w:val="2"/>
              <w:ind w:left="480"/>
              <w:rPr>
                <w:color w:val="000000" w:themeColor="text1"/>
                <w14:textFill>
                  <w14:solidFill>
                    <w14:schemeClr w14:val="tx1"/>
                  </w14:solidFill>
                </w14:textFill>
              </w:rPr>
            </w:pPr>
          </w:p>
          <w:p w14:paraId="3311B8A8">
            <w:pPr>
              <w:rPr>
                <w:color w:val="000000" w:themeColor="text1"/>
                <w14:textFill>
                  <w14:solidFill>
                    <w14:schemeClr w14:val="tx1"/>
                  </w14:solidFill>
                </w14:textFill>
              </w:rPr>
            </w:pPr>
          </w:p>
          <w:p w14:paraId="49E5C82B">
            <w:pPr>
              <w:pStyle w:val="2"/>
              <w:ind w:left="480"/>
              <w:rPr>
                <w:color w:val="000000" w:themeColor="text1"/>
                <w14:textFill>
                  <w14:solidFill>
                    <w14:schemeClr w14:val="tx1"/>
                  </w14:solidFill>
                </w14:textFill>
              </w:rPr>
            </w:pPr>
          </w:p>
          <w:p w14:paraId="0F3CE9DF">
            <w:pPr>
              <w:rPr>
                <w:color w:val="000000" w:themeColor="text1"/>
                <w14:textFill>
                  <w14:solidFill>
                    <w14:schemeClr w14:val="tx1"/>
                  </w14:solidFill>
                </w14:textFill>
              </w:rPr>
            </w:pPr>
          </w:p>
          <w:p w14:paraId="2EE4D818">
            <w:pPr>
              <w:pStyle w:val="2"/>
              <w:ind w:left="480"/>
              <w:rPr>
                <w:color w:val="000000" w:themeColor="text1"/>
                <w14:textFill>
                  <w14:solidFill>
                    <w14:schemeClr w14:val="tx1"/>
                  </w14:solidFill>
                </w14:textFill>
              </w:rPr>
            </w:pPr>
          </w:p>
          <w:p w14:paraId="1C42E085">
            <w:pPr>
              <w:rPr>
                <w:color w:val="000000" w:themeColor="text1"/>
                <w14:textFill>
                  <w14:solidFill>
                    <w14:schemeClr w14:val="tx1"/>
                  </w14:solidFill>
                </w14:textFill>
              </w:rPr>
            </w:pPr>
          </w:p>
          <w:p w14:paraId="4CAC12F3">
            <w:pPr>
              <w:pStyle w:val="2"/>
              <w:ind w:left="480"/>
              <w:rPr>
                <w:color w:val="000000" w:themeColor="text1"/>
                <w14:textFill>
                  <w14:solidFill>
                    <w14:schemeClr w14:val="tx1"/>
                  </w14:solidFill>
                </w14:textFill>
              </w:rPr>
            </w:pPr>
          </w:p>
          <w:p w14:paraId="005FDCCE">
            <w:pPr>
              <w:rPr>
                <w:color w:val="000000" w:themeColor="text1"/>
                <w14:textFill>
                  <w14:solidFill>
                    <w14:schemeClr w14:val="tx1"/>
                  </w14:solidFill>
                </w14:textFill>
              </w:rPr>
            </w:pPr>
          </w:p>
          <w:p w14:paraId="65CCEBD0">
            <w:pPr>
              <w:pStyle w:val="2"/>
              <w:ind w:left="0" w:leftChars="0" w:firstLine="0"/>
              <w:rPr>
                <w:color w:val="000000" w:themeColor="text1"/>
                <w14:textFill>
                  <w14:solidFill>
                    <w14:schemeClr w14:val="tx1"/>
                  </w14:solidFill>
                </w14:textFill>
              </w:rPr>
            </w:pPr>
          </w:p>
        </w:tc>
      </w:tr>
    </w:tbl>
    <w:p w14:paraId="10A0050E">
      <w:pPr>
        <w:pStyle w:val="33"/>
        <w:jc w:val="center"/>
        <w:rPr>
          <w:rFonts w:ascii="Times New Roman" w:hAnsi="Times New Roman" w:eastAsia="黑体"/>
          <w:snapToGrid w:val="0"/>
          <w:color w:val="000000" w:themeColor="text1"/>
          <w:sz w:val="36"/>
          <w:szCs w:val="36"/>
          <w14:textFill>
            <w14:solidFill>
              <w14:schemeClr w14:val="tx1"/>
            </w14:solidFill>
          </w14:textFill>
        </w:rPr>
        <w:sectPr>
          <w:pgSz w:w="11906" w:h="16838"/>
          <w:pgMar w:top="1701" w:right="1531" w:bottom="1701" w:left="1531" w:header="851" w:footer="851" w:gutter="0"/>
          <w:cols w:space="720" w:num="1"/>
          <w:docGrid w:linePitch="312" w:charSpace="0"/>
        </w:sectPr>
      </w:pPr>
    </w:p>
    <w:p w14:paraId="65EEB730">
      <w:pPr>
        <w:pStyle w:val="33"/>
        <w:adjustRightInd w:val="0"/>
        <w:snapToGrid w:val="0"/>
        <w:spacing w:before="0" w:beforeAutospacing="0" w:after="0" w:afterAutospacing="0" w:line="14" w:lineRule="auto"/>
        <w:jc w:val="both"/>
        <w:rPr>
          <w:rFonts w:ascii="Times New Roman" w:hAnsi="Times New Roman" w:eastAsia="黑体"/>
          <w:snapToGrid w:val="0"/>
          <w:color w:val="000000" w:themeColor="text1"/>
          <w:sz w:val="30"/>
          <w:szCs w:val="30"/>
          <w14:textFill>
            <w14:solidFill>
              <w14:schemeClr w14:val="tx1"/>
            </w14:solidFill>
          </w14:textFill>
        </w:rPr>
      </w:pPr>
    </w:p>
    <w:p w14:paraId="11F68E42">
      <w:pPr>
        <w:pStyle w:val="33"/>
        <w:adjustRightInd w:val="0"/>
        <w:snapToGrid w:val="0"/>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p>
    <w:tbl>
      <w:tblPr>
        <w:tblStyle w:val="36"/>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78"/>
        <w:gridCol w:w="8778"/>
      </w:tblGrid>
      <w:tr w14:paraId="264A1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9" w:type="dxa"/>
            <w:vAlign w:val="center"/>
          </w:tcPr>
          <w:p w14:paraId="3ABC45A8">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环境</w:t>
            </w:r>
          </w:p>
          <w:p w14:paraId="63C9030A">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质量</w:t>
            </w:r>
          </w:p>
          <w:p w14:paraId="31867BA3">
            <w:pPr>
              <w:adjustRightInd w:val="0"/>
              <w:snapToGrid w:val="0"/>
              <w:ind w:left="-120" w:leftChars="-50" w:right="-120" w:rightChars="-50"/>
              <w:jc w:val="center"/>
              <w:rPr>
                <w:rFonts w:eastAsia="宋体"/>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现状</w:t>
            </w:r>
          </w:p>
        </w:tc>
        <w:tc>
          <w:tcPr>
            <w:tcW w:w="8632" w:type="dxa"/>
            <w:vAlign w:val="center"/>
          </w:tcPr>
          <w:p w14:paraId="0F41F05D">
            <w:pPr>
              <w:pStyle w:val="4"/>
              <w:adjustRightInd w:val="0"/>
              <w:snapToGrid w:val="0"/>
              <w:ind w:firstLine="482"/>
              <w:rPr>
                <w:color w:val="000000" w:themeColor="text1"/>
                <w14:textFill>
                  <w14:solidFill>
                    <w14:schemeClr w14:val="tx1"/>
                  </w14:solidFill>
                </w14:textFill>
              </w:rPr>
            </w:pPr>
            <w:r>
              <w:rPr>
                <w:color w:val="000000" w:themeColor="text1"/>
                <w14:textFill>
                  <w14:solidFill>
                    <w14:schemeClr w14:val="tx1"/>
                  </w14:solidFill>
                </w14:textFill>
              </w:rPr>
              <w:t>1、环境空气质量现状</w:t>
            </w:r>
          </w:p>
          <w:p w14:paraId="6FAED295">
            <w:pPr>
              <w:autoSpaceDE w:val="0"/>
              <w:autoSpaceDN w:val="0"/>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（1）基本污染物</w:t>
            </w:r>
          </w:p>
          <w:p w14:paraId="20D1A42E">
            <w:pPr>
              <w:autoSpaceDE w:val="0"/>
              <w:autoSpaceDN w:val="0"/>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本项目位于固原市彭阳县王洼镇北洼村内，所在行政区划属于固原市彭阳县，因此本次评价采用固原市彭阳县环境空气质量数据进行分析，根据《固原市生态环境质量报告书》（2025.06）中彭阳县的监测数据来判定彭阳县是否为达标区域，具体监测结果见下表3-1。</w:t>
            </w:r>
          </w:p>
          <w:p w14:paraId="25942A8A">
            <w:pPr>
              <w:adjustRightInd w:val="0"/>
              <w:snapToGrid w:val="0"/>
              <w:ind w:firstLine="482" w:firstLineChars="200"/>
              <w:rPr>
                <w:rFonts w:eastAsia="宋体"/>
                <w:b/>
                <w:bCs/>
                <w:color w:val="000000" w:themeColor="text1"/>
                <w:kern w:val="0"/>
                <w:vertAlign w:val="superscript"/>
                <w14:textFill>
                  <w14:solidFill>
                    <w14:schemeClr w14:val="tx1"/>
                  </w14:solidFill>
                </w14:textFill>
              </w:rPr>
            </w:pPr>
            <w:r>
              <w:rPr>
                <w:rFonts w:eastAsia="宋体"/>
                <w:b/>
                <w:bCs/>
                <w:color w:val="000000" w:themeColor="text1"/>
                <w:kern w:val="0"/>
                <w14:textFill>
                  <w14:solidFill>
                    <w14:schemeClr w14:val="tx1"/>
                  </w14:solidFill>
                </w14:textFill>
              </w:rPr>
              <w:t>表3-1</w:t>
            </w:r>
            <w:r>
              <w:rPr>
                <w:rFonts w:eastAsia="宋体"/>
                <w:b/>
                <w:color w:val="000000" w:themeColor="text1"/>
                <w:kern w:val="0"/>
                <w14:textFill>
                  <w14:solidFill>
                    <w14:schemeClr w14:val="tx1"/>
                  </w14:solidFill>
                </w14:textFill>
              </w:rPr>
              <w:t xml:space="preserve">            项目所在区域空气质量现状评价表</w:t>
            </w:r>
          </w:p>
          <w:tbl>
            <w:tblPr>
              <w:tblStyle w:val="36"/>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3121"/>
              <w:gridCol w:w="1151"/>
              <w:gridCol w:w="1040"/>
              <w:gridCol w:w="1000"/>
              <w:gridCol w:w="1144"/>
            </w:tblGrid>
            <w:tr w14:paraId="7D61C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4030C1F4">
                  <w:pPr>
                    <w:pStyle w:val="153"/>
                    <w:snapToGrid w:val="0"/>
                    <w:jc w:val="center"/>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污染物</w:t>
                  </w:r>
                </w:p>
              </w:tc>
              <w:tc>
                <w:tcPr>
                  <w:tcW w:w="3079" w:type="dxa"/>
                  <w:tcBorders>
                    <w:tl2br w:val="nil"/>
                    <w:tr2bl w:val="nil"/>
                  </w:tcBorders>
                  <w:vAlign w:val="center"/>
                </w:tcPr>
                <w:p w14:paraId="298D94F8">
                  <w:pPr>
                    <w:pStyle w:val="153"/>
                    <w:snapToGrid w:val="0"/>
                    <w:jc w:val="center"/>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年评价指标</w:t>
                  </w:r>
                </w:p>
              </w:tc>
              <w:tc>
                <w:tcPr>
                  <w:tcW w:w="1135" w:type="dxa"/>
                  <w:tcBorders>
                    <w:tl2br w:val="nil"/>
                    <w:tr2bl w:val="nil"/>
                  </w:tcBorders>
                  <w:vAlign w:val="center"/>
                </w:tcPr>
                <w:p w14:paraId="3798B414">
                  <w:pPr>
                    <w:pStyle w:val="153"/>
                    <w:snapToGrid w:val="0"/>
                    <w:jc w:val="center"/>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现状浓度ug/m</w:t>
                  </w:r>
                  <w:r>
                    <w:rPr>
                      <w:rFonts w:ascii="Times New Roman" w:eastAsia="宋体"/>
                      <w:b/>
                      <w:bCs/>
                      <w:color w:val="000000" w:themeColor="text1"/>
                      <w:sz w:val="21"/>
                      <w:szCs w:val="21"/>
                      <w:vertAlign w:val="superscript"/>
                      <w14:textFill>
                        <w14:solidFill>
                          <w14:schemeClr w14:val="tx1"/>
                        </w14:solidFill>
                      </w14:textFill>
                    </w:rPr>
                    <w:t>3</w:t>
                  </w:r>
                </w:p>
              </w:tc>
              <w:tc>
                <w:tcPr>
                  <w:tcW w:w="1026" w:type="dxa"/>
                  <w:tcBorders>
                    <w:tl2br w:val="nil"/>
                    <w:tr2bl w:val="nil"/>
                  </w:tcBorders>
                  <w:vAlign w:val="center"/>
                </w:tcPr>
                <w:p w14:paraId="78412FC4">
                  <w:pPr>
                    <w:pStyle w:val="153"/>
                    <w:snapToGrid w:val="0"/>
                    <w:jc w:val="center"/>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标准值ug/m</w:t>
                  </w:r>
                  <w:r>
                    <w:rPr>
                      <w:rFonts w:ascii="Times New Roman" w:eastAsia="宋体"/>
                      <w:b/>
                      <w:bCs/>
                      <w:color w:val="000000" w:themeColor="text1"/>
                      <w:sz w:val="21"/>
                      <w:szCs w:val="21"/>
                      <w:vertAlign w:val="superscript"/>
                      <w14:textFill>
                        <w14:solidFill>
                          <w14:schemeClr w14:val="tx1"/>
                        </w14:solidFill>
                      </w14:textFill>
                    </w:rPr>
                    <w:t>3</w:t>
                  </w:r>
                </w:p>
              </w:tc>
              <w:tc>
                <w:tcPr>
                  <w:tcW w:w="986" w:type="dxa"/>
                  <w:tcBorders>
                    <w:tl2br w:val="nil"/>
                    <w:tr2bl w:val="nil"/>
                  </w:tcBorders>
                  <w:vAlign w:val="center"/>
                </w:tcPr>
                <w:p w14:paraId="77D25D7F">
                  <w:pPr>
                    <w:pStyle w:val="153"/>
                    <w:snapToGrid w:val="0"/>
                    <w:jc w:val="center"/>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占标率%</w:t>
                  </w:r>
                </w:p>
              </w:tc>
              <w:tc>
                <w:tcPr>
                  <w:tcW w:w="1128" w:type="dxa"/>
                  <w:tcBorders>
                    <w:tl2br w:val="nil"/>
                    <w:tr2bl w:val="nil"/>
                  </w:tcBorders>
                  <w:vAlign w:val="center"/>
                </w:tcPr>
                <w:p w14:paraId="5C59D589">
                  <w:pPr>
                    <w:pStyle w:val="153"/>
                    <w:snapToGrid w:val="0"/>
                    <w:jc w:val="center"/>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达标情况</w:t>
                  </w:r>
                </w:p>
              </w:tc>
            </w:tr>
            <w:tr w14:paraId="4B964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2A3A2EEF">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PM</w:t>
                  </w:r>
                  <w:r>
                    <w:rPr>
                      <w:rFonts w:ascii="Times New Roman" w:eastAsia="宋体"/>
                      <w:color w:val="000000" w:themeColor="text1"/>
                      <w:sz w:val="21"/>
                      <w:szCs w:val="21"/>
                      <w:vertAlign w:val="subscript"/>
                      <w14:textFill>
                        <w14:solidFill>
                          <w14:schemeClr w14:val="tx1"/>
                        </w14:solidFill>
                      </w14:textFill>
                    </w:rPr>
                    <w:t>10</w:t>
                  </w:r>
                </w:p>
              </w:tc>
              <w:tc>
                <w:tcPr>
                  <w:tcW w:w="3079" w:type="dxa"/>
                  <w:tcBorders>
                    <w:tl2br w:val="nil"/>
                    <w:tr2bl w:val="nil"/>
                  </w:tcBorders>
                  <w:vAlign w:val="center"/>
                </w:tcPr>
                <w:p w14:paraId="15273FB3">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年平均浓度</w:t>
                  </w:r>
                </w:p>
              </w:tc>
              <w:tc>
                <w:tcPr>
                  <w:tcW w:w="1135" w:type="dxa"/>
                  <w:tcBorders>
                    <w:tl2br w:val="nil"/>
                    <w:tr2bl w:val="nil"/>
                  </w:tcBorders>
                  <w:vAlign w:val="center"/>
                </w:tcPr>
                <w:p w14:paraId="1DC36456">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42</w:t>
                  </w:r>
                </w:p>
              </w:tc>
              <w:tc>
                <w:tcPr>
                  <w:tcW w:w="1026" w:type="dxa"/>
                  <w:tcBorders>
                    <w:tl2br w:val="nil"/>
                    <w:tr2bl w:val="nil"/>
                  </w:tcBorders>
                  <w:vAlign w:val="center"/>
                </w:tcPr>
                <w:p w14:paraId="6BECF475">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60</w:t>
                  </w:r>
                </w:p>
              </w:tc>
              <w:tc>
                <w:tcPr>
                  <w:tcW w:w="986" w:type="dxa"/>
                  <w:tcBorders>
                    <w:tl2br w:val="nil"/>
                    <w:tr2bl w:val="nil"/>
                  </w:tcBorders>
                  <w:vAlign w:val="center"/>
                </w:tcPr>
                <w:p w14:paraId="7C6B15B3">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70</w:t>
                  </w:r>
                </w:p>
              </w:tc>
              <w:tc>
                <w:tcPr>
                  <w:tcW w:w="1128" w:type="dxa"/>
                  <w:tcBorders>
                    <w:tl2br w:val="nil"/>
                    <w:tr2bl w:val="nil"/>
                  </w:tcBorders>
                  <w:vAlign w:val="center"/>
                </w:tcPr>
                <w:p w14:paraId="332C7521">
                  <w:pPr>
                    <w:widowControl/>
                    <w:autoSpaceDE w:val="0"/>
                    <w:autoSpaceDN w:val="0"/>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达标</w:t>
                  </w:r>
                </w:p>
              </w:tc>
            </w:tr>
            <w:tr w14:paraId="1BFF1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5FE034C1">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PM</w:t>
                  </w:r>
                  <w:r>
                    <w:rPr>
                      <w:rFonts w:ascii="Times New Roman" w:eastAsia="宋体"/>
                      <w:color w:val="000000" w:themeColor="text1"/>
                      <w:sz w:val="21"/>
                      <w:szCs w:val="21"/>
                      <w:vertAlign w:val="subscript"/>
                      <w14:textFill>
                        <w14:solidFill>
                          <w14:schemeClr w14:val="tx1"/>
                        </w14:solidFill>
                      </w14:textFill>
                    </w:rPr>
                    <w:t>2.5</w:t>
                  </w:r>
                </w:p>
              </w:tc>
              <w:tc>
                <w:tcPr>
                  <w:tcW w:w="3079" w:type="dxa"/>
                  <w:tcBorders>
                    <w:tl2br w:val="nil"/>
                    <w:tr2bl w:val="nil"/>
                  </w:tcBorders>
                  <w:vAlign w:val="center"/>
                </w:tcPr>
                <w:p w14:paraId="3754C514">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年平均浓度</w:t>
                  </w:r>
                </w:p>
              </w:tc>
              <w:tc>
                <w:tcPr>
                  <w:tcW w:w="1135" w:type="dxa"/>
                  <w:tcBorders>
                    <w:tl2br w:val="nil"/>
                    <w:tr2bl w:val="nil"/>
                  </w:tcBorders>
                  <w:vAlign w:val="center"/>
                </w:tcPr>
                <w:p w14:paraId="4A19587F">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24</w:t>
                  </w:r>
                </w:p>
              </w:tc>
              <w:tc>
                <w:tcPr>
                  <w:tcW w:w="1026" w:type="dxa"/>
                  <w:tcBorders>
                    <w:tl2br w:val="nil"/>
                    <w:tr2bl w:val="nil"/>
                  </w:tcBorders>
                  <w:vAlign w:val="center"/>
                </w:tcPr>
                <w:p w14:paraId="4964DDDF">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30</w:t>
                  </w:r>
                </w:p>
              </w:tc>
              <w:tc>
                <w:tcPr>
                  <w:tcW w:w="986" w:type="dxa"/>
                  <w:tcBorders>
                    <w:tl2br w:val="nil"/>
                    <w:tr2bl w:val="nil"/>
                  </w:tcBorders>
                  <w:vAlign w:val="center"/>
                </w:tcPr>
                <w:p w14:paraId="3DA096C5">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80</w:t>
                  </w:r>
                </w:p>
              </w:tc>
              <w:tc>
                <w:tcPr>
                  <w:tcW w:w="1128" w:type="dxa"/>
                  <w:tcBorders>
                    <w:tl2br w:val="nil"/>
                    <w:tr2bl w:val="nil"/>
                  </w:tcBorders>
                  <w:vAlign w:val="center"/>
                </w:tcPr>
                <w:p w14:paraId="54C4C67A">
                  <w:pPr>
                    <w:widowControl/>
                    <w:autoSpaceDE w:val="0"/>
                    <w:autoSpaceDN w:val="0"/>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达标</w:t>
                  </w:r>
                </w:p>
              </w:tc>
            </w:tr>
            <w:tr w14:paraId="4AC7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244998FD">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SO</w:t>
                  </w:r>
                  <w:r>
                    <w:rPr>
                      <w:rFonts w:ascii="Times New Roman" w:eastAsia="宋体"/>
                      <w:color w:val="000000" w:themeColor="text1"/>
                      <w:sz w:val="21"/>
                      <w:szCs w:val="21"/>
                      <w:vertAlign w:val="subscript"/>
                      <w14:textFill>
                        <w14:solidFill>
                          <w14:schemeClr w14:val="tx1"/>
                        </w14:solidFill>
                      </w14:textFill>
                    </w:rPr>
                    <w:t>2</w:t>
                  </w:r>
                </w:p>
              </w:tc>
              <w:tc>
                <w:tcPr>
                  <w:tcW w:w="3079" w:type="dxa"/>
                  <w:tcBorders>
                    <w:tl2br w:val="nil"/>
                    <w:tr2bl w:val="nil"/>
                  </w:tcBorders>
                  <w:vAlign w:val="center"/>
                </w:tcPr>
                <w:p w14:paraId="367EF096">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年平均浓度</w:t>
                  </w:r>
                </w:p>
              </w:tc>
              <w:tc>
                <w:tcPr>
                  <w:tcW w:w="1135" w:type="dxa"/>
                  <w:tcBorders>
                    <w:tl2br w:val="nil"/>
                    <w:tr2bl w:val="nil"/>
                  </w:tcBorders>
                  <w:vAlign w:val="center"/>
                </w:tcPr>
                <w:p w14:paraId="3EE079B1">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4</w:t>
                  </w:r>
                </w:p>
              </w:tc>
              <w:tc>
                <w:tcPr>
                  <w:tcW w:w="1026" w:type="dxa"/>
                  <w:tcBorders>
                    <w:tl2br w:val="nil"/>
                    <w:tr2bl w:val="nil"/>
                  </w:tcBorders>
                  <w:vAlign w:val="center"/>
                </w:tcPr>
                <w:p w14:paraId="44A954EA">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60</w:t>
                  </w:r>
                </w:p>
              </w:tc>
              <w:tc>
                <w:tcPr>
                  <w:tcW w:w="986" w:type="dxa"/>
                  <w:tcBorders>
                    <w:tl2br w:val="nil"/>
                    <w:tr2bl w:val="nil"/>
                  </w:tcBorders>
                  <w:vAlign w:val="center"/>
                </w:tcPr>
                <w:p w14:paraId="2F2B7824">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 xml:space="preserve">6.67 </w:t>
                  </w:r>
                </w:p>
              </w:tc>
              <w:tc>
                <w:tcPr>
                  <w:tcW w:w="1128" w:type="dxa"/>
                  <w:tcBorders>
                    <w:tl2br w:val="nil"/>
                    <w:tr2bl w:val="nil"/>
                  </w:tcBorders>
                  <w:vAlign w:val="center"/>
                </w:tcPr>
                <w:p w14:paraId="31ACBC78">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达标</w:t>
                  </w:r>
                </w:p>
              </w:tc>
            </w:tr>
            <w:tr w14:paraId="0A8D6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5271C6FB">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NO</w:t>
                  </w:r>
                  <w:r>
                    <w:rPr>
                      <w:rFonts w:ascii="Times New Roman" w:eastAsia="宋体"/>
                      <w:color w:val="000000" w:themeColor="text1"/>
                      <w:sz w:val="21"/>
                      <w:szCs w:val="21"/>
                      <w:vertAlign w:val="subscript"/>
                      <w14:textFill>
                        <w14:solidFill>
                          <w14:schemeClr w14:val="tx1"/>
                        </w14:solidFill>
                      </w14:textFill>
                    </w:rPr>
                    <w:t>2</w:t>
                  </w:r>
                </w:p>
              </w:tc>
              <w:tc>
                <w:tcPr>
                  <w:tcW w:w="3079" w:type="dxa"/>
                  <w:tcBorders>
                    <w:tl2br w:val="nil"/>
                    <w:tr2bl w:val="nil"/>
                  </w:tcBorders>
                  <w:vAlign w:val="center"/>
                </w:tcPr>
                <w:p w14:paraId="71EB6E9C">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年平均浓度</w:t>
                  </w:r>
                </w:p>
              </w:tc>
              <w:tc>
                <w:tcPr>
                  <w:tcW w:w="1135" w:type="dxa"/>
                  <w:tcBorders>
                    <w:tl2br w:val="nil"/>
                    <w:tr2bl w:val="nil"/>
                  </w:tcBorders>
                  <w:vAlign w:val="center"/>
                </w:tcPr>
                <w:p w14:paraId="6FFF584C">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10</w:t>
                  </w:r>
                </w:p>
              </w:tc>
              <w:tc>
                <w:tcPr>
                  <w:tcW w:w="1026" w:type="dxa"/>
                  <w:tcBorders>
                    <w:tl2br w:val="nil"/>
                    <w:tr2bl w:val="nil"/>
                  </w:tcBorders>
                  <w:vAlign w:val="center"/>
                </w:tcPr>
                <w:p w14:paraId="31EB3EBE">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40</w:t>
                  </w:r>
                </w:p>
              </w:tc>
              <w:tc>
                <w:tcPr>
                  <w:tcW w:w="986" w:type="dxa"/>
                  <w:tcBorders>
                    <w:tl2br w:val="nil"/>
                    <w:tr2bl w:val="nil"/>
                  </w:tcBorders>
                  <w:vAlign w:val="center"/>
                </w:tcPr>
                <w:p w14:paraId="28D2BE7D">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25</w:t>
                  </w:r>
                </w:p>
              </w:tc>
              <w:tc>
                <w:tcPr>
                  <w:tcW w:w="1128" w:type="dxa"/>
                  <w:tcBorders>
                    <w:tl2br w:val="nil"/>
                    <w:tr2bl w:val="nil"/>
                  </w:tcBorders>
                  <w:vAlign w:val="center"/>
                </w:tcPr>
                <w:p w14:paraId="37E2957B">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达标</w:t>
                  </w:r>
                </w:p>
              </w:tc>
            </w:tr>
            <w:tr w14:paraId="240EF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6CF0D88A">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CO</w:t>
                  </w:r>
                </w:p>
              </w:tc>
              <w:tc>
                <w:tcPr>
                  <w:tcW w:w="3079" w:type="dxa"/>
                  <w:tcBorders>
                    <w:tl2br w:val="nil"/>
                    <w:tr2bl w:val="nil"/>
                  </w:tcBorders>
                  <w:vAlign w:val="center"/>
                </w:tcPr>
                <w:p w14:paraId="6EB0243C">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24小时平均第95百分位数</w:t>
                  </w:r>
                </w:p>
              </w:tc>
              <w:tc>
                <w:tcPr>
                  <w:tcW w:w="1135" w:type="dxa"/>
                  <w:tcBorders>
                    <w:tl2br w:val="nil"/>
                    <w:tr2bl w:val="nil"/>
                  </w:tcBorders>
                  <w:vAlign w:val="center"/>
                </w:tcPr>
                <w:p w14:paraId="766B069B">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0.9mg/m</w:t>
                  </w:r>
                  <w:r>
                    <w:rPr>
                      <w:rFonts w:ascii="Times New Roman" w:eastAsia="宋体"/>
                      <w:color w:val="000000" w:themeColor="text1"/>
                      <w:sz w:val="21"/>
                      <w:szCs w:val="21"/>
                      <w:vertAlign w:val="superscript"/>
                      <w14:textFill>
                        <w14:solidFill>
                          <w14:schemeClr w14:val="tx1"/>
                        </w14:solidFill>
                      </w14:textFill>
                    </w:rPr>
                    <w:t>3</w:t>
                  </w:r>
                </w:p>
              </w:tc>
              <w:tc>
                <w:tcPr>
                  <w:tcW w:w="1026" w:type="dxa"/>
                  <w:tcBorders>
                    <w:tl2br w:val="nil"/>
                    <w:tr2bl w:val="nil"/>
                  </w:tcBorders>
                  <w:vAlign w:val="center"/>
                </w:tcPr>
                <w:p w14:paraId="02E96F69">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4mg/m</w:t>
                  </w:r>
                  <w:r>
                    <w:rPr>
                      <w:rFonts w:ascii="Times New Roman" w:eastAsia="宋体"/>
                      <w:color w:val="000000" w:themeColor="text1"/>
                      <w:sz w:val="21"/>
                      <w:szCs w:val="21"/>
                      <w:vertAlign w:val="superscript"/>
                      <w14:textFill>
                        <w14:solidFill>
                          <w14:schemeClr w14:val="tx1"/>
                        </w14:solidFill>
                      </w14:textFill>
                    </w:rPr>
                    <w:t>3</w:t>
                  </w:r>
                </w:p>
              </w:tc>
              <w:tc>
                <w:tcPr>
                  <w:tcW w:w="986" w:type="dxa"/>
                  <w:tcBorders>
                    <w:tl2br w:val="nil"/>
                    <w:tr2bl w:val="nil"/>
                  </w:tcBorders>
                  <w:vAlign w:val="center"/>
                </w:tcPr>
                <w:p w14:paraId="5063AF70">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22.5</w:t>
                  </w:r>
                </w:p>
              </w:tc>
              <w:tc>
                <w:tcPr>
                  <w:tcW w:w="1128" w:type="dxa"/>
                  <w:tcBorders>
                    <w:tl2br w:val="nil"/>
                    <w:tr2bl w:val="nil"/>
                  </w:tcBorders>
                  <w:vAlign w:val="center"/>
                </w:tcPr>
                <w:p w14:paraId="1B4E408C">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达标</w:t>
                  </w:r>
                </w:p>
              </w:tc>
            </w:tr>
            <w:tr w14:paraId="1AB95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tcBorders>
                    <w:tl2br w:val="nil"/>
                    <w:tr2bl w:val="nil"/>
                  </w:tcBorders>
                  <w:vAlign w:val="center"/>
                </w:tcPr>
                <w:p w14:paraId="6C5B8518">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O</w:t>
                  </w:r>
                  <w:r>
                    <w:rPr>
                      <w:rFonts w:ascii="Times New Roman" w:eastAsia="宋体"/>
                      <w:color w:val="000000" w:themeColor="text1"/>
                      <w:sz w:val="21"/>
                      <w:szCs w:val="21"/>
                      <w:vertAlign w:val="subscript"/>
                      <w14:textFill>
                        <w14:solidFill>
                          <w14:schemeClr w14:val="tx1"/>
                        </w14:solidFill>
                      </w14:textFill>
                    </w:rPr>
                    <w:t>3</w:t>
                  </w:r>
                </w:p>
              </w:tc>
              <w:tc>
                <w:tcPr>
                  <w:tcW w:w="3079" w:type="dxa"/>
                  <w:tcBorders>
                    <w:tl2br w:val="nil"/>
                    <w:tr2bl w:val="nil"/>
                  </w:tcBorders>
                  <w:vAlign w:val="center"/>
                </w:tcPr>
                <w:p w14:paraId="0E0DC97B">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日最大8小时滑动平均值的第90百分位数</w:t>
                  </w:r>
                </w:p>
              </w:tc>
              <w:tc>
                <w:tcPr>
                  <w:tcW w:w="1135" w:type="dxa"/>
                  <w:tcBorders>
                    <w:tl2br w:val="nil"/>
                    <w:tr2bl w:val="nil"/>
                  </w:tcBorders>
                  <w:vAlign w:val="center"/>
                </w:tcPr>
                <w:p w14:paraId="41F72C8E">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134</w:t>
                  </w:r>
                </w:p>
              </w:tc>
              <w:tc>
                <w:tcPr>
                  <w:tcW w:w="1026" w:type="dxa"/>
                  <w:tcBorders>
                    <w:tl2br w:val="nil"/>
                    <w:tr2bl w:val="nil"/>
                  </w:tcBorders>
                  <w:vAlign w:val="center"/>
                </w:tcPr>
                <w:p w14:paraId="42751841">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160</w:t>
                  </w:r>
                </w:p>
              </w:tc>
              <w:tc>
                <w:tcPr>
                  <w:tcW w:w="986" w:type="dxa"/>
                  <w:tcBorders>
                    <w:tl2br w:val="nil"/>
                    <w:tr2bl w:val="nil"/>
                  </w:tcBorders>
                  <w:vAlign w:val="center"/>
                </w:tcPr>
                <w:p w14:paraId="21305932">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83.75</w:t>
                  </w:r>
                </w:p>
              </w:tc>
              <w:tc>
                <w:tcPr>
                  <w:tcW w:w="1128" w:type="dxa"/>
                  <w:tcBorders>
                    <w:tl2br w:val="nil"/>
                    <w:tr2bl w:val="nil"/>
                  </w:tcBorders>
                  <w:vAlign w:val="center"/>
                </w:tcPr>
                <w:p w14:paraId="56DA9600">
                  <w:pPr>
                    <w:pStyle w:val="153"/>
                    <w:snapToGrid w:val="0"/>
                    <w:jc w:val="center"/>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达标</w:t>
                  </w:r>
                </w:p>
              </w:tc>
            </w:tr>
          </w:tbl>
          <w:p w14:paraId="538E2339">
            <w:pPr>
              <w:autoSpaceDE w:val="0"/>
              <w:autoSpaceDN w:val="0"/>
              <w:adjustRightInd w:val="0"/>
              <w:snapToGrid w:val="0"/>
              <w:spacing w:line="360" w:lineRule="auto"/>
              <w:ind w:firstLine="480" w:firstLineChars="200"/>
              <w:rPr>
                <w:rFonts w:eastAsia="宋体"/>
                <w:color w:val="000000" w:themeColor="text1"/>
                <w:kern w:val="0"/>
                <w14:textFill>
                  <w14:solidFill>
                    <w14:schemeClr w14:val="tx1"/>
                  </w14:solidFill>
                </w14:textFill>
              </w:rPr>
            </w:pPr>
            <w:r>
              <w:rPr>
                <w:rFonts w:eastAsia="宋体"/>
                <w:color w:val="000000" w:themeColor="text1"/>
                <w:kern w:val="0"/>
                <w14:textFill>
                  <w14:solidFill>
                    <w14:schemeClr w14:val="tx1"/>
                  </w14:solidFill>
                </w14:textFill>
              </w:rPr>
              <w:t>根据上表可知，彭阳县2024年度PM</w:t>
            </w:r>
            <w:r>
              <w:rPr>
                <w:rFonts w:eastAsia="宋体"/>
                <w:color w:val="000000" w:themeColor="text1"/>
                <w:kern w:val="0"/>
                <w:vertAlign w:val="subscript"/>
                <w14:textFill>
                  <w14:solidFill>
                    <w14:schemeClr w14:val="tx1"/>
                  </w14:solidFill>
                </w14:textFill>
              </w:rPr>
              <w:t>10</w:t>
            </w:r>
            <w:r>
              <w:rPr>
                <w:rFonts w:eastAsia="宋体"/>
                <w:color w:val="000000" w:themeColor="text1"/>
                <w:kern w:val="0"/>
                <w14:textFill>
                  <w14:solidFill>
                    <w14:schemeClr w14:val="tx1"/>
                  </w14:solidFill>
                </w14:textFill>
              </w:rPr>
              <w:t>、PM</w:t>
            </w:r>
            <w:r>
              <w:rPr>
                <w:rFonts w:eastAsia="宋体"/>
                <w:color w:val="000000" w:themeColor="text1"/>
                <w:kern w:val="0"/>
                <w:vertAlign w:val="subscript"/>
                <w14:textFill>
                  <w14:solidFill>
                    <w14:schemeClr w14:val="tx1"/>
                  </w14:solidFill>
                </w14:textFill>
              </w:rPr>
              <w:t>2.5</w:t>
            </w:r>
            <w:r>
              <w:rPr>
                <w:rFonts w:eastAsia="宋体"/>
                <w:color w:val="000000" w:themeColor="text1"/>
                <w:kern w:val="0"/>
                <w14:textFill>
                  <w14:solidFill>
                    <w14:schemeClr w14:val="tx1"/>
                  </w14:solidFill>
                </w14:textFill>
              </w:rPr>
              <w:t>、SO</w:t>
            </w:r>
            <w:r>
              <w:rPr>
                <w:rFonts w:eastAsia="宋体"/>
                <w:color w:val="000000" w:themeColor="text1"/>
                <w:kern w:val="0"/>
                <w:vertAlign w:val="subscript"/>
                <w14:textFill>
                  <w14:solidFill>
                    <w14:schemeClr w14:val="tx1"/>
                  </w14:solidFill>
                </w14:textFill>
              </w:rPr>
              <w:t>2</w:t>
            </w:r>
            <w:r>
              <w:rPr>
                <w:rFonts w:eastAsia="宋体"/>
                <w:color w:val="000000" w:themeColor="text1"/>
                <w:kern w:val="0"/>
                <w14:textFill>
                  <w14:solidFill>
                    <w14:schemeClr w14:val="tx1"/>
                  </w14:solidFill>
                </w14:textFill>
              </w:rPr>
              <w:t>、NO</w:t>
            </w:r>
            <w:r>
              <w:rPr>
                <w:rFonts w:eastAsia="宋体"/>
                <w:color w:val="000000" w:themeColor="text1"/>
                <w:kern w:val="0"/>
                <w:vertAlign w:val="subscript"/>
                <w14:textFill>
                  <w14:solidFill>
                    <w14:schemeClr w14:val="tx1"/>
                  </w14:solidFill>
                </w14:textFill>
              </w:rPr>
              <w:t>2</w:t>
            </w:r>
            <w:r>
              <w:rPr>
                <w:rFonts w:eastAsia="宋体"/>
                <w:color w:val="000000" w:themeColor="text1"/>
                <w:kern w:val="0"/>
                <w14:textFill>
                  <w14:solidFill>
                    <w14:schemeClr w14:val="tx1"/>
                  </w14:solidFill>
                </w14:textFill>
              </w:rPr>
              <w:t>年均浓度及CO 24h平均第95百分位数、O</w:t>
            </w:r>
            <w:r>
              <w:rPr>
                <w:rFonts w:eastAsia="宋体"/>
                <w:color w:val="000000" w:themeColor="text1"/>
                <w:kern w:val="0"/>
                <w:vertAlign w:val="subscript"/>
                <w14:textFill>
                  <w14:solidFill>
                    <w14:schemeClr w14:val="tx1"/>
                  </w14:solidFill>
                </w14:textFill>
              </w:rPr>
              <w:t>3</w:t>
            </w:r>
            <w:r>
              <w:rPr>
                <w:rFonts w:eastAsia="宋体"/>
                <w:color w:val="000000" w:themeColor="text1"/>
                <w:kern w:val="0"/>
                <w14:textFill>
                  <w14:solidFill>
                    <w14:schemeClr w14:val="tx1"/>
                  </w14:solidFill>
                </w14:textFill>
              </w:rPr>
              <w:t>日最大8h滑动平均值的第90百分位数均满足《环境空气质量标准》（GB3095-2026）过度阶段浓度限值二级标准要求，根据《环境影响评价技术导则大气环境》（HJ2.2-2018）6.4.1.1的要求，六项污染物全部达标即为城市环境空气质量达标，因此，项目所在地属于达标区。</w:t>
            </w:r>
          </w:p>
          <w:p w14:paraId="0EEA3660">
            <w:pPr>
              <w:autoSpaceDE w:val="0"/>
              <w:autoSpaceDN w:val="0"/>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（2）其他污染物</w:t>
            </w:r>
          </w:p>
          <w:p w14:paraId="4A34AD3B">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依据《建设项目环境影响报告表编制技术指南（污染影响类）》（试行）中要求：排放国家、地方环境空气质量标准中有标准限值要求的特征污染物时，引用建设项目周边5km范围内近3年的现有监测数据，无相关数据的选择当季主导下风向1个点位补充不少于3天的监测数据。</w:t>
            </w:r>
          </w:p>
          <w:p w14:paraId="61E69EA7">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特征因子为TSP，本次引用甘肃亿源环境检测科技有限公司于2025年8月2日~2025年8月4日对宁夏昊际建材有限公司年产30万方预拌混凝土搅拌站项目所在区域的环境空气质量现状监测数据，监测点位位于项目厂址范围内，设1个监测点位，监测TSP，TSP每天取24h平均浓度值，连续监测3天。监测结果见下表：</w:t>
            </w:r>
          </w:p>
          <w:p w14:paraId="67614DEC">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①</w:t>
            </w:r>
            <w:r>
              <w:rPr>
                <w:rFonts w:eastAsia="宋体"/>
                <w:snapToGrid w:val="0"/>
                <w:color w:val="000000" w:themeColor="text1"/>
                <w:kern w:val="0"/>
                <w14:textFill>
                  <w14:solidFill>
                    <w14:schemeClr w14:val="tx1"/>
                  </w14:solidFill>
                </w14:textFill>
              </w:rPr>
              <w:t>监测点位</w:t>
            </w:r>
          </w:p>
          <w:p w14:paraId="1AF74E19">
            <w:pPr>
              <w:adjustRightInd w:val="0"/>
              <w:snapToGrid w:val="0"/>
              <w:spacing w:line="360" w:lineRule="auto"/>
              <w:ind w:firstLine="555"/>
              <w:rPr>
                <w:rFonts w:eastAsia="宋体"/>
                <w:snapToGrid w:val="0"/>
                <w:color w:val="000000" w:themeColor="text1"/>
                <w:kern w:val="0"/>
                <w:lang w:val="zh-CN"/>
                <w14:textFill>
                  <w14:solidFill>
                    <w14:schemeClr w14:val="tx1"/>
                  </w14:solidFill>
                </w14:textFill>
              </w:rPr>
            </w:pPr>
            <w:r>
              <w:rPr>
                <w:rFonts w:eastAsia="宋体"/>
                <w:snapToGrid w:val="0"/>
                <w:color w:val="000000" w:themeColor="text1"/>
                <w:kern w:val="0"/>
                <w:lang w:val="zh-CN"/>
                <w14:textFill>
                  <w14:solidFill>
                    <w14:schemeClr w14:val="tx1"/>
                  </w14:solidFill>
                </w14:textFill>
              </w:rPr>
              <w:t>具体监测位置见下表：</w:t>
            </w:r>
          </w:p>
          <w:p w14:paraId="1C7BD61F">
            <w:pPr>
              <w:adjustRightInd w:val="0"/>
              <w:snapToGrid w:val="0"/>
              <w:ind w:firstLine="482" w:firstLineChars="200"/>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表3-2            其他污染物补充监测点位基本信息</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824"/>
              <w:gridCol w:w="720"/>
              <w:gridCol w:w="4137"/>
            </w:tblGrid>
            <w:tr w14:paraId="73BFD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0" w:type="dxa"/>
                  <w:tcBorders>
                    <w:tl2br w:val="nil"/>
                    <w:tr2bl w:val="nil"/>
                  </w:tcBorders>
                  <w:vAlign w:val="center"/>
                </w:tcPr>
                <w:p w14:paraId="55D23036">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监测点位名称</w:t>
                  </w:r>
                </w:p>
              </w:tc>
              <w:tc>
                <w:tcPr>
                  <w:tcW w:w="1794" w:type="dxa"/>
                  <w:tcBorders>
                    <w:tl2br w:val="nil"/>
                    <w:tr2bl w:val="nil"/>
                  </w:tcBorders>
                  <w:vAlign w:val="center"/>
                </w:tcPr>
                <w:p w14:paraId="7B90765C">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相对厂界距离</w:t>
                  </w:r>
                </w:p>
              </w:tc>
              <w:tc>
                <w:tcPr>
                  <w:tcW w:w="708" w:type="dxa"/>
                  <w:tcBorders>
                    <w:tl2br w:val="nil"/>
                    <w:tr2bl w:val="nil"/>
                  </w:tcBorders>
                  <w:vAlign w:val="center"/>
                </w:tcPr>
                <w:p w14:paraId="70199317">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方位</w:t>
                  </w:r>
                </w:p>
              </w:tc>
              <w:tc>
                <w:tcPr>
                  <w:tcW w:w="4068" w:type="dxa"/>
                  <w:tcBorders>
                    <w:tl2br w:val="nil"/>
                    <w:tr2bl w:val="nil"/>
                  </w:tcBorders>
                  <w:vAlign w:val="center"/>
                </w:tcPr>
                <w:p w14:paraId="202CDA4F">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点位坐标</w:t>
                  </w:r>
                </w:p>
              </w:tc>
            </w:tr>
            <w:tr w14:paraId="53793B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20" w:type="dxa"/>
                  <w:tcBorders>
                    <w:tl2br w:val="nil"/>
                    <w:tr2bl w:val="nil"/>
                  </w:tcBorders>
                  <w:vAlign w:val="center"/>
                </w:tcPr>
                <w:p w14:paraId="211DF3EE">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项目厂址范围内</w:t>
                  </w:r>
                </w:p>
              </w:tc>
              <w:tc>
                <w:tcPr>
                  <w:tcW w:w="1794" w:type="dxa"/>
                  <w:tcBorders>
                    <w:tl2br w:val="nil"/>
                    <w:tr2bl w:val="nil"/>
                  </w:tcBorders>
                  <w:vAlign w:val="center"/>
                </w:tcPr>
                <w:p w14:paraId="1523BF50">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c>
                <w:tcPr>
                  <w:tcW w:w="708" w:type="dxa"/>
                  <w:tcBorders>
                    <w:tl2br w:val="nil"/>
                    <w:tr2bl w:val="nil"/>
                  </w:tcBorders>
                  <w:vAlign w:val="center"/>
                </w:tcPr>
                <w:p w14:paraId="176F2F57">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p>
              </w:tc>
              <w:tc>
                <w:tcPr>
                  <w:tcW w:w="4068" w:type="dxa"/>
                  <w:tcBorders>
                    <w:tl2br w:val="nil"/>
                    <w:tr2bl w:val="nil"/>
                  </w:tcBorders>
                  <w:vAlign w:val="center"/>
                </w:tcPr>
                <w:p w14:paraId="1F77D6D4">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东经106°36′42.412″；北纬</w:t>
                  </w:r>
                  <w:r>
                    <w:rPr>
                      <w:rFonts w:eastAsia="宋体"/>
                      <w:color w:val="000000" w:themeColor="text1"/>
                      <w:position w:val="-1"/>
                      <w:sz w:val="21"/>
                      <w:szCs w:val="21"/>
                      <w14:textFill>
                        <w14:solidFill>
                          <w14:schemeClr w14:val="tx1"/>
                        </w14:solidFill>
                      </w14:textFill>
                    </w:rPr>
                    <w:t>36°10′20.933″</w:t>
                  </w:r>
                </w:p>
              </w:tc>
            </w:tr>
          </w:tbl>
          <w:p w14:paraId="6CF2A885">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②</w:t>
            </w:r>
            <w:r>
              <w:rPr>
                <w:rFonts w:eastAsia="宋体"/>
                <w:snapToGrid w:val="0"/>
                <w:color w:val="000000" w:themeColor="text1"/>
                <w:kern w:val="0"/>
                <w14:textFill>
                  <w14:solidFill>
                    <w14:schemeClr w14:val="tx1"/>
                  </w14:solidFill>
                </w14:textFill>
              </w:rPr>
              <w:t>监测因子：</w:t>
            </w:r>
          </w:p>
          <w:p w14:paraId="3437E643">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监测项目为TSP。</w:t>
            </w:r>
          </w:p>
          <w:p w14:paraId="5F895A33">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③</w:t>
            </w:r>
            <w:r>
              <w:rPr>
                <w:rFonts w:eastAsia="宋体"/>
                <w:snapToGrid w:val="0"/>
                <w:color w:val="000000" w:themeColor="text1"/>
                <w:kern w:val="0"/>
                <w14:textFill>
                  <w14:solidFill>
                    <w14:schemeClr w14:val="tx1"/>
                  </w14:solidFill>
                </w14:textFill>
              </w:rPr>
              <w:t>监测时间及频次：</w:t>
            </w:r>
          </w:p>
          <w:p w14:paraId="335649C5">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监测时间：监测时间为2025年8月2日至8月4日。</w:t>
            </w:r>
          </w:p>
          <w:p w14:paraId="1058CBFB">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监测频次：TSP监测24小时平均浓度；连续监测3天。</w:t>
            </w:r>
          </w:p>
          <w:p w14:paraId="3996259D">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监测期间同步监测和记录风速、风向、气温、气压等气象条件。</w:t>
            </w:r>
          </w:p>
          <w:p w14:paraId="502DD22C">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④</w:t>
            </w:r>
            <w:r>
              <w:rPr>
                <w:rFonts w:eastAsia="宋体"/>
                <w:snapToGrid w:val="0"/>
                <w:color w:val="000000" w:themeColor="text1"/>
                <w:kern w:val="0"/>
                <w14:textFill>
                  <w14:solidFill>
                    <w14:schemeClr w14:val="tx1"/>
                  </w14:solidFill>
                </w14:textFill>
              </w:rPr>
              <w:t>监测分析方法：</w:t>
            </w:r>
          </w:p>
          <w:p w14:paraId="08E4CF89">
            <w:pPr>
              <w:adjustRightInd w:val="0"/>
              <w:snapToGrid w:val="0"/>
              <w:spacing w:line="360" w:lineRule="auto"/>
              <w:ind w:firstLine="555"/>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监测及分析方法依照国家环保局《空气和废气监测分析方法》（第四版）</w:t>
            </w:r>
          </w:p>
          <w:p w14:paraId="4CFA5D50">
            <w:pPr>
              <w:spacing w:line="360" w:lineRule="auto"/>
              <w:ind w:firstLine="508" w:firstLineChars="200"/>
              <w:rPr>
                <w:rFonts w:eastAsia="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⑤</w:t>
            </w:r>
            <w:r>
              <w:rPr>
                <w:rFonts w:eastAsia="宋体"/>
                <w:color w:val="000000" w:themeColor="text1"/>
                <w:spacing w:val="7"/>
                <w14:textFill>
                  <w14:solidFill>
                    <w14:schemeClr w14:val="tx1"/>
                  </w14:solidFill>
                </w14:textFill>
              </w:rPr>
              <w:t>监测结果：</w:t>
            </w:r>
          </w:p>
          <w:p w14:paraId="3BDA95C9">
            <w:pPr>
              <w:pStyle w:val="163"/>
              <w:spacing w:line="240" w:lineRule="auto"/>
              <w:ind w:firstLine="482" w:firstLineChars="200"/>
              <w:jc w:val="both"/>
              <w:rPr>
                <w:color w:val="000000" w:themeColor="text1"/>
                <w:spacing w:val="3"/>
                <w:position w:val="3"/>
                <w14:textFill>
                  <w14:solidFill>
                    <w14:schemeClr w14:val="tx1"/>
                  </w14:solidFill>
                </w14:textFill>
              </w:rPr>
            </w:pPr>
            <w:r>
              <w:rPr>
                <w:bCs/>
                <w:color w:val="000000" w:themeColor="text1"/>
                <w:kern w:val="0"/>
                <w14:textFill>
                  <w14:solidFill>
                    <w14:schemeClr w14:val="tx1"/>
                  </w14:solidFill>
                </w14:textFill>
              </w:rPr>
              <w:t xml:space="preserve">表3-3            </w:t>
            </w:r>
            <w:r>
              <w:rPr>
                <w:color w:val="000000" w:themeColor="text1"/>
                <w:spacing w:val="3"/>
                <w:position w:val="3"/>
                <w14:textFill>
                  <w14:solidFill>
                    <w14:schemeClr w14:val="tx1"/>
                  </w14:solidFill>
                </w14:textFill>
              </w:rPr>
              <w:t>厂区范围内监测点监测结果           单位 mg/m</w:t>
            </w:r>
            <w:r>
              <w:rPr>
                <w:color w:val="000000" w:themeColor="text1"/>
                <w:spacing w:val="6"/>
                <w:position w:val="2"/>
                <w:vertAlign w:val="superscript"/>
                <w14:textFill>
                  <w14:solidFill>
                    <w14:schemeClr w14:val="tx1"/>
                  </w14:solidFill>
                </w14:textFill>
              </w:rPr>
              <w:t>3</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1085"/>
              <w:gridCol w:w="1234"/>
              <w:gridCol w:w="1154"/>
              <w:gridCol w:w="1154"/>
              <w:gridCol w:w="1154"/>
              <w:gridCol w:w="2751"/>
            </w:tblGrid>
            <w:tr w14:paraId="7C445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6" w:type="pct"/>
                  <w:vMerge w:val="restart"/>
                  <w:tcBorders>
                    <w:tl2br w:val="nil"/>
                    <w:tr2bl w:val="nil"/>
                  </w:tcBorders>
                  <w:shd w:val="clear" w:color="auto" w:fill="auto"/>
                  <w:vAlign w:val="center"/>
                </w:tcPr>
                <w:p w14:paraId="4BB1240C">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检测项目</w:t>
                  </w:r>
                </w:p>
              </w:tc>
              <w:tc>
                <w:tcPr>
                  <w:tcW w:w="723" w:type="pct"/>
                  <w:vMerge w:val="restart"/>
                  <w:tcBorders>
                    <w:tl2br w:val="nil"/>
                    <w:tr2bl w:val="nil"/>
                  </w:tcBorders>
                  <w:shd w:val="clear" w:color="auto" w:fill="auto"/>
                  <w:vAlign w:val="center"/>
                </w:tcPr>
                <w:p w14:paraId="65C0CD01">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检测点位</w:t>
                  </w:r>
                </w:p>
              </w:tc>
              <w:tc>
                <w:tcPr>
                  <w:tcW w:w="2028" w:type="pct"/>
                  <w:gridSpan w:val="3"/>
                  <w:tcBorders>
                    <w:tl2br w:val="nil"/>
                    <w:tr2bl w:val="nil"/>
                  </w:tcBorders>
                  <w:shd w:val="clear" w:color="auto" w:fill="auto"/>
                  <w:vAlign w:val="center"/>
                </w:tcPr>
                <w:p w14:paraId="308587BD">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检测结果</w:t>
                  </w:r>
                </w:p>
              </w:tc>
              <w:tc>
                <w:tcPr>
                  <w:tcW w:w="1612" w:type="pct"/>
                  <w:vMerge w:val="restart"/>
                  <w:tcBorders>
                    <w:tl2br w:val="nil"/>
                    <w:tr2bl w:val="nil"/>
                  </w:tcBorders>
                  <w:shd w:val="clear" w:color="auto" w:fill="auto"/>
                  <w:vAlign w:val="center"/>
                </w:tcPr>
                <w:p w14:paraId="0DB5387A">
                  <w:pPr>
                    <w:snapToGrid w:val="0"/>
                    <w:jc w:val="center"/>
                    <w:rPr>
                      <w:rFonts w:eastAsia="宋体"/>
                      <w:color w:val="000000" w:themeColor="text1"/>
                      <w:sz w:val="21"/>
                      <w:szCs w:val="21"/>
                      <w14:textFill>
                        <w14:solidFill>
                          <w14:schemeClr w14:val="tx1"/>
                        </w14:solidFill>
                      </w14:textFill>
                    </w:rPr>
                  </w:pPr>
                  <w:r>
                    <w:rPr>
                      <w:rFonts w:eastAsia="宋体"/>
                      <w:b/>
                      <w:color w:val="000000" w:themeColor="text1"/>
                      <w:position w:val="-2"/>
                      <w:sz w:val="21"/>
                      <w:szCs w:val="21"/>
                      <w14:textFill>
                        <w14:solidFill>
                          <w14:schemeClr w14:val="tx1"/>
                        </w14:solidFill>
                      </w14:textFill>
                    </w:rPr>
                    <w:t>浓度限值（《环境空气质量标准》（GB3095-2012及修改单中表2二级标准限值）</w:t>
                  </w:r>
                </w:p>
              </w:tc>
            </w:tr>
            <w:tr w14:paraId="0CDADD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6" w:type="pct"/>
                  <w:vMerge w:val="continue"/>
                  <w:tcBorders>
                    <w:tl2br w:val="nil"/>
                    <w:tr2bl w:val="nil"/>
                  </w:tcBorders>
                  <w:shd w:val="clear" w:color="auto" w:fill="auto"/>
                  <w:vAlign w:val="center"/>
                </w:tcPr>
                <w:p w14:paraId="652A00F3">
                  <w:pPr>
                    <w:snapToGrid w:val="0"/>
                    <w:jc w:val="center"/>
                    <w:rPr>
                      <w:rFonts w:eastAsia="宋体"/>
                      <w:b/>
                      <w:bCs/>
                      <w:color w:val="000000" w:themeColor="text1"/>
                      <w:sz w:val="21"/>
                      <w:szCs w:val="21"/>
                      <w14:textFill>
                        <w14:solidFill>
                          <w14:schemeClr w14:val="tx1"/>
                        </w14:solidFill>
                      </w14:textFill>
                    </w:rPr>
                  </w:pPr>
                </w:p>
              </w:tc>
              <w:tc>
                <w:tcPr>
                  <w:tcW w:w="723" w:type="pct"/>
                  <w:vMerge w:val="continue"/>
                  <w:tcBorders>
                    <w:tl2br w:val="nil"/>
                    <w:tr2bl w:val="nil"/>
                  </w:tcBorders>
                  <w:shd w:val="clear" w:color="auto" w:fill="auto"/>
                  <w:vAlign w:val="center"/>
                </w:tcPr>
                <w:p w14:paraId="177363E4">
                  <w:pPr>
                    <w:snapToGrid w:val="0"/>
                    <w:jc w:val="center"/>
                    <w:rPr>
                      <w:rFonts w:eastAsia="宋体"/>
                      <w:b/>
                      <w:bCs/>
                      <w:color w:val="000000" w:themeColor="text1"/>
                      <w:sz w:val="21"/>
                      <w:szCs w:val="21"/>
                      <w14:textFill>
                        <w14:solidFill>
                          <w14:schemeClr w14:val="tx1"/>
                        </w14:solidFill>
                      </w14:textFill>
                    </w:rPr>
                  </w:pPr>
                </w:p>
              </w:tc>
              <w:tc>
                <w:tcPr>
                  <w:tcW w:w="676" w:type="pct"/>
                  <w:tcBorders>
                    <w:tl2br w:val="nil"/>
                    <w:tr2bl w:val="nil"/>
                  </w:tcBorders>
                  <w:shd w:val="clear" w:color="auto" w:fill="auto"/>
                  <w:vAlign w:val="center"/>
                </w:tcPr>
                <w:p w14:paraId="40CBCDBD">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2025.08.02</w:t>
                  </w:r>
                </w:p>
              </w:tc>
              <w:tc>
                <w:tcPr>
                  <w:tcW w:w="676" w:type="pct"/>
                  <w:tcBorders>
                    <w:tl2br w:val="nil"/>
                    <w:tr2bl w:val="nil"/>
                  </w:tcBorders>
                  <w:shd w:val="clear" w:color="auto" w:fill="auto"/>
                  <w:vAlign w:val="center"/>
                </w:tcPr>
                <w:p w14:paraId="65A09011">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2025.08.03</w:t>
                  </w:r>
                </w:p>
              </w:tc>
              <w:tc>
                <w:tcPr>
                  <w:tcW w:w="676" w:type="pct"/>
                  <w:tcBorders>
                    <w:tl2br w:val="nil"/>
                    <w:tr2bl w:val="nil"/>
                  </w:tcBorders>
                  <w:shd w:val="clear" w:color="auto" w:fill="auto"/>
                  <w:vAlign w:val="center"/>
                </w:tcPr>
                <w:p w14:paraId="5BC3D628">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2025.08.04</w:t>
                  </w:r>
                </w:p>
              </w:tc>
              <w:tc>
                <w:tcPr>
                  <w:tcW w:w="1612" w:type="pct"/>
                  <w:vMerge w:val="continue"/>
                  <w:tcBorders>
                    <w:tl2br w:val="nil"/>
                    <w:tr2bl w:val="nil"/>
                  </w:tcBorders>
                  <w:shd w:val="clear" w:color="auto" w:fill="auto"/>
                  <w:vAlign w:val="center"/>
                </w:tcPr>
                <w:p w14:paraId="02FBB1A6">
                  <w:pPr>
                    <w:snapToGrid w:val="0"/>
                    <w:jc w:val="center"/>
                    <w:rPr>
                      <w:rFonts w:eastAsia="宋体"/>
                      <w:color w:val="000000" w:themeColor="text1"/>
                      <w:sz w:val="21"/>
                      <w:szCs w:val="21"/>
                      <w14:textFill>
                        <w14:solidFill>
                          <w14:schemeClr w14:val="tx1"/>
                        </w14:solidFill>
                      </w14:textFill>
                    </w:rPr>
                  </w:pPr>
                </w:p>
              </w:tc>
            </w:tr>
            <w:tr w14:paraId="085B5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636" w:type="pct"/>
                  <w:tcBorders>
                    <w:tl2br w:val="nil"/>
                    <w:tr2bl w:val="nil"/>
                  </w:tcBorders>
                  <w:shd w:val="clear" w:color="auto" w:fill="auto"/>
                  <w:vAlign w:val="center"/>
                </w:tcPr>
                <w:p w14:paraId="436150AB">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总悬浮颗粒物</w:t>
                  </w:r>
                </w:p>
              </w:tc>
              <w:tc>
                <w:tcPr>
                  <w:tcW w:w="723" w:type="pct"/>
                  <w:tcBorders>
                    <w:tl2br w:val="nil"/>
                    <w:tr2bl w:val="nil"/>
                  </w:tcBorders>
                  <w:shd w:val="clear" w:color="auto" w:fill="auto"/>
                  <w:vAlign w:val="center"/>
                </w:tcPr>
                <w:p w14:paraId="07608443">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项目厂址范围内</w:t>
                  </w:r>
                </w:p>
              </w:tc>
              <w:tc>
                <w:tcPr>
                  <w:tcW w:w="676" w:type="pct"/>
                  <w:tcBorders>
                    <w:tl2br w:val="nil"/>
                    <w:tr2bl w:val="nil"/>
                  </w:tcBorders>
                  <w:shd w:val="clear" w:color="auto" w:fill="auto"/>
                  <w:vAlign w:val="center"/>
                </w:tcPr>
                <w:p w14:paraId="1CBEA1DC">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0.158</w:t>
                  </w:r>
                </w:p>
              </w:tc>
              <w:tc>
                <w:tcPr>
                  <w:tcW w:w="676" w:type="pct"/>
                  <w:tcBorders>
                    <w:tl2br w:val="nil"/>
                    <w:tr2bl w:val="nil"/>
                  </w:tcBorders>
                  <w:shd w:val="clear" w:color="auto" w:fill="auto"/>
                  <w:vAlign w:val="center"/>
                </w:tcPr>
                <w:p w14:paraId="58542C25">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0.160</w:t>
                  </w:r>
                </w:p>
              </w:tc>
              <w:tc>
                <w:tcPr>
                  <w:tcW w:w="676" w:type="pct"/>
                  <w:tcBorders>
                    <w:tl2br w:val="nil"/>
                    <w:tr2bl w:val="nil"/>
                  </w:tcBorders>
                  <w:shd w:val="clear" w:color="auto" w:fill="auto"/>
                  <w:vAlign w:val="center"/>
                </w:tcPr>
                <w:p w14:paraId="302E5C43">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0.166</w:t>
                  </w:r>
                </w:p>
              </w:tc>
              <w:tc>
                <w:tcPr>
                  <w:tcW w:w="1612" w:type="pct"/>
                  <w:tcBorders>
                    <w:tl2br w:val="nil"/>
                    <w:tr2bl w:val="nil"/>
                  </w:tcBorders>
                  <w:shd w:val="clear" w:color="auto" w:fill="auto"/>
                  <w:vAlign w:val="center"/>
                </w:tcPr>
                <w:p w14:paraId="7D96417D">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0.3</w:t>
                  </w:r>
                </w:p>
              </w:tc>
            </w:tr>
          </w:tbl>
          <w:p w14:paraId="34746492">
            <w:pPr>
              <w:pStyle w:val="4"/>
              <w:ind w:firstLine="480"/>
              <w:jc w:val="both"/>
              <w:rPr>
                <w:b w:val="0"/>
                <w:snapToGrid w:val="0"/>
                <w:color w:val="000000" w:themeColor="text1"/>
                <w:kern w:val="0"/>
                <w14:textFill>
                  <w14:solidFill>
                    <w14:schemeClr w14:val="tx1"/>
                  </w14:solidFill>
                </w14:textFill>
              </w:rPr>
            </w:pPr>
            <w:r>
              <w:rPr>
                <w:b w:val="0"/>
                <w:snapToGrid w:val="0"/>
                <w:color w:val="000000" w:themeColor="text1"/>
                <w:kern w:val="0"/>
                <w14:textFill>
                  <w14:solidFill>
                    <w14:schemeClr w14:val="tx1"/>
                  </w14:solidFill>
                </w14:textFill>
              </w:rPr>
              <w:t>根据监测结果可知，TSP浓度范围0.158~0.166mg/m</w:t>
            </w:r>
            <w:r>
              <w:rPr>
                <w:b w:val="0"/>
                <w:snapToGrid w:val="0"/>
                <w:color w:val="000000" w:themeColor="text1"/>
                <w:kern w:val="0"/>
                <w:vertAlign w:val="superscript"/>
                <w14:textFill>
                  <w14:solidFill>
                    <w14:schemeClr w14:val="tx1"/>
                  </w14:solidFill>
                </w14:textFill>
              </w:rPr>
              <w:t>3</w:t>
            </w:r>
            <w:r>
              <w:rPr>
                <w:b w:val="0"/>
                <w:snapToGrid w:val="0"/>
                <w:color w:val="000000" w:themeColor="text1"/>
                <w:kern w:val="0"/>
                <w14:textFill>
                  <w14:solidFill>
                    <w14:schemeClr w14:val="tx1"/>
                  </w14:solidFill>
                </w14:textFill>
              </w:rPr>
              <w:t>之间，满足《环境空气质量标准》（GB3095-2026）过度阶段浓度限值二级标准要求。</w:t>
            </w:r>
          </w:p>
          <w:p w14:paraId="7043147F">
            <w:pPr>
              <w:pStyle w:val="4"/>
              <w:ind w:firstLine="482"/>
              <w:jc w:val="both"/>
              <w:rPr>
                <w:color w:val="000000" w:themeColor="text1"/>
                <w14:textFill>
                  <w14:solidFill>
                    <w14:schemeClr w14:val="tx1"/>
                  </w14:solidFill>
                </w14:textFill>
              </w:rPr>
            </w:pPr>
            <w:r>
              <w:rPr>
                <w:color w:val="000000" w:themeColor="text1"/>
                <w14:textFill>
                  <w14:solidFill>
                    <w14:schemeClr w14:val="tx1"/>
                  </w14:solidFill>
                </w14:textFill>
              </w:rPr>
              <w:t>2、地表水环境质量现状</w:t>
            </w:r>
          </w:p>
          <w:p w14:paraId="587635B6">
            <w:pPr>
              <w:pStyle w:val="4"/>
              <w:ind w:firstLine="480"/>
              <w:jc w:val="both"/>
              <w:rPr>
                <w:b w:val="0"/>
                <w:bCs w:val="0"/>
                <w:color w:val="000000" w:themeColor="text1"/>
                <w:kern w:val="2"/>
                <w14:textFill>
                  <w14:solidFill>
                    <w14:schemeClr w14:val="tx1"/>
                  </w14:solidFill>
                </w14:textFill>
              </w:rPr>
            </w:pPr>
            <w:r>
              <w:rPr>
                <w:b w:val="0"/>
                <w:bCs w:val="0"/>
                <w:color w:val="000000" w:themeColor="text1"/>
                <w:kern w:val="2"/>
                <w14:textFill>
                  <w14:solidFill>
                    <w14:schemeClr w14:val="tx1"/>
                  </w14:solidFill>
                </w14:textFill>
              </w:rPr>
              <w:t>本项目周边3公里范围内无常年地表水体，且本项目无生产及生活废水外排，故本次评价不再对地表水环境进行现状调查评价。</w:t>
            </w:r>
          </w:p>
          <w:p w14:paraId="49F75E69">
            <w:pPr>
              <w:pStyle w:val="4"/>
              <w:ind w:firstLine="482"/>
              <w:jc w:val="both"/>
              <w:rPr>
                <w:color w:val="000000" w:themeColor="text1"/>
                <w14:textFill>
                  <w14:solidFill>
                    <w14:schemeClr w14:val="tx1"/>
                  </w14:solidFill>
                </w14:textFill>
              </w:rPr>
            </w:pPr>
            <w:r>
              <w:rPr>
                <w:color w:val="000000" w:themeColor="text1"/>
                <w14:textFill>
                  <w14:solidFill>
                    <w14:schemeClr w14:val="tx1"/>
                  </w14:solidFill>
                </w14:textFill>
              </w:rPr>
              <w:t>3、声环境现状及影响分析评价</w:t>
            </w:r>
          </w:p>
          <w:p w14:paraId="31EDAD13">
            <w:pPr>
              <w:pStyle w:val="33"/>
              <w:adjustRightInd w:val="0"/>
              <w:snapToGrid w:val="0"/>
              <w:spacing w:before="0" w:beforeAutospacing="0" w:after="0" w:afterAutospacing="0" w:line="360" w:lineRule="auto"/>
              <w:ind w:firstLine="480" w:firstLineChars="200"/>
              <w:jc w:val="both"/>
              <w:rPr>
                <w:rFonts w:ascii="Times New Roman" w:hAnsi="Times New Roman" w:eastAsia="宋体"/>
                <w:color w:val="000000" w:themeColor="text1"/>
                <w:kern w:val="2"/>
                <w:szCs w:val="24"/>
                <w14:textFill>
                  <w14:solidFill>
                    <w14:schemeClr w14:val="tx1"/>
                  </w14:solidFill>
                </w14:textFill>
              </w:rPr>
            </w:pPr>
            <w:r>
              <w:rPr>
                <w:rFonts w:ascii="Times New Roman" w:hAnsi="Times New Roman" w:eastAsia="宋体"/>
                <w:color w:val="000000" w:themeColor="text1"/>
                <w:kern w:val="2"/>
                <w:szCs w:val="24"/>
                <w14:textFill>
                  <w14:solidFill>
                    <w14:schemeClr w14:val="tx1"/>
                  </w14:solidFill>
                </w14:textFill>
              </w:rPr>
              <w:t>根据《建设项目环境影响报告表编制技术指南（污染影响类）（试行）》，厂界外周边50m范围内存在声环境保护目标的建设项目，应监测保护目标声环境质量现状并评价达标情况。根据现场踏勘，本项目周边50m范围内无声环境保护目标，可不进行声环境质量现状监测。</w:t>
            </w:r>
          </w:p>
          <w:p w14:paraId="06157DF5">
            <w:pPr>
              <w:pStyle w:val="4"/>
              <w:ind w:firstLine="482"/>
              <w:rPr>
                <w:color w:val="000000" w:themeColor="text1"/>
                <w14:textFill>
                  <w14:solidFill>
                    <w14:schemeClr w14:val="tx1"/>
                  </w14:solidFill>
                </w14:textFill>
              </w:rPr>
            </w:pPr>
            <w:r>
              <w:rPr>
                <w:color w:val="000000" w:themeColor="text1"/>
                <w14:textFill>
                  <w14:solidFill>
                    <w14:schemeClr w14:val="tx1"/>
                  </w14:solidFill>
                </w14:textFill>
              </w:rPr>
              <w:t>4、地下水、土壤</w:t>
            </w:r>
          </w:p>
          <w:p w14:paraId="25E943A6">
            <w:pPr>
              <w:pStyle w:val="33"/>
              <w:adjustRightInd w:val="0"/>
              <w:snapToGrid w:val="0"/>
              <w:spacing w:before="0" w:beforeAutospacing="0" w:after="0" w:afterAutospacing="0" w:line="360" w:lineRule="auto"/>
              <w:ind w:firstLine="480" w:firstLineChars="200"/>
              <w:jc w:val="both"/>
              <w:rPr>
                <w:rFonts w:ascii="Times New Roman" w:hAnsi="Times New Roman" w:eastAsia="宋体"/>
                <w:color w:val="000000" w:themeColor="text1"/>
                <w:kern w:val="2"/>
                <w:szCs w:val="24"/>
                <w14:textFill>
                  <w14:solidFill>
                    <w14:schemeClr w14:val="tx1"/>
                  </w14:solidFill>
                </w14:textFill>
              </w:rPr>
            </w:pPr>
            <w:r>
              <w:rPr>
                <w:rFonts w:ascii="Times New Roman" w:hAnsi="Times New Roman" w:eastAsia="宋体"/>
                <w:color w:val="000000" w:themeColor="text1"/>
                <w:kern w:val="2"/>
                <w:szCs w:val="24"/>
                <w14:textFill>
                  <w14:solidFill>
                    <w14:schemeClr w14:val="tx1"/>
                  </w14:solidFill>
                </w14:textFill>
              </w:rPr>
              <w:t>根据《建设项目环境影响报告表编制技术指南（污染影响类）》中要求，“地下水、土壤环境原则上不开展环境质量现状调查。建设项目存在土壤、地下水环境污染途径的，应结合污染源、保护目标分布情况开展现状调查以留作背景值”。本项目生产车间地面进行硬化，正常工况下不存在土壤、地下水污染途径，按照指南要求，不进行地下水和土壤的现状调查。</w:t>
            </w:r>
          </w:p>
          <w:p w14:paraId="3B106F2C">
            <w:pPr>
              <w:pStyle w:val="4"/>
              <w:ind w:firstLine="482"/>
              <w:jc w:val="both"/>
              <w:rPr>
                <w:color w:val="000000" w:themeColor="text1"/>
                <w14:textFill>
                  <w14:solidFill>
                    <w14:schemeClr w14:val="tx1"/>
                  </w14:solidFill>
                </w14:textFill>
              </w:rPr>
            </w:pPr>
            <w:r>
              <w:rPr>
                <w:color w:val="000000" w:themeColor="text1"/>
                <w14:textFill>
                  <w14:solidFill>
                    <w14:schemeClr w14:val="tx1"/>
                  </w14:solidFill>
                </w14:textFill>
              </w:rPr>
              <w:t>5、生态环境质量现状</w:t>
            </w:r>
          </w:p>
          <w:p w14:paraId="0085C102">
            <w:pPr>
              <w:pStyle w:val="15"/>
              <w:spacing w:line="360" w:lineRule="auto"/>
              <w:ind w:firstLine="480" w:firstLineChars="200"/>
              <w:jc w:val="both"/>
              <w:rPr>
                <w:rFonts w:eastAsia="宋体"/>
                <w:color w:val="000000" w:themeColor="text1"/>
                <w14:textFill>
                  <w14:solidFill>
                    <w14:schemeClr w14:val="tx1"/>
                  </w14:solidFill>
                </w14:textFill>
              </w:rPr>
            </w:pPr>
            <w:r>
              <w:rPr>
                <w:rFonts w:eastAsia="宋体"/>
                <w:color w:val="000000" w:themeColor="text1"/>
                <w:kern w:val="2"/>
                <w:szCs w:val="24"/>
                <w:lang w:val="zh-CN"/>
                <w14:textFill>
                  <w14:solidFill>
                    <w14:schemeClr w14:val="tx1"/>
                  </w14:solidFill>
                </w14:textFill>
              </w:rPr>
              <w:t>根据《建设项目环境影响报告表编制技术指南》（污染影响类）（试行）“产业园区外建设项目新增用地且用地范围内含有生态环境保护目标时，应进行生态现状调查”。本项目位于固原市彭阳县王洼镇北洼村</w:t>
            </w:r>
            <w:r>
              <w:rPr>
                <w:rFonts w:eastAsia="宋体"/>
                <w:color w:val="000000" w:themeColor="text1"/>
                <w:kern w:val="2"/>
                <w:szCs w:val="24"/>
                <w14:textFill>
                  <w14:solidFill>
                    <w14:schemeClr w14:val="tx1"/>
                  </w14:solidFill>
                </w14:textFill>
              </w:rPr>
              <w:t>，根据实地调查，本项目在原有项目厂界范围内进行建设，不新增用地，无需进行生态环境现状调查。</w:t>
            </w:r>
          </w:p>
        </w:tc>
      </w:tr>
      <w:tr w14:paraId="5288C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9" w:type="dxa"/>
            <w:vAlign w:val="center"/>
          </w:tcPr>
          <w:p w14:paraId="03499156">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环境</w:t>
            </w:r>
          </w:p>
          <w:p w14:paraId="38594627">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保护</w:t>
            </w:r>
          </w:p>
          <w:p w14:paraId="53E52750">
            <w:pPr>
              <w:adjustRightInd w:val="0"/>
              <w:snapToGrid w:val="0"/>
              <w:ind w:left="-120" w:leftChars="-50" w:right="-120" w:rightChars="-50"/>
              <w:jc w:val="center"/>
              <w:rPr>
                <w:rFonts w:eastAsia="宋体"/>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目标</w:t>
            </w:r>
          </w:p>
        </w:tc>
        <w:tc>
          <w:tcPr>
            <w:tcW w:w="8632" w:type="dxa"/>
            <w:vAlign w:val="center"/>
          </w:tcPr>
          <w:p w14:paraId="192218C2">
            <w:pPr>
              <w:pStyle w:val="4"/>
              <w:ind w:firstLine="480"/>
              <w:jc w:val="both"/>
              <w:rPr>
                <w:b w:val="0"/>
                <w:bCs w:val="0"/>
                <w:color w:val="000000" w:themeColor="text1"/>
                <w:kern w:val="2"/>
                <w14:textFill>
                  <w14:solidFill>
                    <w14:schemeClr w14:val="tx1"/>
                  </w14:solidFill>
                </w14:textFill>
              </w:rPr>
            </w:pPr>
            <w:r>
              <w:rPr>
                <w:b w:val="0"/>
                <w:bCs w:val="0"/>
                <w:color w:val="000000" w:themeColor="text1"/>
                <w:kern w:val="2"/>
                <w14:textFill>
                  <w14:solidFill>
                    <w14:schemeClr w14:val="tx1"/>
                  </w14:solidFill>
                </w14:textFill>
              </w:rPr>
              <w:t>本项目建设地点位于彭阳县王洼镇北洼村，经调查，项目评价区范围内涉及的环境保护目标情况如下：</w:t>
            </w:r>
          </w:p>
          <w:p w14:paraId="4C1C8525">
            <w:pPr>
              <w:pStyle w:val="4"/>
              <w:ind w:firstLine="480"/>
              <w:jc w:val="both"/>
              <w:rPr>
                <w:b w:val="0"/>
                <w:bCs w:val="0"/>
                <w:color w:val="000000" w:themeColor="text1"/>
                <w:kern w:val="2"/>
                <w14:textFill>
                  <w14:solidFill>
                    <w14:schemeClr w14:val="tx1"/>
                  </w14:solidFill>
                </w14:textFill>
              </w:rPr>
            </w:pPr>
            <w:r>
              <w:rPr>
                <w:b w:val="0"/>
                <w:bCs w:val="0"/>
                <w:color w:val="000000" w:themeColor="text1"/>
                <w14:textFill>
                  <w14:solidFill>
                    <w14:schemeClr w14:val="tx1"/>
                  </w14:solidFill>
                </w14:textFill>
              </w:rPr>
              <w:t>（1）</w:t>
            </w:r>
            <w:r>
              <w:rPr>
                <w:b w:val="0"/>
                <w:bCs w:val="0"/>
                <w:color w:val="000000" w:themeColor="text1"/>
                <w:kern w:val="2"/>
                <w14:textFill>
                  <w14:solidFill>
                    <w14:schemeClr w14:val="tx1"/>
                  </w14:solidFill>
                </w14:textFill>
              </w:rPr>
              <w:t>大气环境</w:t>
            </w:r>
          </w:p>
          <w:p w14:paraId="7D2CBEE5">
            <w:pPr>
              <w:pStyle w:val="4"/>
              <w:ind w:firstLine="480"/>
              <w:jc w:val="both"/>
              <w:rPr>
                <w:b w:val="0"/>
                <w:bCs w:val="0"/>
                <w:color w:val="000000" w:themeColor="text1"/>
                <w:kern w:val="2"/>
                <w14:textFill>
                  <w14:solidFill>
                    <w14:schemeClr w14:val="tx1"/>
                  </w14:solidFill>
                </w14:textFill>
              </w:rPr>
            </w:pPr>
            <w:r>
              <w:rPr>
                <w:b w:val="0"/>
                <w:bCs w:val="0"/>
                <w:color w:val="000000" w:themeColor="text1"/>
                <w:kern w:val="2"/>
                <w14:textFill>
                  <w14:solidFill>
                    <w14:schemeClr w14:val="tx1"/>
                  </w14:solidFill>
                </w14:textFill>
              </w:rPr>
              <w:t>根据现场勘查，项目大气环境保护目标主要是厂界外500m范围内零散分布的北洼村居民点。</w:t>
            </w:r>
          </w:p>
          <w:p w14:paraId="38A44AF5">
            <w:pPr>
              <w:pStyle w:val="4"/>
              <w:ind w:firstLine="480"/>
              <w:jc w:val="both"/>
              <w:rPr>
                <w:b w:val="0"/>
                <w:bCs w:val="0"/>
                <w:color w:val="000000" w:themeColor="text1"/>
                <w:kern w:val="2"/>
                <w14:textFill>
                  <w14:solidFill>
                    <w14:schemeClr w14:val="tx1"/>
                  </w14:solidFill>
                </w14:textFill>
              </w:rPr>
            </w:pPr>
            <w:r>
              <w:rPr>
                <w:b w:val="0"/>
                <w:bCs w:val="0"/>
                <w:color w:val="000000" w:themeColor="text1"/>
                <w14:textFill>
                  <w14:solidFill>
                    <w14:schemeClr w14:val="tx1"/>
                  </w14:solidFill>
                </w14:textFill>
              </w:rPr>
              <w:t>（2）</w:t>
            </w:r>
            <w:r>
              <w:rPr>
                <w:b w:val="0"/>
                <w:bCs w:val="0"/>
                <w:color w:val="000000" w:themeColor="text1"/>
                <w:kern w:val="2"/>
                <w14:textFill>
                  <w14:solidFill>
                    <w14:schemeClr w14:val="tx1"/>
                  </w14:solidFill>
                </w14:textFill>
              </w:rPr>
              <w:t>声环境</w:t>
            </w:r>
          </w:p>
          <w:p w14:paraId="52F19AAD">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根据现场勘查，</w:t>
            </w:r>
            <w:r>
              <w:rPr>
                <w:rFonts w:eastAsia="宋体"/>
                <w:snapToGrid w:val="0"/>
                <w:color w:val="000000" w:themeColor="text1"/>
                <w14:textFill>
                  <w14:solidFill>
                    <w14:schemeClr w14:val="tx1"/>
                  </w14:solidFill>
                </w14:textFill>
              </w:rPr>
              <w:t>本项目厂界外</w:t>
            </w:r>
            <w:r>
              <w:rPr>
                <w:rFonts w:eastAsia="宋体"/>
                <w:color w:val="000000" w:themeColor="text1"/>
                <w14:textFill>
                  <w14:solidFill>
                    <w14:schemeClr w14:val="tx1"/>
                  </w14:solidFill>
                </w14:textFill>
              </w:rPr>
              <w:t>50m范围内无声环境保护目标。</w:t>
            </w:r>
          </w:p>
          <w:p w14:paraId="4F17F232">
            <w:pPr>
              <w:pStyle w:val="4"/>
              <w:ind w:firstLine="480"/>
              <w:jc w:val="both"/>
              <w:rPr>
                <w:b w:val="0"/>
                <w:bCs w:val="0"/>
                <w:color w:val="000000" w:themeColor="text1"/>
                <w:kern w:val="2"/>
                <w14:textFill>
                  <w14:solidFill>
                    <w14:schemeClr w14:val="tx1"/>
                  </w14:solidFill>
                </w14:textFill>
              </w:rPr>
            </w:pPr>
            <w:r>
              <w:rPr>
                <w:b w:val="0"/>
                <w:bCs w:val="0"/>
                <w:color w:val="000000" w:themeColor="text1"/>
                <w14:textFill>
                  <w14:solidFill>
                    <w14:schemeClr w14:val="tx1"/>
                  </w14:solidFill>
                </w14:textFill>
              </w:rPr>
              <w:t>（3）</w:t>
            </w:r>
            <w:r>
              <w:rPr>
                <w:b w:val="0"/>
                <w:bCs w:val="0"/>
                <w:color w:val="000000" w:themeColor="text1"/>
                <w:kern w:val="2"/>
                <w14:textFill>
                  <w14:solidFill>
                    <w14:schemeClr w14:val="tx1"/>
                  </w14:solidFill>
                </w14:textFill>
              </w:rPr>
              <w:t>地下水环境</w:t>
            </w:r>
          </w:p>
          <w:p w14:paraId="64B340CD">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本项目厂界外500米范围内无地下水集中式饮用水水源和热水、矿泉水、温泉等特殊地下水资源。</w:t>
            </w:r>
          </w:p>
          <w:p w14:paraId="4BC9F41B">
            <w:pPr>
              <w:pStyle w:val="65"/>
              <w:jc w:val="both"/>
              <w:rPr>
                <w:rFonts w:ascii="Times New Roman" w:hAnsi="Times New Roman" w:eastAsia="宋体"/>
                <w:color w:val="000000" w:themeColor="text1"/>
                <w:szCs w:val="24"/>
                <w:lang w:eastAsia="zh-CN"/>
                <w14:textFill>
                  <w14:solidFill>
                    <w14:schemeClr w14:val="tx1"/>
                  </w14:solidFill>
                </w14:textFill>
              </w:rPr>
            </w:pPr>
            <w:r>
              <w:rPr>
                <w:rFonts w:ascii="Times New Roman" w:hAnsi="Times New Roman" w:eastAsia="宋体"/>
                <w:color w:val="000000" w:themeColor="text1"/>
                <w:szCs w:val="24"/>
                <w:lang w:eastAsia="zh-CN"/>
                <w14:textFill>
                  <w14:solidFill>
                    <w14:schemeClr w14:val="tx1"/>
                  </w14:solidFill>
                </w14:textFill>
              </w:rPr>
              <w:t>（4）生态环境</w:t>
            </w:r>
          </w:p>
          <w:p w14:paraId="1DA67E69">
            <w:pPr>
              <w:adjustRightInd w:val="0"/>
              <w:snapToGrid w:val="0"/>
              <w:spacing w:line="360" w:lineRule="auto"/>
              <w:ind w:firstLine="480" w:firstLineChars="200"/>
              <w:rPr>
                <w:rFonts w:eastAsia="宋体"/>
                <w:bCs/>
                <w:snapToGrid w:val="0"/>
                <w:color w:val="000000" w:themeColor="text1"/>
                <w:sz w:val="21"/>
                <w:szCs w:val="21"/>
                <w14:textFill>
                  <w14:solidFill>
                    <w14:schemeClr w14:val="tx1"/>
                  </w14:solidFill>
                </w14:textFill>
              </w:rPr>
            </w:pPr>
            <w:r>
              <w:rPr>
                <w:rFonts w:eastAsia="宋体"/>
                <w:color w:val="000000" w:themeColor="text1"/>
                <w:kern w:val="0"/>
                <w14:textFill>
                  <w14:solidFill>
                    <w14:schemeClr w14:val="tx1"/>
                  </w14:solidFill>
                </w14:textFill>
              </w:rPr>
              <w:t>本项目位于</w:t>
            </w:r>
            <w:r>
              <w:rPr>
                <w:rFonts w:eastAsia="宋体"/>
                <w:color w:val="000000" w:themeColor="text1"/>
                <w14:textFill>
                  <w14:solidFill>
                    <w14:schemeClr w14:val="tx1"/>
                  </w14:solidFill>
                </w14:textFill>
              </w:rPr>
              <w:t>固原市彭阳县王洼镇北洼村，项目占地范围内生态环境以人工种植绿化树木为主，无珍稀或濒危动、植物。因此，本项目不涉及生态环境保护目标。</w:t>
            </w:r>
            <w:r>
              <w:rPr>
                <w:rFonts w:eastAsia="宋体"/>
                <w:color w:val="000000" w:themeColor="text1"/>
                <w:kern w:val="0"/>
                <w14:textFill>
                  <w14:solidFill>
                    <w14:schemeClr w14:val="tx1"/>
                  </w14:solidFill>
                </w14:textFill>
              </w:rPr>
              <w:t>项目</w:t>
            </w:r>
            <w:r>
              <w:rPr>
                <w:rFonts w:eastAsia="宋体"/>
                <w:snapToGrid w:val="0"/>
                <w:color w:val="000000" w:themeColor="text1"/>
                <w14:textFill>
                  <w14:solidFill>
                    <w14:schemeClr w14:val="tx1"/>
                  </w14:solidFill>
                </w14:textFill>
              </w:rPr>
              <w:t>环境保护</w:t>
            </w:r>
            <w:r>
              <w:rPr>
                <w:rFonts w:eastAsia="宋体"/>
                <w:color w:val="000000" w:themeColor="text1"/>
                <w14:textFill>
                  <w14:solidFill>
                    <w14:schemeClr w14:val="tx1"/>
                  </w14:solidFill>
                </w14:textFill>
              </w:rPr>
              <w:t>目标一览表见表3-4，</w:t>
            </w:r>
            <w:r>
              <w:rPr>
                <w:rFonts w:eastAsia="宋体"/>
                <w:bCs/>
                <w:color w:val="000000" w:themeColor="text1"/>
                <w14:textFill>
                  <w14:solidFill>
                    <w14:schemeClr w14:val="tx1"/>
                  </w14:solidFill>
                </w14:textFill>
              </w:rPr>
              <w:t>项目周边500m范围示意图</w:t>
            </w:r>
            <w:r>
              <w:rPr>
                <w:rFonts w:eastAsia="宋体"/>
                <w:color w:val="000000" w:themeColor="text1"/>
                <w14:textFill>
                  <w14:solidFill>
                    <w14:schemeClr w14:val="tx1"/>
                  </w14:solidFill>
                </w14:textFill>
              </w:rPr>
              <w:t>见附图8。</w:t>
            </w:r>
          </w:p>
          <w:p w14:paraId="7BA000BE">
            <w:pPr>
              <w:adjustRightInd w:val="0"/>
              <w:snapToGrid w:val="0"/>
              <w:ind w:firstLine="723" w:firstLineChars="300"/>
              <w:jc w:val="left"/>
              <w:rPr>
                <w:rFonts w:eastAsia="宋体"/>
                <w:b/>
                <w:bCs/>
                <w:snapToGrid w:val="0"/>
                <w:color w:val="000000" w:themeColor="text1"/>
                <w14:textFill>
                  <w14:solidFill>
                    <w14:schemeClr w14:val="tx1"/>
                  </w14:solidFill>
                </w14:textFill>
              </w:rPr>
            </w:pPr>
          </w:p>
          <w:p w14:paraId="444978A0">
            <w:pPr>
              <w:adjustRightInd w:val="0"/>
              <w:snapToGrid w:val="0"/>
              <w:ind w:firstLine="723" w:firstLineChars="300"/>
              <w:jc w:val="left"/>
              <w:rPr>
                <w:rFonts w:eastAsia="宋体"/>
                <w:b/>
                <w:bCs/>
                <w:snapToGrid w:val="0"/>
                <w:color w:val="000000" w:themeColor="text1"/>
                <w14:textFill>
                  <w14:solidFill>
                    <w14:schemeClr w14:val="tx1"/>
                  </w14:solidFill>
                </w14:textFill>
              </w:rPr>
            </w:pPr>
          </w:p>
          <w:p w14:paraId="51A578DA">
            <w:pPr>
              <w:adjustRightInd w:val="0"/>
              <w:snapToGrid w:val="0"/>
              <w:ind w:firstLine="723" w:firstLineChars="300"/>
              <w:jc w:val="left"/>
              <w:rPr>
                <w:rFonts w:eastAsia="宋体"/>
                <w:b/>
                <w:bCs/>
                <w:snapToGrid w:val="0"/>
                <w:color w:val="000000" w:themeColor="text1"/>
                <w14:textFill>
                  <w14:solidFill>
                    <w14:schemeClr w14:val="tx1"/>
                  </w14:solidFill>
                </w14:textFill>
              </w:rPr>
            </w:pPr>
          </w:p>
          <w:p w14:paraId="541A1E28">
            <w:pPr>
              <w:adjustRightInd w:val="0"/>
              <w:snapToGrid w:val="0"/>
              <w:ind w:firstLine="723" w:firstLineChars="300"/>
              <w:jc w:val="left"/>
              <w:rPr>
                <w:rFonts w:eastAsia="宋体"/>
                <w:b/>
                <w:bCs/>
                <w:snapToGrid w:val="0"/>
                <w:color w:val="000000" w:themeColor="text1"/>
                <w14:textFill>
                  <w14:solidFill>
                    <w14:schemeClr w14:val="tx1"/>
                  </w14:solidFill>
                </w14:textFill>
              </w:rPr>
            </w:pPr>
          </w:p>
          <w:p w14:paraId="0903D201">
            <w:pPr>
              <w:adjustRightInd w:val="0"/>
              <w:snapToGrid w:val="0"/>
              <w:ind w:firstLine="723" w:firstLineChars="300"/>
              <w:jc w:val="left"/>
              <w:rPr>
                <w:rFonts w:eastAsia="宋体"/>
                <w:b/>
                <w:bCs/>
                <w:snapToGrid w:val="0"/>
                <w:color w:val="000000" w:themeColor="text1"/>
                <w14:textFill>
                  <w14:solidFill>
                    <w14:schemeClr w14:val="tx1"/>
                  </w14:solidFill>
                </w14:textFill>
              </w:rPr>
            </w:pPr>
          </w:p>
          <w:p w14:paraId="729C324C">
            <w:pPr>
              <w:adjustRightInd w:val="0"/>
              <w:snapToGrid w:val="0"/>
              <w:ind w:firstLine="723" w:firstLineChars="300"/>
              <w:jc w:val="left"/>
              <w:rPr>
                <w:rFonts w:eastAsia="宋体"/>
                <w:b/>
                <w:bCs/>
                <w:snapToGrid w:val="0"/>
                <w:color w:val="000000" w:themeColor="text1"/>
                <w14:textFill>
                  <w14:solidFill>
                    <w14:schemeClr w14:val="tx1"/>
                  </w14:solidFill>
                </w14:textFill>
              </w:rPr>
            </w:pPr>
          </w:p>
          <w:p w14:paraId="174C4A61">
            <w:pPr>
              <w:adjustRightInd w:val="0"/>
              <w:snapToGrid w:val="0"/>
              <w:ind w:firstLine="723" w:firstLineChars="300"/>
              <w:jc w:val="left"/>
              <w:rPr>
                <w:rFonts w:eastAsia="宋体"/>
                <w:b/>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表3-4</w:t>
            </w:r>
            <w:r>
              <w:rPr>
                <w:rFonts w:eastAsia="宋体"/>
                <w:b/>
                <w:snapToGrid w:val="0"/>
                <w:color w:val="000000" w:themeColor="text1"/>
                <w14:textFill>
                  <w14:solidFill>
                    <w14:schemeClr w14:val="tx1"/>
                  </w14:solidFill>
                </w14:textFill>
              </w:rPr>
              <w:t xml:space="preserve">               环境保护</w:t>
            </w:r>
            <w:r>
              <w:rPr>
                <w:rFonts w:eastAsia="宋体"/>
                <w:b/>
                <w:color w:val="000000" w:themeColor="text1"/>
                <w14:textFill>
                  <w14:solidFill>
                    <w14:schemeClr w14:val="tx1"/>
                  </w14:solidFill>
                </w14:textFill>
              </w:rPr>
              <w:t>目标一览表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638"/>
              <w:gridCol w:w="1435"/>
              <w:gridCol w:w="1330"/>
              <w:gridCol w:w="632"/>
              <w:gridCol w:w="637"/>
              <w:gridCol w:w="2388"/>
              <w:gridCol w:w="635"/>
              <w:gridCol w:w="837"/>
            </w:tblGrid>
            <w:tr w14:paraId="24024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30" w:type="pct"/>
                  <w:vMerge w:val="restart"/>
                  <w:tcBorders>
                    <w:tl2br w:val="nil"/>
                    <w:tr2bl w:val="nil"/>
                  </w:tcBorders>
                  <w:vAlign w:val="center"/>
                </w:tcPr>
                <w:p w14:paraId="64CE229C">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环境要素</w:t>
                  </w:r>
                </w:p>
              </w:tc>
              <w:tc>
                <w:tcPr>
                  <w:tcW w:w="1286" w:type="pct"/>
                  <w:gridSpan w:val="2"/>
                  <w:tcBorders>
                    <w:tl2br w:val="nil"/>
                    <w:tr2bl w:val="nil"/>
                  </w:tcBorders>
                  <w:vAlign w:val="center"/>
                </w:tcPr>
                <w:p w14:paraId="53129D6D">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坐标</w:t>
                  </w:r>
                </w:p>
              </w:tc>
              <w:tc>
                <w:tcPr>
                  <w:tcW w:w="426" w:type="pct"/>
                  <w:vMerge w:val="restart"/>
                  <w:tcBorders>
                    <w:tl2br w:val="nil"/>
                    <w:tr2bl w:val="nil"/>
                  </w:tcBorders>
                  <w:vAlign w:val="center"/>
                </w:tcPr>
                <w:p w14:paraId="0C2E47E0">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保护对象</w:t>
                  </w:r>
                </w:p>
              </w:tc>
              <w:tc>
                <w:tcPr>
                  <w:tcW w:w="429" w:type="pct"/>
                  <w:vMerge w:val="restart"/>
                  <w:tcBorders>
                    <w:tl2br w:val="nil"/>
                    <w:tr2bl w:val="nil"/>
                  </w:tcBorders>
                  <w:vAlign w:val="center"/>
                </w:tcPr>
                <w:p w14:paraId="668817B7">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保护内容</w:t>
                  </w:r>
                </w:p>
              </w:tc>
              <w:tc>
                <w:tcPr>
                  <w:tcW w:w="1455" w:type="pct"/>
                  <w:vMerge w:val="restart"/>
                  <w:tcBorders>
                    <w:tl2br w:val="nil"/>
                    <w:tr2bl w:val="nil"/>
                  </w:tcBorders>
                  <w:vAlign w:val="center"/>
                </w:tcPr>
                <w:p w14:paraId="0E02C24B">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环境功能区</w:t>
                  </w:r>
                </w:p>
              </w:tc>
              <w:tc>
                <w:tcPr>
                  <w:tcW w:w="428" w:type="pct"/>
                  <w:vMerge w:val="restart"/>
                  <w:tcBorders>
                    <w:tl2br w:val="nil"/>
                    <w:tr2bl w:val="nil"/>
                  </w:tcBorders>
                  <w:vAlign w:val="center"/>
                </w:tcPr>
                <w:p w14:paraId="1AE45F8F">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相对厂址方位</w:t>
                  </w:r>
                </w:p>
              </w:tc>
              <w:tc>
                <w:tcPr>
                  <w:tcW w:w="547" w:type="pct"/>
                  <w:vMerge w:val="restart"/>
                  <w:tcBorders>
                    <w:tl2br w:val="nil"/>
                    <w:tr2bl w:val="nil"/>
                  </w:tcBorders>
                  <w:vAlign w:val="center"/>
                </w:tcPr>
                <w:p w14:paraId="4632C026">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相对厂址距离/m</w:t>
                  </w:r>
                </w:p>
              </w:tc>
            </w:tr>
            <w:tr w14:paraId="6D6AD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30" w:type="pct"/>
                  <w:vMerge w:val="continue"/>
                  <w:tcBorders>
                    <w:tl2br w:val="nil"/>
                    <w:tr2bl w:val="nil"/>
                  </w:tcBorders>
                  <w:vAlign w:val="center"/>
                </w:tcPr>
                <w:p w14:paraId="07142B01">
                  <w:pPr>
                    <w:adjustRightInd w:val="0"/>
                    <w:snapToGrid w:val="0"/>
                    <w:jc w:val="center"/>
                    <w:rPr>
                      <w:rFonts w:eastAsia="宋体"/>
                      <w:b/>
                      <w:bCs/>
                      <w:color w:val="000000" w:themeColor="text1"/>
                      <w:sz w:val="21"/>
                      <w:szCs w:val="21"/>
                      <w14:textFill>
                        <w14:solidFill>
                          <w14:schemeClr w14:val="tx1"/>
                        </w14:solidFill>
                      </w14:textFill>
                    </w:rPr>
                  </w:pPr>
                </w:p>
              </w:tc>
              <w:tc>
                <w:tcPr>
                  <w:tcW w:w="686" w:type="pct"/>
                  <w:tcBorders>
                    <w:tl2br w:val="nil"/>
                    <w:tr2bl w:val="nil"/>
                  </w:tcBorders>
                  <w:vAlign w:val="center"/>
                </w:tcPr>
                <w:p w14:paraId="2BC284C1">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经度</w:t>
                  </w:r>
                </w:p>
              </w:tc>
              <w:tc>
                <w:tcPr>
                  <w:tcW w:w="600" w:type="pct"/>
                  <w:tcBorders>
                    <w:tl2br w:val="nil"/>
                    <w:tr2bl w:val="nil"/>
                  </w:tcBorders>
                  <w:vAlign w:val="center"/>
                </w:tcPr>
                <w:p w14:paraId="606BAD36">
                  <w:pPr>
                    <w:adjustRightInd w:val="0"/>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纬度</w:t>
                  </w:r>
                </w:p>
              </w:tc>
              <w:tc>
                <w:tcPr>
                  <w:tcW w:w="426" w:type="pct"/>
                  <w:vMerge w:val="continue"/>
                  <w:tcBorders>
                    <w:tl2br w:val="nil"/>
                    <w:tr2bl w:val="nil"/>
                  </w:tcBorders>
                  <w:vAlign w:val="center"/>
                </w:tcPr>
                <w:p w14:paraId="1DE0ED4D">
                  <w:pPr>
                    <w:adjustRightInd w:val="0"/>
                    <w:snapToGrid w:val="0"/>
                    <w:jc w:val="center"/>
                    <w:rPr>
                      <w:rFonts w:eastAsia="宋体"/>
                      <w:b/>
                      <w:bCs/>
                      <w:color w:val="000000" w:themeColor="text1"/>
                      <w:sz w:val="21"/>
                      <w:szCs w:val="21"/>
                      <w14:textFill>
                        <w14:solidFill>
                          <w14:schemeClr w14:val="tx1"/>
                        </w14:solidFill>
                      </w14:textFill>
                    </w:rPr>
                  </w:pPr>
                </w:p>
              </w:tc>
              <w:tc>
                <w:tcPr>
                  <w:tcW w:w="429" w:type="pct"/>
                  <w:vMerge w:val="continue"/>
                  <w:tcBorders>
                    <w:tl2br w:val="nil"/>
                    <w:tr2bl w:val="nil"/>
                  </w:tcBorders>
                  <w:vAlign w:val="center"/>
                </w:tcPr>
                <w:p w14:paraId="58FC600A">
                  <w:pPr>
                    <w:adjustRightInd w:val="0"/>
                    <w:snapToGrid w:val="0"/>
                    <w:jc w:val="center"/>
                    <w:rPr>
                      <w:rFonts w:eastAsia="宋体"/>
                      <w:b/>
                      <w:bCs/>
                      <w:color w:val="000000" w:themeColor="text1"/>
                      <w:sz w:val="21"/>
                      <w:szCs w:val="21"/>
                      <w14:textFill>
                        <w14:solidFill>
                          <w14:schemeClr w14:val="tx1"/>
                        </w14:solidFill>
                      </w14:textFill>
                    </w:rPr>
                  </w:pPr>
                </w:p>
              </w:tc>
              <w:tc>
                <w:tcPr>
                  <w:tcW w:w="1455" w:type="pct"/>
                  <w:vMerge w:val="continue"/>
                  <w:tcBorders>
                    <w:tl2br w:val="nil"/>
                    <w:tr2bl w:val="nil"/>
                  </w:tcBorders>
                  <w:vAlign w:val="center"/>
                </w:tcPr>
                <w:p w14:paraId="64FD3AE5">
                  <w:pPr>
                    <w:adjustRightInd w:val="0"/>
                    <w:snapToGrid w:val="0"/>
                    <w:jc w:val="center"/>
                    <w:rPr>
                      <w:rFonts w:eastAsia="宋体"/>
                      <w:b/>
                      <w:bCs/>
                      <w:color w:val="000000" w:themeColor="text1"/>
                      <w:sz w:val="21"/>
                      <w:szCs w:val="21"/>
                      <w14:textFill>
                        <w14:solidFill>
                          <w14:schemeClr w14:val="tx1"/>
                        </w14:solidFill>
                      </w14:textFill>
                    </w:rPr>
                  </w:pPr>
                </w:p>
              </w:tc>
              <w:tc>
                <w:tcPr>
                  <w:tcW w:w="428" w:type="pct"/>
                  <w:vMerge w:val="continue"/>
                  <w:tcBorders>
                    <w:tl2br w:val="nil"/>
                    <w:tr2bl w:val="nil"/>
                  </w:tcBorders>
                  <w:vAlign w:val="center"/>
                </w:tcPr>
                <w:p w14:paraId="61C9462C">
                  <w:pPr>
                    <w:adjustRightInd w:val="0"/>
                    <w:snapToGrid w:val="0"/>
                    <w:jc w:val="center"/>
                    <w:rPr>
                      <w:rFonts w:eastAsia="宋体"/>
                      <w:b/>
                      <w:bCs/>
                      <w:color w:val="000000" w:themeColor="text1"/>
                      <w:sz w:val="21"/>
                      <w:szCs w:val="21"/>
                      <w14:textFill>
                        <w14:solidFill>
                          <w14:schemeClr w14:val="tx1"/>
                        </w14:solidFill>
                      </w14:textFill>
                    </w:rPr>
                  </w:pPr>
                </w:p>
              </w:tc>
              <w:tc>
                <w:tcPr>
                  <w:tcW w:w="547" w:type="pct"/>
                  <w:vMerge w:val="continue"/>
                  <w:tcBorders>
                    <w:tl2br w:val="nil"/>
                    <w:tr2bl w:val="nil"/>
                  </w:tcBorders>
                  <w:vAlign w:val="center"/>
                </w:tcPr>
                <w:p w14:paraId="0195DDCE">
                  <w:pPr>
                    <w:adjustRightInd w:val="0"/>
                    <w:snapToGrid w:val="0"/>
                    <w:jc w:val="center"/>
                    <w:rPr>
                      <w:rFonts w:eastAsia="宋体"/>
                      <w:b/>
                      <w:bCs/>
                      <w:color w:val="000000" w:themeColor="text1"/>
                      <w:sz w:val="21"/>
                      <w:szCs w:val="21"/>
                      <w14:textFill>
                        <w14:solidFill>
                          <w14:schemeClr w14:val="tx1"/>
                        </w14:solidFill>
                      </w14:textFill>
                    </w:rPr>
                  </w:pPr>
                </w:p>
              </w:tc>
            </w:tr>
            <w:tr w14:paraId="16A98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30" w:type="pct"/>
                  <w:tcBorders>
                    <w:tl2br w:val="nil"/>
                    <w:tr2bl w:val="nil"/>
                  </w:tcBorders>
                  <w:vAlign w:val="center"/>
                </w:tcPr>
                <w:p w14:paraId="36BFE57F">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环境空气</w:t>
                  </w:r>
                </w:p>
              </w:tc>
              <w:tc>
                <w:tcPr>
                  <w:tcW w:w="686" w:type="pct"/>
                  <w:tcBorders>
                    <w:tl2br w:val="nil"/>
                    <w:tr2bl w:val="nil"/>
                  </w:tcBorders>
                  <w:vAlign w:val="center"/>
                </w:tcPr>
                <w:p w14:paraId="7AD408C8">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106°36′44.612″</w:t>
                  </w:r>
                </w:p>
              </w:tc>
              <w:tc>
                <w:tcPr>
                  <w:tcW w:w="600" w:type="pct"/>
                  <w:tcBorders>
                    <w:tl2br w:val="nil"/>
                    <w:tr2bl w:val="nil"/>
                  </w:tcBorders>
                  <w:vAlign w:val="center"/>
                </w:tcPr>
                <w:p w14:paraId="3361E415">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36°10′10.172″</w:t>
                  </w:r>
                </w:p>
              </w:tc>
              <w:tc>
                <w:tcPr>
                  <w:tcW w:w="426" w:type="pct"/>
                  <w:tcBorders>
                    <w:tl2br w:val="nil"/>
                    <w:tr2bl w:val="nil"/>
                  </w:tcBorders>
                  <w:vAlign w:val="center"/>
                </w:tcPr>
                <w:p w14:paraId="4D77C42F">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北洼村</w:t>
                  </w:r>
                </w:p>
              </w:tc>
              <w:tc>
                <w:tcPr>
                  <w:tcW w:w="429" w:type="pct"/>
                  <w:tcBorders>
                    <w:tl2br w:val="nil"/>
                    <w:tr2bl w:val="nil"/>
                  </w:tcBorders>
                  <w:vAlign w:val="center"/>
                </w:tcPr>
                <w:p w14:paraId="06AE0EA7">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居住区，60人</w:t>
                  </w:r>
                </w:p>
              </w:tc>
              <w:tc>
                <w:tcPr>
                  <w:tcW w:w="1455" w:type="pct"/>
                  <w:tcBorders>
                    <w:tl2br w:val="nil"/>
                    <w:tr2bl w:val="nil"/>
                  </w:tcBorders>
                  <w:vAlign w:val="center"/>
                </w:tcPr>
                <w:p w14:paraId="5E74CC65">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《环境空气质量标准》（GB3095-2026）过度阶段浓度限值二级标准</w:t>
                  </w:r>
                </w:p>
              </w:tc>
              <w:tc>
                <w:tcPr>
                  <w:tcW w:w="428" w:type="pct"/>
                  <w:tcBorders>
                    <w:tl2br w:val="nil"/>
                    <w:tr2bl w:val="nil"/>
                  </w:tcBorders>
                  <w:vAlign w:val="center"/>
                </w:tcPr>
                <w:p w14:paraId="41D23394">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S</w:t>
                  </w:r>
                </w:p>
              </w:tc>
              <w:tc>
                <w:tcPr>
                  <w:tcW w:w="547" w:type="pct"/>
                  <w:tcBorders>
                    <w:tl2br w:val="nil"/>
                    <w:tr2bl w:val="nil"/>
                  </w:tcBorders>
                  <w:vAlign w:val="center"/>
                </w:tcPr>
                <w:p w14:paraId="38119C64">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125</w:t>
                  </w:r>
                </w:p>
              </w:tc>
            </w:tr>
          </w:tbl>
          <w:p w14:paraId="01270F76">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  </w:t>
            </w:r>
          </w:p>
        </w:tc>
      </w:tr>
      <w:tr w14:paraId="1051A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69" w:type="dxa"/>
            <w:tcMar>
              <w:left w:w="28" w:type="dxa"/>
              <w:right w:w="28" w:type="dxa"/>
            </w:tcMar>
            <w:vAlign w:val="center"/>
          </w:tcPr>
          <w:p w14:paraId="6384E423">
            <w:pPr>
              <w:adjustRightInd w:val="0"/>
              <w:snapToGrid w:val="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污染</w:t>
            </w:r>
          </w:p>
          <w:p w14:paraId="7C30F0BF">
            <w:pPr>
              <w:adjustRightInd w:val="0"/>
              <w:snapToGrid w:val="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物排</w:t>
            </w:r>
          </w:p>
          <w:p w14:paraId="7C90CE03">
            <w:pPr>
              <w:adjustRightInd w:val="0"/>
              <w:snapToGrid w:val="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放控</w:t>
            </w:r>
          </w:p>
          <w:p w14:paraId="5A3C4864">
            <w:pPr>
              <w:adjustRightInd w:val="0"/>
              <w:snapToGrid w:val="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制标</w:t>
            </w:r>
          </w:p>
          <w:p w14:paraId="55B2158B">
            <w:pPr>
              <w:adjustRightInd w:val="0"/>
              <w:snapToGrid w:val="0"/>
              <w:jc w:val="center"/>
              <w:rPr>
                <w:rFonts w:eastAsia="宋体"/>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准</w:t>
            </w:r>
          </w:p>
        </w:tc>
        <w:tc>
          <w:tcPr>
            <w:tcW w:w="8632" w:type="dxa"/>
            <w:vAlign w:val="center"/>
          </w:tcPr>
          <w:p w14:paraId="2BF160F2">
            <w:pPr>
              <w:adjustRightInd w:val="0"/>
              <w:snapToGrid w:val="0"/>
              <w:spacing w:line="360" w:lineRule="auto"/>
              <w:ind w:firstLine="482" w:firstLineChars="200"/>
              <w:rPr>
                <w:rFonts w:eastAsia="宋体"/>
                <w:color w:val="000000" w:themeColor="text1"/>
                <w14:textFill>
                  <w14:solidFill>
                    <w14:schemeClr w14:val="tx1"/>
                  </w14:solidFill>
                </w14:textFill>
              </w:rPr>
            </w:pPr>
            <w:r>
              <w:rPr>
                <w:rFonts w:eastAsia="宋体"/>
                <w:b/>
                <w:bCs/>
                <w:color w:val="000000" w:themeColor="text1"/>
                <w14:textFill>
                  <w14:solidFill>
                    <w14:schemeClr w14:val="tx1"/>
                  </w14:solidFill>
                </w14:textFill>
              </w:rPr>
              <w:t>1、大气污染物排放标准</w:t>
            </w:r>
          </w:p>
          <w:p w14:paraId="6620E985">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（1）项目施工期扬尘执行《大气污染物综合排放标准》（GB16297-1996）中的无组织排放监控浓度限值要求，具体标准见下表。</w:t>
            </w:r>
          </w:p>
          <w:p w14:paraId="17AB89B5">
            <w:pPr>
              <w:adjustRightInd w:val="0"/>
              <w:snapToGrid w:val="0"/>
              <w:ind w:firstLine="723" w:firstLineChars="3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表3-5           《大气污染物综合排放标准》（GB16297-1996）</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28" w:type="dxa"/>
                <w:left w:w="108" w:type="dxa"/>
                <w:bottom w:w="28" w:type="dxa"/>
                <w:right w:w="108" w:type="dxa"/>
              </w:tblCellMar>
            </w:tblPr>
            <w:tblGrid>
              <w:gridCol w:w="4307"/>
              <w:gridCol w:w="4225"/>
            </w:tblGrid>
            <w:tr w14:paraId="7A58F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2524" w:type="pct"/>
                  <w:tcBorders>
                    <w:tl2br w:val="nil"/>
                    <w:tr2bl w:val="nil"/>
                  </w:tcBorders>
                  <w:vAlign w:val="center"/>
                </w:tcPr>
                <w:p w14:paraId="2ACE97EE">
                  <w:pPr>
                    <w:adjustRightInd w:val="0"/>
                    <w:snapToGrid w:val="0"/>
                    <w:jc w:val="center"/>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污染物</w:t>
                  </w:r>
                </w:p>
              </w:tc>
              <w:tc>
                <w:tcPr>
                  <w:tcW w:w="2476" w:type="pct"/>
                  <w:tcBorders>
                    <w:tl2br w:val="nil"/>
                    <w:tr2bl w:val="nil"/>
                  </w:tcBorders>
                  <w:vAlign w:val="center"/>
                </w:tcPr>
                <w:p w14:paraId="52A7619F">
                  <w:pPr>
                    <w:adjustRightInd w:val="0"/>
                    <w:snapToGrid w:val="0"/>
                    <w:jc w:val="center"/>
                    <w:rPr>
                      <w:rFonts w:eastAsia="宋体"/>
                      <w:b/>
                      <w:color w:val="000000" w:themeColor="text1"/>
                      <w:sz w:val="21"/>
                      <w:szCs w:val="21"/>
                      <w14:textFill>
                        <w14:solidFill>
                          <w14:schemeClr w14:val="tx1"/>
                        </w14:solidFill>
                      </w14:textFill>
                    </w:rPr>
                  </w:pPr>
                  <w:r>
                    <w:rPr>
                      <w:rFonts w:eastAsia="宋体"/>
                      <w:b/>
                      <w:color w:val="000000" w:themeColor="text1"/>
                      <w:sz w:val="21"/>
                      <w:szCs w:val="21"/>
                      <w14:textFill>
                        <w14:solidFill>
                          <w14:schemeClr w14:val="tx1"/>
                        </w14:solidFill>
                      </w14:textFill>
                    </w:rPr>
                    <w:t>限值（</w:t>
                  </w:r>
                  <w:r>
                    <w:rPr>
                      <w:rFonts w:eastAsia="宋体"/>
                      <w:b/>
                      <w:bCs/>
                      <w:color w:val="000000" w:themeColor="text1"/>
                      <w:sz w:val="21"/>
                      <w:szCs w:val="21"/>
                      <w14:textFill>
                        <w14:solidFill>
                          <w14:schemeClr w14:val="tx1"/>
                        </w14:solidFill>
                      </w14:textFill>
                    </w:rPr>
                    <w:t>mg/m</w:t>
                  </w:r>
                  <w:r>
                    <w:rPr>
                      <w:rFonts w:eastAsia="宋体"/>
                      <w:b/>
                      <w:bCs/>
                      <w:color w:val="000000" w:themeColor="text1"/>
                      <w:sz w:val="21"/>
                      <w:szCs w:val="21"/>
                      <w:vertAlign w:val="superscript"/>
                      <w14:textFill>
                        <w14:solidFill>
                          <w14:schemeClr w14:val="tx1"/>
                        </w14:solidFill>
                      </w14:textFill>
                    </w:rPr>
                    <w:t>3</w:t>
                  </w:r>
                  <w:r>
                    <w:rPr>
                      <w:rFonts w:eastAsia="宋体"/>
                      <w:b/>
                      <w:color w:val="000000" w:themeColor="text1"/>
                      <w:sz w:val="21"/>
                      <w:szCs w:val="21"/>
                      <w14:textFill>
                        <w14:solidFill>
                          <w14:schemeClr w14:val="tx1"/>
                        </w14:solidFill>
                      </w14:textFill>
                    </w:rPr>
                    <w:t>）</w:t>
                  </w:r>
                </w:p>
              </w:tc>
            </w:tr>
            <w:tr w14:paraId="07EB2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108" w:type="dxa"/>
                  <w:bottom w:w="28" w:type="dxa"/>
                  <w:right w:w="108" w:type="dxa"/>
                </w:tblCellMar>
              </w:tblPrEx>
              <w:trPr>
                <w:trHeight w:val="340" w:hRule="atLeast"/>
                <w:jc w:val="center"/>
              </w:trPr>
              <w:tc>
                <w:tcPr>
                  <w:tcW w:w="2524" w:type="pct"/>
                  <w:tcBorders>
                    <w:tl2br w:val="nil"/>
                    <w:tr2bl w:val="nil"/>
                  </w:tcBorders>
                  <w:vAlign w:val="center"/>
                </w:tcPr>
                <w:p w14:paraId="42940BF1">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2476" w:type="pct"/>
                  <w:tcBorders>
                    <w:tl2br w:val="nil"/>
                    <w:tr2bl w:val="nil"/>
                  </w:tcBorders>
                  <w:vAlign w:val="center"/>
                </w:tcPr>
                <w:p w14:paraId="449AF664">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w:t>
                  </w:r>
                </w:p>
              </w:tc>
            </w:tr>
          </w:tbl>
          <w:p w14:paraId="0E4956F3">
            <w:pPr>
              <w:pStyle w:val="158"/>
              <w:spacing w:line="360" w:lineRule="auto"/>
              <w:ind w:firstLine="480" w:firstLineChars="200"/>
              <w:jc w:val="both"/>
              <w:rPr>
                <w:rFonts w:eastAsia="宋体"/>
                <w:b w:val="0"/>
                <w:color w:val="000000" w:themeColor="text1"/>
                <w:sz w:val="24"/>
                <w14:textFill>
                  <w14:solidFill>
                    <w14:schemeClr w14:val="tx1"/>
                  </w14:solidFill>
                </w14:textFill>
              </w:rPr>
            </w:pPr>
            <w:r>
              <w:rPr>
                <w:rFonts w:eastAsia="宋体"/>
                <w:b w:val="0"/>
                <w:color w:val="000000" w:themeColor="text1"/>
                <w:sz w:val="24"/>
                <w14:textFill>
                  <w14:solidFill>
                    <w14:schemeClr w14:val="tx1"/>
                  </w14:solidFill>
                </w14:textFill>
              </w:rPr>
              <w:t>（2）本项目运营期石灰石生产线（DA003）排气筒颗粒物执行《石灰、电石工业大气污染物排放标准》（GB41618-2022）中石灰制品生产大气排放标准限值。建筑垃圾生产线（DA004）执行《大气污染物综合排放标准》（GB16297-1996）表2二级标准。厂界无组织颗粒物执行《大气污染物综合排放标准》（GB16297-1996）无组织排放监控限值。</w:t>
            </w:r>
          </w:p>
          <w:p w14:paraId="0455DB30">
            <w:pPr>
              <w:ind w:firstLine="482" w:firstLineChars="200"/>
              <w:rPr>
                <w:rFonts w:eastAsia="宋体"/>
                <w:color w:val="000000" w:themeColor="text1"/>
                <w:kern w:val="0"/>
                <w:lang w:bidi="ar"/>
                <w14:textFill>
                  <w14:solidFill>
                    <w14:schemeClr w14:val="tx1"/>
                  </w14:solidFill>
                </w14:textFill>
              </w:rPr>
            </w:pPr>
            <w:r>
              <w:rPr>
                <w:rFonts w:eastAsia="宋体"/>
                <w:b/>
                <w:bCs/>
                <w:color w:val="000000" w:themeColor="text1"/>
                <w:kern w:val="0"/>
                <w:lang w:bidi="ar"/>
                <w14:textFill>
                  <w14:solidFill>
                    <w14:schemeClr w14:val="tx1"/>
                  </w14:solidFill>
                </w14:textFill>
              </w:rPr>
              <w:t>表3-6    《石灰、电石工业大气污染物排放标准》（GB41618-2022）</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860"/>
              <w:gridCol w:w="4087"/>
              <w:gridCol w:w="2585"/>
            </w:tblGrid>
            <w:tr w14:paraId="2210A5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90" w:type="pct"/>
                  <w:vAlign w:val="center"/>
                </w:tcPr>
                <w:p w14:paraId="485D7712">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污染物</w:t>
                  </w:r>
                </w:p>
              </w:tc>
              <w:tc>
                <w:tcPr>
                  <w:tcW w:w="2395" w:type="pct"/>
                  <w:vAlign w:val="center"/>
                </w:tcPr>
                <w:p w14:paraId="44ADCC19">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有组织最高允许排放浓度(mg/m</w:t>
                  </w:r>
                  <w:r>
                    <w:rPr>
                      <w:rFonts w:eastAsia="宋体"/>
                      <w:b/>
                      <w:bCs/>
                      <w:color w:val="000000" w:themeColor="text1"/>
                      <w:sz w:val="21"/>
                      <w:szCs w:val="21"/>
                      <w:vertAlign w:val="superscript"/>
                      <w14:textFill>
                        <w14:solidFill>
                          <w14:schemeClr w14:val="tx1"/>
                        </w14:solidFill>
                      </w14:textFill>
                    </w:rPr>
                    <w:t>3</w:t>
                  </w:r>
                  <w:r>
                    <w:rPr>
                      <w:rFonts w:eastAsia="宋体"/>
                      <w:b/>
                      <w:bCs/>
                      <w:color w:val="000000" w:themeColor="text1"/>
                      <w:sz w:val="21"/>
                      <w:szCs w:val="21"/>
                      <w14:textFill>
                        <w14:solidFill>
                          <w14:schemeClr w14:val="tx1"/>
                        </w14:solidFill>
                      </w14:textFill>
                    </w:rPr>
                    <w:t>)</w:t>
                  </w:r>
                </w:p>
              </w:tc>
              <w:tc>
                <w:tcPr>
                  <w:tcW w:w="1515" w:type="pct"/>
                  <w:vAlign w:val="center"/>
                </w:tcPr>
                <w:p w14:paraId="5A7BBDC3">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排气筒高度</w:t>
                  </w:r>
                </w:p>
              </w:tc>
            </w:tr>
            <w:tr w14:paraId="5539F9F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090" w:type="pct"/>
                  <w:vAlign w:val="center"/>
                </w:tcPr>
                <w:p w14:paraId="604DCD56">
                  <w:pPr>
                    <w:snapToGrid w:val="0"/>
                    <w:jc w:val="center"/>
                    <w:rPr>
                      <w:rFonts w:eastAsia="宋体"/>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颗粒物</w:t>
                  </w:r>
                </w:p>
              </w:tc>
              <w:tc>
                <w:tcPr>
                  <w:tcW w:w="2395" w:type="pct"/>
                  <w:vAlign w:val="center"/>
                </w:tcPr>
                <w:p w14:paraId="23CB58ED">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20</w:t>
                  </w:r>
                </w:p>
              </w:tc>
              <w:tc>
                <w:tcPr>
                  <w:tcW w:w="1515" w:type="pct"/>
                  <w:vAlign w:val="center"/>
                </w:tcPr>
                <w:p w14:paraId="07E0DB86">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不低于15m</w:t>
                  </w:r>
                </w:p>
              </w:tc>
            </w:tr>
          </w:tbl>
          <w:p w14:paraId="4D111096">
            <w:pPr>
              <w:spacing w:before="120" w:beforeLines="50"/>
              <w:ind w:firstLine="482" w:firstLineChars="200"/>
              <w:rPr>
                <w:rFonts w:eastAsia="宋体"/>
                <w:color w:val="000000" w:themeColor="text1"/>
                <w:kern w:val="0"/>
                <w:lang w:bidi="ar"/>
                <w14:textFill>
                  <w14:solidFill>
                    <w14:schemeClr w14:val="tx1"/>
                  </w14:solidFill>
                </w14:textFill>
              </w:rPr>
            </w:pPr>
            <w:r>
              <w:rPr>
                <w:rFonts w:eastAsia="宋体"/>
                <w:b/>
                <w:bCs/>
                <w:color w:val="000000" w:themeColor="text1"/>
                <w:kern w:val="0"/>
                <w:lang w:bidi="ar"/>
                <w14:textFill>
                  <w14:solidFill>
                    <w14:schemeClr w14:val="tx1"/>
                  </w14:solidFill>
                </w14:textFill>
              </w:rPr>
              <w:t>表3-7        《大气污染物综合排放标准》（GB16297-1996）</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235"/>
              <w:gridCol w:w="1672"/>
              <w:gridCol w:w="1565"/>
              <w:gridCol w:w="1196"/>
              <w:gridCol w:w="1401"/>
              <w:gridCol w:w="1463"/>
            </w:tblGrid>
            <w:tr w14:paraId="710A28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4" w:type="pct"/>
                  <w:vMerge w:val="restart"/>
                  <w:vAlign w:val="center"/>
                </w:tcPr>
                <w:p w14:paraId="22B638A4">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污染物</w:t>
                  </w:r>
                </w:p>
              </w:tc>
              <w:tc>
                <w:tcPr>
                  <w:tcW w:w="980" w:type="pct"/>
                  <w:vMerge w:val="restart"/>
                  <w:vAlign w:val="center"/>
                </w:tcPr>
                <w:p w14:paraId="43A79F81">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最高允许排放浓度(mg/m</w:t>
                  </w:r>
                  <w:r>
                    <w:rPr>
                      <w:rFonts w:eastAsia="宋体"/>
                      <w:b/>
                      <w:bCs/>
                      <w:color w:val="000000" w:themeColor="text1"/>
                      <w:sz w:val="21"/>
                      <w:szCs w:val="21"/>
                      <w:vertAlign w:val="superscript"/>
                      <w14:textFill>
                        <w14:solidFill>
                          <w14:schemeClr w14:val="tx1"/>
                        </w14:solidFill>
                      </w14:textFill>
                    </w:rPr>
                    <w:t>3</w:t>
                  </w:r>
                  <w:r>
                    <w:rPr>
                      <w:rFonts w:eastAsia="宋体"/>
                      <w:b/>
                      <w:bCs/>
                      <w:color w:val="000000" w:themeColor="text1"/>
                      <w:sz w:val="21"/>
                      <w:szCs w:val="21"/>
                      <w14:textFill>
                        <w14:solidFill>
                          <w14:schemeClr w14:val="tx1"/>
                        </w14:solidFill>
                      </w14:textFill>
                    </w:rPr>
                    <w:t>)</w:t>
                  </w:r>
                </w:p>
              </w:tc>
              <w:tc>
                <w:tcPr>
                  <w:tcW w:w="1618" w:type="pct"/>
                  <w:gridSpan w:val="2"/>
                  <w:vAlign w:val="center"/>
                </w:tcPr>
                <w:p w14:paraId="109EECFC">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最高允许排放速率(kg/h)</w:t>
                  </w:r>
                </w:p>
              </w:tc>
              <w:tc>
                <w:tcPr>
                  <w:tcW w:w="1678" w:type="pct"/>
                  <w:gridSpan w:val="2"/>
                  <w:vAlign w:val="center"/>
                </w:tcPr>
                <w:p w14:paraId="3BF64036">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无组织排放监控浓度限值</w:t>
                  </w:r>
                </w:p>
              </w:tc>
            </w:tr>
            <w:tr w14:paraId="5E482A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4" w:type="pct"/>
                  <w:vMerge w:val="continue"/>
                  <w:vAlign w:val="center"/>
                </w:tcPr>
                <w:p w14:paraId="2DB0D758">
                  <w:pPr>
                    <w:snapToGrid w:val="0"/>
                    <w:jc w:val="center"/>
                    <w:rPr>
                      <w:rFonts w:eastAsia="宋体"/>
                      <w:b/>
                      <w:bCs/>
                      <w:color w:val="000000" w:themeColor="text1"/>
                      <w:sz w:val="21"/>
                      <w:szCs w:val="21"/>
                      <w14:textFill>
                        <w14:solidFill>
                          <w14:schemeClr w14:val="tx1"/>
                        </w14:solidFill>
                      </w14:textFill>
                    </w:rPr>
                  </w:pPr>
                </w:p>
              </w:tc>
              <w:tc>
                <w:tcPr>
                  <w:tcW w:w="980" w:type="pct"/>
                  <w:vMerge w:val="continue"/>
                  <w:vAlign w:val="center"/>
                </w:tcPr>
                <w:p w14:paraId="74420E7A">
                  <w:pPr>
                    <w:snapToGrid w:val="0"/>
                    <w:jc w:val="center"/>
                    <w:rPr>
                      <w:rFonts w:eastAsia="宋体"/>
                      <w:b/>
                      <w:bCs/>
                      <w:color w:val="000000" w:themeColor="text1"/>
                      <w:sz w:val="21"/>
                      <w:szCs w:val="21"/>
                      <w14:textFill>
                        <w14:solidFill>
                          <w14:schemeClr w14:val="tx1"/>
                        </w14:solidFill>
                      </w14:textFill>
                    </w:rPr>
                  </w:pPr>
                </w:p>
              </w:tc>
              <w:tc>
                <w:tcPr>
                  <w:tcW w:w="917" w:type="pct"/>
                  <w:vAlign w:val="center"/>
                </w:tcPr>
                <w:p w14:paraId="2532516A">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排气筒</w:t>
                  </w:r>
                </w:p>
              </w:tc>
              <w:tc>
                <w:tcPr>
                  <w:tcW w:w="701" w:type="pct"/>
                  <w:vAlign w:val="center"/>
                </w:tcPr>
                <w:p w14:paraId="166A02FD">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二级</w:t>
                  </w:r>
                </w:p>
              </w:tc>
              <w:tc>
                <w:tcPr>
                  <w:tcW w:w="821" w:type="pct"/>
                  <w:vAlign w:val="center"/>
                </w:tcPr>
                <w:p w14:paraId="7C014F37">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监控点</w:t>
                  </w:r>
                </w:p>
              </w:tc>
              <w:tc>
                <w:tcPr>
                  <w:tcW w:w="857" w:type="pct"/>
                  <w:vAlign w:val="center"/>
                </w:tcPr>
                <w:p w14:paraId="5948F0BB">
                  <w:pPr>
                    <w:snapToGrid w:val="0"/>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浓度(mg/m</w:t>
                  </w:r>
                  <w:r>
                    <w:rPr>
                      <w:rFonts w:eastAsia="宋体"/>
                      <w:b/>
                      <w:bCs/>
                      <w:color w:val="000000" w:themeColor="text1"/>
                      <w:sz w:val="21"/>
                      <w:szCs w:val="21"/>
                      <w:vertAlign w:val="superscript"/>
                      <w14:textFill>
                        <w14:solidFill>
                          <w14:schemeClr w14:val="tx1"/>
                        </w14:solidFill>
                      </w14:textFill>
                    </w:rPr>
                    <w:t>3</w:t>
                  </w:r>
                  <w:r>
                    <w:rPr>
                      <w:rFonts w:eastAsia="宋体"/>
                      <w:b/>
                      <w:bCs/>
                      <w:color w:val="000000" w:themeColor="text1"/>
                      <w:sz w:val="21"/>
                      <w:szCs w:val="21"/>
                      <w14:textFill>
                        <w14:solidFill>
                          <w14:schemeClr w14:val="tx1"/>
                        </w14:solidFill>
                      </w14:textFill>
                    </w:rPr>
                    <w:t>)</w:t>
                  </w:r>
                </w:p>
              </w:tc>
            </w:tr>
            <w:tr w14:paraId="63A365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724" w:type="pct"/>
                  <w:vAlign w:val="center"/>
                </w:tcPr>
                <w:p w14:paraId="1197024E">
                  <w:pPr>
                    <w:snapToGrid w:val="0"/>
                    <w:jc w:val="center"/>
                    <w:rPr>
                      <w:rFonts w:eastAsia="宋体"/>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颗粒物</w:t>
                  </w:r>
                </w:p>
              </w:tc>
              <w:tc>
                <w:tcPr>
                  <w:tcW w:w="980" w:type="pct"/>
                  <w:vAlign w:val="center"/>
                </w:tcPr>
                <w:p w14:paraId="69403231">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120</w:t>
                  </w:r>
                </w:p>
              </w:tc>
              <w:tc>
                <w:tcPr>
                  <w:tcW w:w="917" w:type="pct"/>
                  <w:vAlign w:val="center"/>
                </w:tcPr>
                <w:p w14:paraId="5ED2630E">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15</w:t>
                  </w:r>
                </w:p>
              </w:tc>
              <w:tc>
                <w:tcPr>
                  <w:tcW w:w="701" w:type="pct"/>
                  <w:vAlign w:val="center"/>
                </w:tcPr>
                <w:p w14:paraId="482F0772">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3.5</w:t>
                  </w:r>
                </w:p>
              </w:tc>
              <w:tc>
                <w:tcPr>
                  <w:tcW w:w="821" w:type="pct"/>
                  <w:vAlign w:val="center"/>
                </w:tcPr>
                <w:p w14:paraId="4F3D87D1">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周界外浓度最高点</w:t>
                  </w:r>
                </w:p>
              </w:tc>
              <w:tc>
                <w:tcPr>
                  <w:tcW w:w="857" w:type="pct"/>
                  <w:vAlign w:val="center"/>
                </w:tcPr>
                <w:p w14:paraId="069029E2">
                  <w:pPr>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w:t>
                  </w:r>
                </w:p>
              </w:tc>
            </w:tr>
          </w:tbl>
          <w:p w14:paraId="1C6676AD">
            <w:pPr>
              <w:adjustRightInd w:val="0"/>
              <w:snapToGrid w:val="0"/>
              <w:spacing w:before="120" w:beforeLines="50" w:line="360" w:lineRule="auto"/>
              <w:ind w:firstLine="482" w:firstLineChars="200"/>
              <w:rPr>
                <w:rFonts w:eastAsia="宋体"/>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3、</w:t>
            </w:r>
            <w:r>
              <w:rPr>
                <w:rFonts w:eastAsia="宋体"/>
                <w:b/>
                <w:color w:val="000000" w:themeColor="text1"/>
                <w14:textFill>
                  <w14:solidFill>
                    <w14:schemeClr w14:val="tx1"/>
                  </w14:solidFill>
                </w14:textFill>
              </w:rPr>
              <w:t>噪声排放标准</w:t>
            </w:r>
          </w:p>
          <w:p w14:paraId="21E37901">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施工期场界噪声执行《建筑施工噪声排放标准》（GB12523-2025）中相应的标准值，见下表。</w:t>
            </w:r>
          </w:p>
          <w:p w14:paraId="2EA5F102">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表3-8          建筑施工场界噪声排放标准一览表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2858"/>
              <w:gridCol w:w="1463"/>
              <w:gridCol w:w="1417"/>
            </w:tblGrid>
            <w:tr w14:paraId="28CA4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vMerge w:val="restart"/>
                  <w:tcBorders>
                    <w:tl2br w:val="nil"/>
                    <w:tr2bl w:val="nil"/>
                  </w:tcBorders>
                  <w:shd w:val="clear" w:color="auto" w:fill="auto"/>
                  <w:vAlign w:val="center"/>
                </w:tcPr>
                <w:p w14:paraId="2F1BA4CE">
                  <w:pPr>
                    <w:widowControl/>
                    <w:jc w:val="center"/>
                    <w:rPr>
                      <w:rFonts w:eastAsia="宋体"/>
                      <w:b/>
                      <w:bCs/>
                      <w:color w:val="000000" w:themeColor="text1"/>
                      <w:kern w:val="0"/>
                      <w:sz w:val="21"/>
                      <w:szCs w:val="21"/>
                      <w:lang w:bidi="ar"/>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污染物</w:t>
                  </w:r>
                </w:p>
              </w:tc>
              <w:tc>
                <w:tcPr>
                  <w:tcW w:w="1830" w:type="dxa"/>
                  <w:vMerge w:val="restart"/>
                  <w:tcBorders>
                    <w:tl2br w:val="nil"/>
                    <w:tr2bl w:val="nil"/>
                  </w:tcBorders>
                  <w:shd w:val="clear" w:color="auto" w:fill="auto"/>
                  <w:vAlign w:val="center"/>
                </w:tcPr>
                <w:p w14:paraId="528E4CD3">
                  <w:pPr>
                    <w:widowControl/>
                    <w:jc w:val="center"/>
                    <w:rPr>
                      <w:rFonts w:eastAsia="宋体"/>
                      <w:b/>
                      <w:bCs/>
                      <w:color w:val="000000" w:themeColor="text1"/>
                      <w:kern w:val="0"/>
                      <w:sz w:val="21"/>
                      <w:szCs w:val="21"/>
                      <w:lang w:bidi="ar"/>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污染因子</w:t>
                  </w:r>
                </w:p>
              </w:tc>
              <w:tc>
                <w:tcPr>
                  <w:tcW w:w="1844" w:type="dxa"/>
                  <w:gridSpan w:val="2"/>
                  <w:tcBorders>
                    <w:tl2br w:val="nil"/>
                    <w:tr2bl w:val="nil"/>
                  </w:tcBorders>
                  <w:shd w:val="clear" w:color="auto" w:fill="auto"/>
                  <w:vAlign w:val="center"/>
                </w:tcPr>
                <w:p w14:paraId="38261A43">
                  <w:pPr>
                    <w:widowControl/>
                    <w:jc w:val="center"/>
                    <w:rPr>
                      <w:rFonts w:eastAsia="宋体"/>
                      <w:b/>
                      <w:bCs/>
                      <w:color w:val="000000" w:themeColor="text1"/>
                      <w:kern w:val="0"/>
                      <w:sz w:val="21"/>
                      <w:szCs w:val="21"/>
                      <w:lang w:bidi="ar"/>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标准值dB（A）</w:t>
                  </w:r>
                </w:p>
              </w:tc>
            </w:tr>
            <w:tr w14:paraId="192E7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vMerge w:val="continue"/>
                  <w:tcBorders>
                    <w:tl2br w:val="nil"/>
                    <w:tr2bl w:val="nil"/>
                  </w:tcBorders>
                  <w:shd w:val="clear" w:color="auto" w:fill="auto"/>
                  <w:vAlign w:val="center"/>
                </w:tcPr>
                <w:p w14:paraId="740B8362">
                  <w:pPr>
                    <w:widowControl/>
                    <w:jc w:val="center"/>
                    <w:rPr>
                      <w:rFonts w:eastAsia="宋体"/>
                      <w:b/>
                      <w:bCs/>
                      <w:color w:val="000000" w:themeColor="text1"/>
                      <w:kern w:val="0"/>
                      <w:sz w:val="21"/>
                      <w:szCs w:val="21"/>
                      <w:lang w:bidi="ar"/>
                      <w14:textFill>
                        <w14:solidFill>
                          <w14:schemeClr w14:val="tx1"/>
                        </w14:solidFill>
                      </w14:textFill>
                    </w:rPr>
                  </w:pPr>
                </w:p>
              </w:tc>
              <w:tc>
                <w:tcPr>
                  <w:tcW w:w="1830" w:type="dxa"/>
                  <w:vMerge w:val="continue"/>
                  <w:tcBorders>
                    <w:tl2br w:val="nil"/>
                    <w:tr2bl w:val="nil"/>
                  </w:tcBorders>
                  <w:shd w:val="clear" w:color="auto" w:fill="auto"/>
                  <w:vAlign w:val="center"/>
                </w:tcPr>
                <w:p w14:paraId="78BC31AC">
                  <w:pPr>
                    <w:widowControl/>
                    <w:jc w:val="center"/>
                    <w:rPr>
                      <w:rFonts w:eastAsia="宋体"/>
                      <w:b/>
                      <w:bCs/>
                      <w:color w:val="000000" w:themeColor="text1"/>
                      <w:kern w:val="0"/>
                      <w:sz w:val="21"/>
                      <w:szCs w:val="21"/>
                      <w:lang w:bidi="ar"/>
                      <w14:textFill>
                        <w14:solidFill>
                          <w14:schemeClr w14:val="tx1"/>
                        </w14:solidFill>
                      </w14:textFill>
                    </w:rPr>
                  </w:pPr>
                </w:p>
              </w:tc>
              <w:tc>
                <w:tcPr>
                  <w:tcW w:w="937" w:type="dxa"/>
                  <w:tcBorders>
                    <w:tl2br w:val="nil"/>
                    <w:tr2bl w:val="nil"/>
                  </w:tcBorders>
                  <w:shd w:val="clear" w:color="auto" w:fill="auto"/>
                  <w:vAlign w:val="center"/>
                </w:tcPr>
                <w:p w14:paraId="66CA830D">
                  <w:pPr>
                    <w:widowControl/>
                    <w:jc w:val="center"/>
                    <w:rPr>
                      <w:rFonts w:eastAsia="宋体"/>
                      <w:b/>
                      <w:bCs/>
                      <w:color w:val="000000" w:themeColor="text1"/>
                      <w:kern w:val="0"/>
                      <w:sz w:val="21"/>
                      <w:szCs w:val="21"/>
                      <w:lang w:bidi="ar"/>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昼间</w:t>
                  </w:r>
                </w:p>
              </w:tc>
              <w:tc>
                <w:tcPr>
                  <w:tcW w:w="907" w:type="dxa"/>
                  <w:tcBorders>
                    <w:tl2br w:val="nil"/>
                    <w:tr2bl w:val="nil"/>
                  </w:tcBorders>
                  <w:shd w:val="clear" w:color="auto" w:fill="auto"/>
                  <w:vAlign w:val="center"/>
                </w:tcPr>
                <w:p w14:paraId="02127566">
                  <w:pPr>
                    <w:widowControl/>
                    <w:jc w:val="center"/>
                    <w:rPr>
                      <w:rFonts w:eastAsia="宋体"/>
                      <w:b/>
                      <w:bCs/>
                      <w:color w:val="000000" w:themeColor="text1"/>
                      <w:kern w:val="0"/>
                      <w:sz w:val="21"/>
                      <w:szCs w:val="21"/>
                      <w:lang w:bidi="ar"/>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夜间</w:t>
                  </w:r>
                </w:p>
              </w:tc>
            </w:tr>
            <w:tr w14:paraId="2C229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89" w:type="dxa"/>
                  <w:tcBorders>
                    <w:tl2br w:val="nil"/>
                    <w:tr2bl w:val="nil"/>
                  </w:tcBorders>
                  <w:shd w:val="clear" w:color="auto" w:fill="auto"/>
                  <w:vAlign w:val="center"/>
                </w:tcPr>
                <w:p w14:paraId="27AC7AEB">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运营期场界噪声</w:t>
                  </w:r>
                </w:p>
              </w:tc>
              <w:tc>
                <w:tcPr>
                  <w:tcW w:w="1830" w:type="dxa"/>
                  <w:tcBorders>
                    <w:tl2br w:val="nil"/>
                    <w:tr2bl w:val="nil"/>
                  </w:tcBorders>
                  <w:shd w:val="clear" w:color="auto" w:fill="auto"/>
                  <w:vAlign w:val="center"/>
                </w:tcPr>
                <w:p w14:paraId="1EF454AD">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等效连续A声级</w:t>
                  </w:r>
                </w:p>
              </w:tc>
              <w:tc>
                <w:tcPr>
                  <w:tcW w:w="937" w:type="dxa"/>
                  <w:tcBorders>
                    <w:tl2br w:val="nil"/>
                    <w:tr2bl w:val="nil"/>
                  </w:tcBorders>
                  <w:shd w:val="clear" w:color="auto" w:fill="auto"/>
                  <w:vAlign w:val="center"/>
                </w:tcPr>
                <w:p w14:paraId="1E613961">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70</w:t>
                  </w:r>
                </w:p>
              </w:tc>
              <w:tc>
                <w:tcPr>
                  <w:tcW w:w="907" w:type="dxa"/>
                  <w:tcBorders>
                    <w:tl2br w:val="nil"/>
                    <w:tr2bl w:val="nil"/>
                  </w:tcBorders>
                  <w:shd w:val="clear" w:color="auto" w:fill="auto"/>
                  <w:vAlign w:val="center"/>
                </w:tcPr>
                <w:p w14:paraId="12E3117D">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55</w:t>
                  </w:r>
                </w:p>
              </w:tc>
            </w:tr>
          </w:tbl>
          <w:p w14:paraId="45A0D233">
            <w:pPr>
              <w:pStyle w:val="158"/>
              <w:spacing w:line="360" w:lineRule="auto"/>
              <w:ind w:firstLine="480" w:firstLineChars="200"/>
              <w:jc w:val="both"/>
              <w:rPr>
                <w:rFonts w:eastAsia="宋体"/>
                <w:b w:val="0"/>
                <w:color w:val="000000" w:themeColor="text1"/>
                <w:sz w:val="24"/>
                <w14:textFill>
                  <w14:solidFill>
                    <w14:schemeClr w14:val="tx1"/>
                  </w14:solidFill>
                </w14:textFill>
              </w:rPr>
            </w:pPr>
            <w:r>
              <w:rPr>
                <w:rFonts w:eastAsia="宋体"/>
                <w:b w:val="0"/>
                <w:color w:val="000000" w:themeColor="text1"/>
                <w:sz w:val="24"/>
                <w14:textFill>
                  <w14:solidFill>
                    <w14:schemeClr w14:val="tx1"/>
                  </w14:solidFill>
                </w14:textFill>
              </w:rPr>
              <w:t>运营期噪声排放执行《工业企业厂界环境噪声排放标准》（GB12348-2008）2类标准。具体标准详见下表:</w:t>
            </w:r>
          </w:p>
          <w:p w14:paraId="45ACC226">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表3-9       《工业企业厂界环境噪声排放标准》（GB12348-2008）</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367"/>
              <w:gridCol w:w="1986"/>
              <w:gridCol w:w="2179"/>
            </w:tblGrid>
            <w:tr w14:paraId="6B9BE1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2559" w:type="pct"/>
                  <w:vAlign w:val="center"/>
                </w:tcPr>
                <w:p w14:paraId="0FA0FA8F">
                  <w:pPr>
                    <w:pStyle w:val="158"/>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边界处声环境功能区类型</w:t>
                  </w:r>
                </w:p>
              </w:tc>
              <w:tc>
                <w:tcPr>
                  <w:tcW w:w="1164" w:type="pct"/>
                  <w:vAlign w:val="center"/>
                </w:tcPr>
                <w:p w14:paraId="2DB8EFC1">
                  <w:pPr>
                    <w:pStyle w:val="158"/>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昼间</w:t>
                  </w:r>
                </w:p>
              </w:tc>
              <w:tc>
                <w:tcPr>
                  <w:tcW w:w="1277" w:type="pct"/>
                  <w:vAlign w:val="center"/>
                </w:tcPr>
                <w:p w14:paraId="2AD2949C">
                  <w:pPr>
                    <w:pStyle w:val="158"/>
                    <w:rPr>
                      <w:rFonts w:eastAsia="宋体"/>
                      <w:color w:val="000000" w:themeColor="text1"/>
                      <w:szCs w:val="21"/>
                      <w14:textFill>
                        <w14:solidFill>
                          <w14:schemeClr w14:val="tx1"/>
                        </w14:solidFill>
                      </w14:textFill>
                    </w:rPr>
                  </w:pPr>
                  <w:r>
                    <w:rPr>
                      <w:rFonts w:eastAsia="宋体"/>
                      <w:color w:val="000000" w:themeColor="text1"/>
                      <w:szCs w:val="21"/>
                      <w14:textFill>
                        <w14:solidFill>
                          <w14:schemeClr w14:val="tx1"/>
                        </w14:solidFill>
                      </w14:textFill>
                    </w:rPr>
                    <w:t>夜间</w:t>
                  </w:r>
                </w:p>
              </w:tc>
            </w:tr>
            <w:tr w14:paraId="1B9A0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59" w:type="pct"/>
                  <w:vAlign w:val="center"/>
                </w:tcPr>
                <w:p w14:paraId="5632CACB">
                  <w:pPr>
                    <w:pStyle w:val="158"/>
                    <w:rPr>
                      <w:rFonts w:eastAsia="宋体"/>
                      <w:b w:val="0"/>
                      <w:bCs/>
                      <w:color w:val="000000" w:themeColor="text1"/>
                      <w:szCs w:val="21"/>
                      <w14:textFill>
                        <w14:solidFill>
                          <w14:schemeClr w14:val="tx1"/>
                        </w14:solidFill>
                      </w14:textFill>
                    </w:rPr>
                  </w:pPr>
                  <w:r>
                    <w:rPr>
                      <w:rFonts w:eastAsia="宋体"/>
                      <w:b w:val="0"/>
                      <w:bCs/>
                      <w:color w:val="000000" w:themeColor="text1"/>
                      <w:szCs w:val="21"/>
                      <w14:textFill>
                        <w14:solidFill>
                          <w14:schemeClr w14:val="tx1"/>
                        </w14:solidFill>
                      </w14:textFill>
                    </w:rPr>
                    <w:t>2类</w:t>
                  </w:r>
                </w:p>
              </w:tc>
              <w:tc>
                <w:tcPr>
                  <w:tcW w:w="1164" w:type="pct"/>
                  <w:vAlign w:val="center"/>
                </w:tcPr>
                <w:p w14:paraId="759AACAD">
                  <w:pPr>
                    <w:pStyle w:val="158"/>
                    <w:rPr>
                      <w:rFonts w:eastAsia="宋体"/>
                      <w:b w:val="0"/>
                      <w:bCs/>
                      <w:color w:val="000000" w:themeColor="text1"/>
                      <w:szCs w:val="21"/>
                      <w14:textFill>
                        <w14:solidFill>
                          <w14:schemeClr w14:val="tx1"/>
                        </w14:solidFill>
                      </w14:textFill>
                    </w:rPr>
                  </w:pPr>
                  <w:r>
                    <w:rPr>
                      <w:rFonts w:eastAsia="宋体"/>
                      <w:b w:val="0"/>
                      <w:bCs/>
                      <w:color w:val="000000" w:themeColor="text1"/>
                      <w:szCs w:val="21"/>
                      <w14:textFill>
                        <w14:solidFill>
                          <w14:schemeClr w14:val="tx1"/>
                        </w14:solidFill>
                      </w14:textFill>
                    </w:rPr>
                    <w:t>60</w:t>
                  </w:r>
                </w:p>
              </w:tc>
              <w:tc>
                <w:tcPr>
                  <w:tcW w:w="1277" w:type="pct"/>
                  <w:vAlign w:val="center"/>
                </w:tcPr>
                <w:p w14:paraId="49DF6E5F">
                  <w:pPr>
                    <w:pStyle w:val="158"/>
                    <w:rPr>
                      <w:rFonts w:eastAsia="宋体"/>
                      <w:b w:val="0"/>
                      <w:bCs/>
                      <w:color w:val="000000" w:themeColor="text1"/>
                      <w:szCs w:val="21"/>
                      <w14:textFill>
                        <w14:solidFill>
                          <w14:schemeClr w14:val="tx1"/>
                        </w14:solidFill>
                      </w14:textFill>
                    </w:rPr>
                  </w:pPr>
                  <w:r>
                    <w:rPr>
                      <w:rFonts w:eastAsia="宋体"/>
                      <w:b w:val="0"/>
                      <w:bCs/>
                      <w:color w:val="000000" w:themeColor="text1"/>
                      <w:szCs w:val="21"/>
                      <w14:textFill>
                        <w14:solidFill>
                          <w14:schemeClr w14:val="tx1"/>
                        </w14:solidFill>
                      </w14:textFill>
                    </w:rPr>
                    <w:t>50</w:t>
                  </w:r>
                </w:p>
              </w:tc>
            </w:tr>
          </w:tbl>
          <w:p w14:paraId="7E0CBF0E">
            <w:pPr>
              <w:pStyle w:val="20"/>
              <w:snapToGrid w:val="0"/>
              <w:spacing w:line="360" w:lineRule="auto"/>
              <w:ind w:firstLine="482" w:firstLineChars="200"/>
              <w:rPr>
                <w:rFonts w:ascii="Times New Roman" w:hAnsi="Times New Roman" w:eastAsia="宋体" w:cs="Times New Roman"/>
                <w:snapToGrid w:val="0"/>
                <w:color w:val="000000" w:themeColor="text1"/>
                <w:sz w:val="24"/>
                <w14:textFill>
                  <w14:solidFill>
                    <w14:schemeClr w14:val="tx1"/>
                  </w14:solidFill>
                </w14:textFill>
              </w:rPr>
            </w:pPr>
            <w:r>
              <w:rPr>
                <w:rFonts w:ascii="Times New Roman" w:hAnsi="Times New Roman" w:eastAsia="宋体" w:cs="Times New Roman"/>
                <w:b/>
                <w:bCs/>
                <w:snapToGrid w:val="0"/>
                <w:color w:val="000000" w:themeColor="text1"/>
                <w:sz w:val="24"/>
                <w14:textFill>
                  <w14:solidFill>
                    <w14:schemeClr w14:val="tx1"/>
                  </w14:solidFill>
                </w14:textFill>
              </w:rPr>
              <w:t>4、固废</w:t>
            </w:r>
          </w:p>
          <w:p w14:paraId="4A0A8308">
            <w:pPr>
              <w:widowControl/>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一般工业固体废物应满足防渗漏，防扬尘，防淋雨等环境保护要求，</w:t>
            </w:r>
            <w:r>
              <w:rPr>
                <w:rFonts w:eastAsia="宋体"/>
                <w:color w:val="000000" w:themeColor="text1"/>
                <w:spacing w:val="-1"/>
                <w14:textFill>
                  <w14:solidFill>
                    <w14:schemeClr w14:val="tx1"/>
                  </w14:solidFill>
                </w14:textFill>
              </w:rPr>
              <w:t>危险废物执行《危险废物收集贮存运输技术规范》（HJ2025-2012）、《危险废物贮存污染控制标准》（GB18597-2023）</w:t>
            </w:r>
            <w:r>
              <w:rPr>
                <w:rFonts w:eastAsia="宋体"/>
                <w:color w:val="000000" w:themeColor="text1"/>
                <w14:textFill>
                  <w14:solidFill>
                    <w14:schemeClr w14:val="tx1"/>
                  </w14:solidFill>
                </w14:textFill>
              </w:rPr>
              <w:t>。</w:t>
            </w:r>
          </w:p>
        </w:tc>
      </w:tr>
      <w:tr w14:paraId="1780B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69" w:type="dxa"/>
            <w:vAlign w:val="center"/>
          </w:tcPr>
          <w:p w14:paraId="27CCDF02">
            <w:pPr>
              <w:adjustRightInd w:val="0"/>
              <w:snapToGrid w:val="0"/>
              <w:ind w:left="-120" w:leftChars="-50" w:right="-120" w:rightChars="-50"/>
              <w:jc w:val="center"/>
              <w:rPr>
                <w:rFonts w:eastAsia="宋体"/>
                <w:b/>
                <w:bCs/>
                <w:color w:val="000000" w:themeColor="text1"/>
                <w:kern w:val="0"/>
                <w14:textFill>
                  <w14:solidFill>
                    <w14:schemeClr w14:val="tx1"/>
                  </w14:solidFill>
                </w14:textFill>
              </w:rPr>
            </w:pPr>
            <w:r>
              <w:rPr>
                <w:rFonts w:eastAsia="宋体"/>
                <w:b/>
                <w:bCs/>
                <w:color w:val="000000" w:themeColor="text1"/>
                <w:kern w:val="0"/>
                <w14:textFill>
                  <w14:solidFill>
                    <w14:schemeClr w14:val="tx1"/>
                  </w14:solidFill>
                </w14:textFill>
              </w:rPr>
              <w:t>总量控制指标</w:t>
            </w:r>
          </w:p>
        </w:tc>
        <w:tc>
          <w:tcPr>
            <w:tcW w:w="8632" w:type="dxa"/>
          </w:tcPr>
          <w:p w14:paraId="7994152F">
            <w:pPr>
              <w:pStyle w:val="7"/>
              <w:adjustRightInd w:val="0"/>
              <w:snapToGrid w:val="0"/>
              <w:spacing w:before="0" w:after="0" w:line="360" w:lineRule="auto"/>
              <w:ind w:firstLine="476" w:firstLineChars="200"/>
              <w:rPr>
                <w:rFonts w:ascii="Times New Roman" w:hAnsi="Times New Roman" w:eastAsia="宋体"/>
                <w:b w:val="0"/>
                <w:bCs w:val="0"/>
                <w:color w:val="000000" w:themeColor="text1"/>
                <w:spacing w:val="-1"/>
                <w:sz w:val="24"/>
                <w:szCs w:val="24"/>
                <w14:textFill>
                  <w14:solidFill>
                    <w14:schemeClr w14:val="tx1"/>
                  </w14:solidFill>
                </w14:textFill>
              </w:rPr>
            </w:pPr>
            <w:r>
              <w:rPr>
                <w:rFonts w:ascii="Times New Roman" w:hAnsi="Times New Roman" w:eastAsia="宋体"/>
                <w:b w:val="0"/>
                <w:bCs w:val="0"/>
                <w:color w:val="000000" w:themeColor="text1"/>
                <w:spacing w:val="-1"/>
                <w:sz w:val="24"/>
                <w:szCs w:val="24"/>
                <w14:textFill>
                  <w14:solidFill>
                    <w14:schemeClr w14:val="tx1"/>
                  </w14:solidFill>
                </w14:textFill>
              </w:rPr>
              <w:t>根据宁夏回族自治区生态环境厅印发《宁夏回族自治区“十四五”主要污染物减排综合工作方案》“十四五”期间，对NOx、VOCs、COD和NH</w:t>
            </w:r>
            <w:r>
              <w:rPr>
                <w:rFonts w:ascii="Times New Roman" w:hAnsi="Times New Roman" w:eastAsia="宋体"/>
                <w:b w:val="0"/>
                <w:bCs w:val="0"/>
                <w:color w:val="000000" w:themeColor="text1"/>
                <w:spacing w:val="-1"/>
                <w:sz w:val="24"/>
                <w:szCs w:val="24"/>
                <w:vertAlign w:val="subscript"/>
                <w14:textFill>
                  <w14:solidFill>
                    <w14:schemeClr w14:val="tx1"/>
                  </w14:solidFill>
                </w14:textFill>
              </w:rPr>
              <w:t>3</w:t>
            </w:r>
            <w:r>
              <w:rPr>
                <w:rFonts w:ascii="Times New Roman" w:hAnsi="Times New Roman" w:eastAsia="宋体"/>
                <w:b w:val="0"/>
                <w:bCs w:val="0"/>
                <w:color w:val="000000" w:themeColor="text1"/>
                <w:spacing w:val="-1"/>
                <w:sz w:val="24"/>
                <w:szCs w:val="24"/>
                <w14:textFill>
                  <w14:solidFill>
                    <w14:schemeClr w14:val="tx1"/>
                  </w14:solidFill>
                </w14:textFill>
              </w:rPr>
              <w:t>-N四项主要污染物实施排放总量控制。根据《关于全面深化排污权改革工作的函》(宁生态环保办函〔2022]2号)及《关于优化排污权交易与环评审批排污许可制度衔接流程的通知》(宁环办函〔2022〕23号)，建设项目须在建设期内由全区统一的排污权交易平台通过市场交易方式购得新增排污权指标(包括SO</w:t>
            </w:r>
            <w:r>
              <w:rPr>
                <w:rFonts w:ascii="Times New Roman" w:hAnsi="Times New Roman" w:eastAsia="宋体"/>
                <w:b w:val="0"/>
                <w:bCs w:val="0"/>
                <w:color w:val="000000" w:themeColor="text1"/>
                <w:spacing w:val="-1"/>
                <w:sz w:val="24"/>
                <w:szCs w:val="24"/>
                <w:vertAlign w:val="subscript"/>
                <w14:textFill>
                  <w14:solidFill>
                    <w14:schemeClr w14:val="tx1"/>
                  </w14:solidFill>
                </w14:textFill>
              </w:rPr>
              <w:t>2</w:t>
            </w:r>
            <w:r>
              <w:rPr>
                <w:rFonts w:ascii="Times New Roman" w:hAnsi="Times New Roman" w:eastAsia="宋体"/>
                <w:b w:val="0"/>
                <w:bCs w:val="0"/>
                <w:color w:val="000000" w:themeColor="text1"/>
                <w:spacing w:val="-1"/>
                <w:sz w:val="24"/>
                <w:szCs w:val="24"/>
                <w14:textFill>
                  <w14:solidFill>
                    <w14:schemeClr w14:val="tx1"/>
                  </w14:solidFill>
                </w14:textFill>
              </w:rPr>
              <w:t>、NOx、COD、NH</w:t>
            </w:r>
            <w:r>
              <w:rPr>
                <w:rFonts w:ascii="Times New Roman" w:hAnsi="Times New Roman" w:eastAsia="宋体"/>
                <w:b w:val="0"/>
                <w:bCs w:val="0"/>
                <w:color w:val="000000" w:themeColor="text1"/>
                <w:spacing w:val="-1"/>
                <w:sz w:val="24"/>
                <w:szCs w:val="24"/>
                <w:vertAlign w:val="subscript"/>
                <w14:textFill>
                  <w14:solidFill>
                    <w14:schemeClr w14:val="tx1"/>
                  </w14:solidFill>
                </w14:textFill>
              </w:rPr>
              <w:t>3</w:t>
            </w:r>
            <w:r>
              <w:rPr>
                <w:rFonts w:ascii="Times New Roman" w:hAnsi="Times New Roman" w:eastAsia="宋体"/>
                <w:b w:val="0"/>
                <w:bCs w:val="0"/>
                <w:color w:val="000000" w:themeColor="text1"/>
                <w:spacing w:val="-1"/>
                <w:sz w:val="24"/>
                <w:szCs w:val="24"/>
                <w14:textFill>
                  <w14:solidFill>
                    <w14:schemeClr w14:val="tx1"/>
                  </w14:solidFill>
                </w14:textFill>
              </w:rPr>
              <w:t>-N)，并作为取得排污许可证的前置条件。</w:t>
            </w:r>
          </w:p>
          <w:p w14:paraId="40FD9486">
            <w:pPr>
              <w:pStyle w:val="7"/>
              <w:adjustRightInd w:val="0"/>
              <w:snapToGrid w:val="0"/>
              <w:spacing w:before="0" w:after="0" w:line="360" w:lineRule="auto"/>
              <w:ind w:firstLine="476" w:firstLineChars="200"/>
              <w:rPr>
                <w:rFonts w:ascii="Times New Roman" w:hAnsi="Times New Roman" w:eastAsia="宋体"/>
                <w:b w:val="0"/>
                <w:bCs w:val="0"/>
                <w:color w:val="000000" w:themeColor="text1"/>
                <w:spacing w:val="-1"/>
                <w:sz w:val="24"/>
                <w:szCs w:val="24"/>
                <w14:textFill>
                  <w14:solidFill>
                    <w14:schemeClr w14:val="tx1"/>
                  </w14:solidFill>
                </w14:textFill>
              </w:rPr>
            </w:pPr>
            <w:r>
              <w:rPr>
                <w:rFonts w:ascii="Times New Roman" w:hAnsi="Times New Roman" w:eastAsia="宋体"/>
                <w:b w:val="0"/>
                <w:bCs w:val="0"/>
                <w:color w:val="000000" w:themeColor="text1"/>
                <w:spacing w:val="-1"/>
                <w:sz w:val="24"/>
                <w:szCs w:val="24"/>
                <w14:textFill>
                  <w14:solidFill>
                    <w14:schemeClr w14:val="tx1"/>
                  </w14:solidFill>
                </w14:textFill>
              </w:rPr>
              <w:t>根据工程分析，本项目不涉及总量控制因子。</w:t>
            </w:r>
          </w:p>
          <w:p w14:paraId="22881A03">
            <w:pPr>
              <w:adjustRightInd w:val="0"/>
              <w:snapToGrid w:val="0"/>
              <w:spacing w:line="360" w:lineRule="auto"/>
              <w:ind w:firstLine="480" w:firstLineChars="200"/>
              <w:rPr>
                <w:color w:val="000000" w:themeColor="text1"/>
                <w14:textFill>
                  <w14:solidFill>
                    <w14:schemeClr w14:val="tx1"/>
                  </w14:solidFill>
                </w14:textFill>
              </w:rPr>
            </w:pPr>
          </w:p>
          <w:p w14:paraId="5A5ABC3B">
            <w:pPr>
              <w:pStyle w:val="2"/>
              <w:adjustRightInd w:val="0"/>
              <w:snapToGrid w:val="0"/>
              <w:spacing w:after="0" w:line="360" w:lineRule="auto"/>
              <w:ind w:left="0" w:leftChars="0" w:firstLine="480" w:firstLineChars="200"/>
              <w:rPr>
                <w:color w:val="000000" w:themeColor="text1"/>
                <w14:textFill>
                  <w14:solidFill>
                    <w14:schemeClr w14:val="tx1"/>
                  </w14:solidFill>
                </w14:textFill>
              </w:rPr>
            </w:pPr>
          </w:p>
          <w:p w14:paraId="65F406C9">
            <w:pPr>
              <w:adjustRightInd w:val="0"/>
              <w:snapToGrid w:val="0"/>
              <w:spacing w:line="360" w:lineRule="auto"/>
              <w:ind w:firstLine="480" w:firstLineChars="200"/>
              <w:rPr>
                <w:color w:val="000000" w:themeColor="text1"/>
                <w14:textFill>
                  <w14:solidFill>
                    <w14:schemeClr w14:val="tx1"/>
                  </w14:solidFill>
                </w14:textFill>
              </w:rPr>
            </w:pPr>
          </w:p>
          <w:p w14:paraId="5DB547AD">
            <w:pPr>
              <w:pStyle w:val="2"/>
              <w:adjustRightInd w:val="0"/>
              <w:snapToGrid w:val="0"/>
              <w:spacing w:after="0" w:line="360" w:lineRule="auto"/>
              <w:ind w:left="0" w:leftChars="0" w:firstLine="480" w:firstLineChars="200"/>
              <w:rPr>
                <w:color w:val="000000" w:themeColor="text1"/>
                <w14:textFill>
                  <w14:solidFill>
                    <w14:schemeClr w14:val="tx1"/>
                  </w14:solidFill>
                </w14:textFill>
              </w:rPr>
            </w:pPr>
          </w:p>
          <w:p w14:paraId="3104A963">
            <w:pPr>
              <w:rPr>
                <w:color w:val="000000" w:themeColor="text1"/>
                <w14:textFill>
                  <w14:solidFill>
                    <w14:schemeClr w14:val="tx1"/>
                  </w14:solidFill>
                </w14:textFill>
              </w:rPr>
            </w:pPr>
          </w:p>
          <w:p w14:paraId="1AE30BD1">
            <w:pPr>
              <w:pStyle w:val="2"/>
              <w:ind w:left="480"/>
              <w:rPr>
                <w:color w:val="000000" w:themeColor="text1"/>
                <w14:textFill>
                  <w14:solidFill>
                    <w14:schemeClr w14:val="tx1"/>
                  </w14:solidFill>
                </w14:textFill>
              </w:rPr>
            </w:pPr>
          </w:p>
          <w:p w14:paraId="0E8B9EF4">
            <w:pPr>
              <w:adjustRightInd w:val="0"/>
              <w:snapToGrid w:val="0"/>
              <w:spacing w:line="360" w:lineRule="auto"/>
              <w:ind w:firstLine="480" w:firstLineChars="200"/>
              <w:rPr>
                <w:color w:val="000000" w:themeColor="text1"/>
                <w14:textFill>
                  <w14:solidFill>
                    <w14:schemeClr w14:val="tx1"/>
                  </w14:solidFill>
                </w14:textFill>
              </w:rPr>
            </w:pPr>
          </w:p>
          <w:p w14:paraId="1D5DA7B9">
            <w:pPr>
              <w:pStyle w:val="2"/>
              <w:adjustRightInd w:val="0"/>
              <w:snapToGrid w:val="0"/>
              <w:spacing w:after="0" w:line="360" w:lineRule="auto"/>
              <w:ind w:left="0" w:leftChars="0" w:firstLine="480" w:firstLineChars="200"/>
              <w:rPr>
                <w:color w:val="000000" w:themeColor="text1"/>
                <w14:textFill>
                  <w14:solidFill>
                    <w14:schemeClr w14:val="tx1"/>
                  </w14:solidFill>
                </w14:textFill>
              </w:rPr>
            </w:pPr>
          </w:p>
          <w:p w14:paraId="3D20343C">
            <w:pPr>
              <w:rPr>
                <w:rFonts w:eastAsia="宋体"/>
                <w:color w:val="000000" w:themeColor="text1"/>
                <w14:textFill>
                  <w14:solidFill>
                    <w14:schemeClr w14:val="tx1"/>
                  </w14:solidFill>
                </w14:textFill>
              </w:rPr>
            </w:pPr>
          </w:p>
        </w:tc>
      </w:tr>
    </w:tbl>
    <w:p w14:paraId="40914F0D">
      <w:pPr>
        <w:pStyle w:val="33"/>
        <w:adjustRightInd w:val="0"/>
        <w:snapToGrid w:val="0"/>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6"/>
          <w:szCs w:val="36"/>
          <w14:textFill>
            <w14:solidFill>
              <w14:schemeClr w14:val="tx1"/>
            </w14:solidFill>
          </w14:textFill>
        </w:rPr>
        <w:br w:type="page"/>
      </w:r>
      <w:r>
        <w:rPr>
          <w:rFonts w:ascii="Times New Roman" w:hAnsi="Times New Roman" w:eastAsia="黑体"/>
          <w:snapToGrid w:val="0"/>
          <w:color w:val="000000" w:themeColor="text1"/>
          <w:sz w:val="30"/>
          <w:szCs w:val="30"/>
          <w14:textFill>
            <w14:solidFill>
              <w14:schemeClr w14:val="tx1"/>
            </w14:solidFill>
          </w14:textFill>
        </w:rPr>
        <w:t>四、主要环境影响和保护措施</w:t>
      </w:r>
    </w:p>
    <w:tbl>
      <w:tblPr>
        <w:tblStyle w:val="36"/>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8784"/>
      </w:tblGrid>
      <w:tr w14:paraId="53045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3" w:type="dxa"/>
            <w:tcBorders>
              <w:tl2br w:val="nil"/>
              <w:tr2bl w:val="nil"/>
            </w:tcBorders>
            <w:tcMar>
              <w:left w:w="28" w:type="dxa"/>
              <w:right w:w="28" w:type="dxa"/>
            </w:tcMar>
            <w:vAlign w:val="center"/>
          </w:tcPr>
          <w:p w14:paraId="21927DD7">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施</w:t>
            </w:r>
          </w:p>
          <w:p w14:paraId="0BF26BF6">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工</w:t>
            </w:r>
          </w:p>
          <w:p w14:paraId="6E248173">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期</w:t>
            </w:r>
          </w:p>
          <w:p w14:paraId="098704C1">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环</w:t>
            </w:r>
          </w:p>
          <w:p w14:paraId="1BCE09DA">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境</w:t>
            </w:r>
          </w:p>
          <w:p w14:paraId="4A5CAA57">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保</w:t>
            </w:r>
          </w:p>
          <w:p w14:paraId="5FFFA3A5">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护</w:t>
            </w:r>
          </w:p>
          <w:p w14:paraId="6D35DB30">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措</w:t>
            </w:r>
          </w:p>
          <w:p w14:paraId="4626B001">
            <w:pPr>
              <w:pStyle w:val="33"/>
              <w:adjustRightInd w:val="0"/>
              <w:snapToGrid w:val="0"/>
              <w:spacing w:before="0" w:beforeAutospacing="0" w:after="0" w:afterAutospacing="0"/>
              <w:jc w:val="center"/>
              <w:rPr>
                <w:rFonts w:ascii="Times New Roman" w:hAnsi="Times New Roman" w:eastAsia="宋体"/>
                <w:bCs/>
                <w:color w:val="000000" w:themeColor="text1"/>
                <w:kern w:val="2"/>
                <w:szCs w:val="24"/>
                <w14:textFill>
                  <w14:solidFill>
                    <w14:schemeClr w14:val="tx1"/>
                  </w14:solidFill>
                </w14:textFill>
              </w:rPr>
            </w:pPr>
            <w:r>
              <w:rPr>
                <w:rFonts w:ascii="Times New Roman" w:hAnsi="Times New Roman" w:eastAsia="宋体"/>
                <w:b/>
                <w:bCs/>
                <w:color w:val="000000" w:themeColor="text1"/>
                <w:kern w:val="2"/>
                <w:szCs w:val="24"/>
                <w14:textFill>
                  <w14:solidFill>
                    <w14:schemeClr w14:val="tx1"/>
                  </w14:solidFill>
                </w14:textFill>
              </w:rPr>
              <w:t>施</w:t>
            </w:r>
          </w:p>
        </w:tc>
        <w:tc>
          <w:tcPr>
            <w:tcW w:w="8638" w:type="dxa"/>
            <w:tcBorders>
              <w:tl2br w:val="nil"/>
              <w:tr2bl w:val="nil"/>
            </w:tcBorders>
            <w:vAlign w:val="center"/>
          </w:tcPr>
          <w:p w14:paraId="553B0209">
            <w:pPr>
              <w:pStyle w:val="162"/>
              <w:spacing w:before="0" w:beforeLines="0" w:after="0" w:afterLines="0" w:line="360" w:lineRule="auto"/>
              <w:ind w:firstLine="482" w:firstLineChars="200"/>
              <w:rPr>
                <w:bCs/>
                <w:color w:val="000000" w:themeColor="text1"/>
                <w:kern w:val="16"/>
                <w14:textFill>
                  <w14:solidFill>
                    <w14:schemeClr w14:val="tx1"/>
                  </w14:solidFill>
                </w14:textFill>
              </w:rPr>
            </w:pPr>
            <w:r>
              <w:rPr>
                <w:bCs/>
                <w:color w:val="000000" w:themeColor="text1"/>
                <w:kern w:val="16"/>
                <w14:textFill>
                  <w14:solidFill>
                    <w14:schemeClr w14:val="tx1"/>
                  </w14:solidFill>
                </w14:textFill>
              </w:rPr>
              <w:t>1</w:t>
            </w:r>
            <w:r>
              <w:rPr>
                <w:rFonts w:hint="eastAsia"/>
                <w:bCs/>
                <w:color w:val="000000" w:themeColor="text1"/>
                <w:kern w:val="16"/>
                <w14:textFill>
                  <w14:solidFill>
                    <w14:schemeClr w14:val="tx1"/>
                  </w14:solidFill>
                </w14:textFill>
              </w:rPr>
              <w:t>、</w:t>
            </w:r>
            <w:r>
              <w:rPr>
                <w:bCs/>
                <w:color w:val="000000" w:themeColor="text1"/>
                <w:kern w:val="16"/>
                <w14:textFill>
                  <w14:solidFill>
                    <w14:schemeClr w14:val="tx1"/>
                  </w14:solidFill>
                </w14:textFill>
              </w:rPr>
              <w:t>扬尘防治措施</w:t>
            </w:r>
          </w:p>
          <w:p w14:paraId="53C9EDC8">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在项目的建设施工中由于平整场地、开挖地基、回填土石方及建筑材料的运输、装卸、堆放等，会产生不同影响程度的扬尘。为减轻施工扬尘对外环境和敏感点的影响，根据《住房和城乡建设部办公厅有关进一步加强施工工地和道路扬尘管控工作的通知》的通知，关于建筑工地，需要做到六个百分百：</w:t>
            </w:r>
          </w:p>
          <w:p w14:paraId="04B3FBAF">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hAnsi="Times New Roman"/>
                <w:color w:val="000000" w:themeColor="text1"/>
                <w14:textFill>
                  <w14:solidFill>
                    <w14:schemeClr w14:val="tx1"/>
                  </w14:solidFill>
                </w14:textFill>
              </w:rPr>
              <w:t>工地周边100%围挡：施工现场硬质围挡应连续设置，城区主要路段工地围挡高度不低于2.5m，一般路段的工地不低于1.8m，做到坚固、平稳、整洁、美观。在建工程外立面应用安全网实现全封闭围护。</w:t>
            </w:r>
          </w:p>
          <w:p w14:paraId="07CB1CE1">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hAnsi="Times New Roman"/>
                <w:color w:val="000000" w:themeColor="text1"/>
                <w14:textFill>
                  <w14:solidFill>
                    <w14:schemeClr w14:val="tx1"/>
                  </w14:solidFill>
                </w14:textFill>
              </w:rPr>
              <w:t>物料堆放100%覆盖：易产生扬尘的建筑材料、渣土应采取密闭搬运、存储或采用防尘布苫盖等防尘措施。严禁熔融沥青、焚烧垃圾等有毒有害物质，禁止无牌无证车辆进入施工现场。</w:t>
            </w:r>
          </w:p>
          <w:p w14:paraId="161F8EFA">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hAnsi="Times New Roman"/>
                <w:color w:val="000000" w:themeColor="text1"/>
                <w14:textFill>
                  <w14:solidFill>
                    <w14:schemeClr w14:val="tx1"/>
                  </w14:solidFill>
                </w14:textFill>
              </w:rPr>
              <w:t>出入车辆100%冲洗：施工现场出入口处设置自动车辆冲洗装置和沉淀池，运输车辆底盘和车轮冲洗干净后方可驶离施工现场。</w:t>
            </w:r>
          </w:p>
          <w:p w14:paraId="53BCB8E1">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rFonts w:hAnsi="Times New Roman"/>
                <w:color w:val="000000" w:themeColor="text1"/>
                <w14:textFill>
                  <w14:solidFill>
                    <w14:schemeClr w14:val="tx1"/>
                  </w14:solidFill>
                </w14:textFill>
              </w:rPr>
              <w:t>施工现场地面100%硬化：主要通道、进出道路、材料加工区及办公生活区地面进行硬化处理。</w:t>
            </w:r>
          </w:p>
          <w:p w14:paraId="0A0D6217">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⑤</w:t>
            </w:r>
            <w:r>
              <w:rPr>
                <w:rFonts w:hAnsi="Times New Roman"/>
                <w:color w:val="000000" w:themeColor="text1"/>
                <w14:textFill>
                  <w14:solidFill>
                    <w14:schemeClr w14:val="tx1"/>
                  </w14:solidFill>
                </w14:textFill>
              </w:rPr>
              <w:t>拆迁工地100%湿法作业：施工现场设专人负责卫生保洁，每天上午、下午各进行二次洒水降尘，遇到干旱和大风天气时，应增加洒水降尘次数，确保无浮土扬尘。开挖、回填等土方作业时，要辅以洒水压尘等措施。工程竣工后，施工现场的临设、围挡、垃圾等必须及时清理完毕，清理时必须采取有效的降尘措施。</w:t>
            </w:r>
          </w:p>
          <w:p w14:paraId="3E78B15F">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⑥</w:t>
            </w:r>
            <w:r>
              <w:rPr>
                <w:rFonts w:hAnsi="Times New Roman"/>
                <w:color w:val="000000" w:themeColor="text1"/>
                <w14:textFill>
                  <w14:solidFill>
                    <w14:schemeClr w14:val="tx1"/>
                  </w14:solidFill>
                </w14:textFill>
              </w:rPr>
              <w:t>渣土车辆100%密闭运输：施工现场内裸露的场地和集中堆放的土方应采取覆盖、固化或绿化等防尘措施。易产生扬尘的物料要篷盖。</w:t>
            </w:r>
          </w:p>
          <w:p w14:paraId="37395903">
            <w:pPr>
              <w:pStyle w:val="162"/>
              <w:spacing w:before="0" w:beforeLines="0" w:after="0" w:afterLines="0" w:line="360" w:lineRule="auto"/>
              <w:ind w:firstLine="482" w:firstLineChars="200"/>
              <w:rPr>
                <w:bCs/>
                <w:color w:val="000000" w:themeColor="text1"/>
                <w:kern w:val="16"/>
                <w14:textFill>
                  <w14:solidFill>
                    <w14:schemeClr w14:val="tx1"/>
                  </w14:solidFill>
                </w14:textFill>
              </w:rPr>
            </w:pPr>
            <w:r>
              <w:rPr>
                <w:bCs/>
                <w:color w:val="000000" w:themeColor="text1"/>
                <w:kern w:val="16"/>
                <w14:textFill>
                  <w14:solidFill>
                    <w14:schemeClr w14:val="tx1"/>
                  </w14:solidFill>
                </w14:textFill>
              </w:rPr>
              <w:t>2</w:t>
            </w:r>
            <w:r>
              <w:rPr>
                <w:rFonts w:hint="eastAsia"/>
                <w:bCs/>
                <w:color w:val="000000" w:themeColor="text1"/>
                <w:kern w:val="16"/>
                <w14:textFill>
                  <w14:solidFill>
                    <w14:schemeClr w14:val="tx1"/>
                  </w14:solidFill>
                </w14:textFill>
              </w:rPr>
              <w:t>、</w:t>
            </w:r>
            <w:r>
              <w:rPr>
                <w:bCs/>
                <w:color w:val="000000" w:themeColor="text1"/>
                <w:kern w:val="16"/>
                <w14:textFill>
                  <w14:solidFill>
                    <w14:schemeClr w14:val="tx1"/>
                  </w14:solidFill>
                </w14:textFill>
              </w:rPr>
              <w:t>废水防治措施</w:t>
            </w:r>
          </w:p>
          <w:p w14:paraId="2E189737">
            <w:pPr>
              <w:pStyle w:val="132"/>
              <w:widowControl w:val="0"/>
              <w:adjustRightInd w:val="0"/>
              <w:snapToGrid w:val="0"/>
              <w:rPr>
                <w:rFonts w:hAnsi="Times New Roman"/>
                <w:color w:val="000000" w:themeColor="text1"/>
                <w:kern w:val="16"/>
                <w14:textFill>
                  <w14:solidFill>
                    <w14:schemeClr w14:val="tx1"/>
                  </w14:solidFill>
                </w14:textFill>
              </w:rPr>
            </w:pPr>
            <w:r>
              <w:rPr>
                <w:rFonts w:hAnsi="Times New Roman"/>
                <w:color w:val="000000" w:themeColor="text1"/>
                <w14:textFill>
                  <w14:solidFill>
                    <w14:schemeClr w14:val="tx1"/>
                  </w14:solidFill>
                </w14:textFill>
              </w:rPr>
              <w:t>本项目施工场地不设施工营地，不提供食宿，设置临时防渗旱厕，定期委托环卫部门清掏</w:t>
            </w:r>
            <w:r>
              <w:rPr>
                <w:rFonts w:hAnsi="Times New Roman"/>
                <w:color w:val="000000" w:themeColor="text1"/>
                <w:kern w:val="16"/>
                <w14:textFill>
                  <w14:solidFill>
                    <w14:schemeClr w14:val="tx1"/>
                  </w14:solidFill>
                </w14:textFill>
              </w:rPr>
              <w:t>。施工废水含有大量的泥沙，故施工现场应设置临时沉淀池，施工废水沉淀处理后回用或抑尘，不外排。</w:t>
            </w:r>
          </w:p>
          <w:p w14:paraId="006DEBA1">
            <w:pPr>
              <w:pStyle w:val="162"/>
              <w:spacing w:before="0" w:beforeLines="0" w:after="0" w:afterLines="0" w:line="360" w:lineRule="auto"/>
              <w:ind w:firstLine="482" w:firstLineChars="200"/>
              <w:rPr>
                <w:bCs/>
                <w:color w:val="000000" w:themeColor="text1"/>
                <w:kern w:val="16"/>
                <w14:textFill>
                  <w14:solidFill>
                    <w14:schemeClr w14:val="tx1"/>
                  </w14:solidFill>
                </w14:textFill>
              </w:rPr>
            </w:pPr>
            <w:r>
              <w:rPr>
                <w:bCs/>
                <w:color w:val="000000" w:themeColor="text1"/>
                <w:kern w:val="16"/>
                <w14:textFill>
                  <w14:solidFill>
                    <w14:schemeClr w14:val="tx1"/>
                  </w14:solidFill>
                </w14:textFill>
              </w:rPr>
              <w:t>3</w:t>
            </w:r>
            <w:r>
              <w:rPr>
                <w:rFonts w:hint="eastAsia"/>
                <w:bCs/>
                <w:color w:val="000000" w:themeColor="text1"/>
                <w:kern w:val="16"/>
                <w14:textFill>
                  <w14:solidFill>
                    <w14:schemeClr w14:val="tx1"/>
                  </w14:solidFill>
                </w14:textFill>
              </w:rPr>
              <w:t>、</w:t>
            </w:r>
            <w:r>
              <w:rPr>
                <w:bCs/>
                <w:color w:val="000000" w:themeColor="text1"/>
                <w:kern w:val="16"/>
                <w14:textFill>
                  <w14:solidFill>
                    <w14:schemeClr w14:val="tx1"/>
                  </w14:solidFill>
                </w14:textFill>
              </w:rPr>
              <w:t>噪声防治措施</w:t>
            </w:r>
          </w:p>
          <w:p w14:paraId="13F54061">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施工噪声主要来源于各种施工机械设备和运输车辆。项目位于宁夏回族自治区固原市彭阳县王洼镇北洼村，周边不存在学校等声环境敏感点，项目周边存在少数居民，为降低施工噪声对周边环境的影响，须采取以下防治措施：</w:t>
            </w:r>
          </w:p>
          <w:p w14:paraId="42B38841">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hAnsi="Times New Roman"/>
                <w:color w:val="000000" w:themeColor="text1"/>
                <w14:textFill>
                  <w14:solidFill>
                    <w14:schemeClr w14:val="tx1"/>
                  </w14:solidFill>
                </w14:textFill>
              </w:rPr>
              <w:t>提高施工人员的环保意识</w:t>
            </w:r>
          </w:p>
          <w:p w14:paraId="7C7F01BC">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组织施工部门负责人进行培训，从主观上建立环境保护的意识。</w:t>
            </w:r>
          </w:p>
          <w:p w14:paraId="2F7282D5">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hAnsi="Times New Roman"/>
                <w:color w:val="000000" w:themeColor="text1"/>
                <w14:textFill>
                  <w14:solidFill>
                    <w14:schemeClr w14:val="tx1"/>
                  </w14:solidFill>
                </w14:textFill>
              </w:rPr>
              <w:t>声源控制</w:t>
            </w:r>
          </w:p>
          <w:p w14:paraId="5711F0D5">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要求使用的主要机械设备为低噪声机械设备，同时在施工过程中施工单位应设专人对设备进行定期保养和维护，并负责对现场工作人员进行培训，严格按操作规范使用各类机械。合理布置高噪声的施工设备，大于80dB（A）的施工设备最好将其布置在施工场地远离声环境敏感点的地方。</w:t>
            </w:r>
          </w:p>
          <w:p w14:paraId="6650F1D8">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hAnsi="Times New Roman"/>
                <w:color w:val="000000" w:themeColor="text1"/>
                <w14:textFill>
                  <w14:solidFill>
                    <w14:schemeClr w14:val="tx1"/>
                  </w14:solidFill>
                </w14:textFill>
              </w:rPr>
              <w:t xml:space="preserve">合理安排施工时间 </w:t>
            </w:r>
          </w:p>
          <w:p w14:paraId="4A5ADCD6">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加强施工管理、合理安排好施工时间，加强施工管理，尽量避免高噪设备同时施工；合理安排施工作业时间，禁止夜间22：00～次日6：00时段施工，因特殊需要必须连续施工作业的，应当取得地方人民政府住房和城乡建设、生态环境主管部门或者地方人民政府指定的部门的证明，并在施工现场显著位置公示。</w:t>
            </w:r>
          </w:p>
          <w:p w14:paraId="1AD6D0C4">
            <w:pPr>
              <w:pStyle w:val="132"/>
              <w:widowControl w:val="0"/>
              <w:adjustRightInd w:val="0"/>
              <w:snapToGrid w:val="0"/>
              <w:rPr>
                <w:rFonts w:hAnsi="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rFonts w:hAnsi="Times New Roman"/>
                <w:color w:val="000000" w:themeColor="text1"/>
                <w14:textFill>
                  <w14:solidFill>
                    <w14:schemeClr w14:val="tx1"/>
                  </w14:solidFill>
                </w14:textFill>
              </w:rPr>
              <w:t>采用距离防护措施</w:t>
            </w:r>
          </w:p>
          <w:p w14:paraId="3E13AC92">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在不影响施工情况下将噪声设备尽量不集中安排，并将其移至距离敏感点较远处，为保障敏感点有一个良好的工作生活环境，强噪声设备至敏感点距离至少在100m以外，同时对固定的机械设备尽量入棚操作。</w:t>
            </w:r>
          </w:p>
          <w:p w14:paraId="13D02DD1">
            <w:pPr>
              <w:pStyle w:val="162"/>
              <w:spacing w:before="0" w:beforeLines="0" w:after="0" w:afterLines="0" w:line="360" w:lineRule="auto"/>
              <w:ind w:firstLine="482" w:firstLineChars="200"/>
              <w:rPr>
                <w:bCs/>
                <w:color w:val="000000" w:themeColor="text1"/>
                <w:kern w:val="16"/>
                <w14:textFill>
                  <w14:solidFill>
                    <w14:schemeClr w14:val="tx1"/>
                  </w14:solidFill>
                </w14:textFill>
              </w:rPr>
            </w:pPr>
            <w:r>
              <w:rPr>
                <w:bCs/>
                <w:color w:val="000000" w:themeColor="text1"/>
                <w:kern w:val="16"/>
                <w14:textFill>
                  <w14:solidFill>
                    <w14:schemeClr w14:val="tx1"/>
                  </w14:solidFill>
                </w14:textFill>
              </w:rPr>
              <w:t>4</w:t>
            </w:r>
            <w:r>
              <w:rPr>
                <w:rFonts w:hint="eastAsia"/>
                <w:bCs/>
                <w:color w:val="000000" w:themeColor="text1"/>
                <w:kern w:val="16"/>
                <w14:textFill>
                  <w14:solidFill>
                    <w14:schemeClr w14:val="tx1"/>
                  </w14:solidFill>
                </w14:textFill>
              </w:rPr>
              <w:t>、</w:t>
            </w:r>
            <w:r>
              <w:rPr>
                <w:bCs/>
                <w:color w:val="000000" w:themeColor="text1"/>
                <w:kern w:val="16"/>
                <w14:textFill>
                  <w14:solidFill>
                    <w14:schemeClr w14:val="tx1"/>
                  </w14:solidFill>
                </w14:textFill>
              </w:rPr>
              <w:t>固体废物治理措施</w:t>
            </w:r>
          </w:p>
          <w:p w14:paraId="347A570F">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施工期固体废物主要包括建筑垃圾、装修垃圾以及少部分施工人员产生的生活垃圾。针对施工期产生的固体废物，须采取以下防治措施：</w:t>
            </w:r>
          </w:p>
          <w:p w14:paraId="546AB3C3">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（1）施工人员产生的少量生活垃圾，集中收集后交由环卫部门处理。</w:t>
            </w:r>
          </w:p>
          <w:p w14:paraId="1C7F2D76">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（2）施工固废应根据其性质尽可能分类堆放和收集，可回收固废尽量回收处理，剩余不可回收的建筑垃圾、未利用完的废弃土石方等运送至市政管理部门指定地点堆放，不得随意倾倒。</w:t>
            </w:r>
          </w:p>
          <w:p w14:paraId="3026FDDD">
            <w:pPr>
              <w:pStyle w:val="132"/>
              <w:widowControl w:val="0"/>
              <w:adjustRightInd w:val="0"/>
              <w:snapToGrid w:val="0"/>
              <w:rPr>
                <w:rFonts w:hAnsi="Times New Roman"/>
                <w:color w:val="000000" w:themeColor="text1"/>
                <w14:textFill>
                  <w14:solidFill>
                    <w14:schemeClr w14:val="tx1"/>
                  </w14:solidFill>
                </w14:textFill>
              </w:rPr>
            </w:pPr>
            <w:r>
              <w:rPr>
                <w:rFonts w:hAnsi="Times New Roman"/>
                <w:color w:val="000000" w:themeColor="text1"/>
                <w14:textFill>
                  <w14:solidFill>
                    <w14:schemeClr w14:val="tx1"/>
                  </w14:solidFill>
                </w14:textFill>
              </w:rPr>
              <w:t>（3）车辆运输废弃物时，必须密封、包扎、覆盖，不得沿途撒漏。</w:t>
            </w:r>
          </w:p>
          <w:p w14:paraId="104BF8B3">
            <w:pPr>
              <w:pStyle w:val="132"/>
              <w:widowControl w:val="0"/>
              <w:adjustRightInd w:val="0"/>
              <w:snapToGrid w:val="0"/>
              <w:spacing w:line="240" w:lineRule="auto"/>
              <w:rPr>
                <w:rFonts w:hAnsi="Times New Roman"/>
                <w:color w:val="000000" w:themeColor="text1"/>
                <w14:textFill>
                  <w14:solidFill>
                    <w14:schemeClr w14:val="tx1"/>
                  </w14:solidFill>
                </w14:textFill>
              </w:rPr>
            </w:pPr>
          </w:p>
          <w:p w14:paraId="55FFD7BD">
            <w:pPr>
              <w:pStyle w:val="132"/>
              <w:widowControl w:val="0"/>
              <w:adjustRightInd w:val="0"/>
              <w:snapToGrid w:val="0"/>
              <w:ind w:firstLine="0" w:firstLineChars="0"/>
              <w:rPr>
                <w:rFonts w:hAnsi="Times New Roman"/>
                <w:color w:val="000000" w:themeColor="text1"/>
                <w14:textFill>
                  <w14:solidFill>
                    <w14:schemeClr w14:val="tx1"/>
                  </w14:solidFill>
                </w14:textFill>
              </w:rPr>
            </w:pPr>
            <w:bookmarkStart w:id="17" w:name="_GoBack"/>
            <w:bookmarkEnd w:id="17"/>
          </w:p>
        </w:tc>
      </w:tr>
      <w:tr w14:paraId="6735C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9" w:hRule="atLeast"/>
          <w:jc w:val="center"/>
        </w:trPr>
        <w:tc>
          <w:tcPr>
            <w:tcW w:w="563" w:type="dxa"/>
            <w:tcBorders>
              <w:tl2br w:val="nil"/>
              <w:tr2bl w:val="nil"/>
            </w:tcBorders>
            <w:tcMar>
              <w:left w:w="28" w:type="dxa"/>
              <w:right w:w="28" w:type="dxa"/>
            </w:tcMar>
            <w:vAlign w:val="center"/>
          </w:tcPr>
          <w:p w14:paraId="7D33135F">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运</w:t>
            </w:r>
          </w:p>
          <w:p w14:paraId="2B7B1149">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营</w:t>
            </w:r>
          </w:p>
          <w:p w14:paraId="2B52D50B">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期</w:t>
            </w:r>
          </w:p>
          <w:p w14:paraId="23C3D154">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环</w:t>
            </w:r>
          </w:p>
          <w:p w14:paraId="2A423E30">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境</w:t>
            </w:r>
          </w:p>
          <w:p w14:paraId="4A587388">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影</w:t>
            </w:r>
          </w:p>
          <w:p w14:paraId="3E54F5CF">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响</w:t>
            </w:r>
          </w:p>
          <w:p w14:paraId="5C66D206">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和</w:t>
            </w:r>
          </w:p>
          <w:p w14:paraId="6F94297C">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保</w:t>
            </w:r>
          </w:p>
          <w:p w14:paraId="22087D2C">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护</w:t>
            </w:r>
          </w:p>
          <w:p w14:paraId="3AB6D607">
            <w:pPr>
              <w:adjustRightInd w:val="0"/>
              <w:snapToGrid w:val="0"/>
              <w:jc w:val="center"/>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措</w:t>
            </w:r>
          </w:p>
          <w:p w14:paraId="133DAA9B">
            <w:pPr>
              <w:pStyle w:val="33"/>
              <w:adjustRightInd w:val="0"/>
              <w:snapToGrid w:val="0"/>
              <w:spacing w:before="0" w:beforeAutospacing="0" w:after="0" w:afterAutospacing="0"/>
              <w:jc w:val="center"/>
              <w:rPr>
                <w:rFonts w:ascii="Times New Roman" w:hAnsi="Times New Roman" w:eastAsia="宋体"/>
                <w:b/>
                <w:bCs/>
                <w:color w:val="000000" w:themeColor="text1"/>
                <w:kern w:val="2"/>
                <w:szCs w:val="24"/>
                <w14:textFill>
                  <w14:solidFill>
                    <w14:schemeClr w14:val="tx1"/>
                  </w14:solidFill>
                </w14:textFill>
              </w:rPr>
            </w:pPr>
            <w:r>
              <w:rPr>
                <w:rFonts w:ascii="Times New Roman" w:hAnsi="Times New Roman" w:eastAsia="宋体"/>
                <w:b/>
                <w:bCs/>
                <w:snapToGrid w:val="0"/>
                <w:color w:val="000000" w:themeColor="text1"/>
                <w:kern w:val="2"/>
                <w:szCs w:val="24"/>
                <w14:textFill>
                  <w14:solidFill>
                    <w14:schemeClr w14:val="tx1"/>
                  </w14:solidFill>
                </w14:textFill>
              </w:rPr>
              <w:t>施</w:t>
            </w:r>
          </w:p>
        </w:tc>
        <w:tc>
          <w:tcPr>
            <w:tcW w:w="8638" w:type="dxa"/>
            <w:tcBorders>
              <w:tl2br w:val="nil"/>
              <w:tr2bl w:val="nil"/>
            </w:tcBorders>
            <w:vAlign w:val="center"/>
          </w:tcPr>
          <w:p w14:paraId="59D10255">
            <w:pPr>
              <w:pStyle w:val="17"/>
              <w:widowControl w:val="0"/>
              <w:snapToGrid/>
              <w:spacing w:before="0" w:after="0" w:line="360" w:lineRule="auto"/>
              <w:ind w:right="0" w:firstLine="482"/>
              <w:rPr>
                <w:rFonts w:eastAsia="宋体"/>
                <w:b/>
                <w:bCs/>
                <w:snapToGrid w:val="0"/>
                <w:color w:val="000000" w:themeColor="text1"/>
                <w:kern w:val="2"/>
                <w:sz w:val="24"/>
                <w:szCs w:val="24"/>
                <w14:textFill>
                  <w14:solidFill>
                    <w14:schemeClr w14:val="tx1"/>
                  </w14:solidFill>
                </w14:textFill>
              </w:rPr>
            </w:pPr>
            <w:r>
              <w:rPr>
                <w:rFonts w:eastAsia="宋体"/>
                <w:b/>
                <w:bCs/>
                <w:snapToGrid w:val="0"/>
                <w:color w:val="000000" w:themeColor="text1"/>
                <w:kern w:val="2"/>
                <w:sz w:val="24"/>
                <w:szCs w:val="24"/>
                <w14:textFill>
                  <w14:solidFill>
                    <w14:schemeClr w14:val="tx1"/>
                  </w14:solidFill>
                </w14:textFill>
              </w:rPr>
              <w:t>一、大气污染防治措施</w:t>
            </w:r>
          </w:p>
          <w:p w14:paraId="43894CBF">
            <w:pPr>
              <w:pStyle w:val="17"/>
              <w:widowControl w:val="0"/>
              <w:snapToGrid/>
              <w:spacing w:before="0" w:after="0" w:line="360" w:lineRule="auto"/>
              <w:ind w:right="0" w:firstLine="482"/>
              <w:rPr>
                <w:rFonts w:eastAsia="宋体"/>
                <w:b/>
                <w:bCs/>
                <w:color w:val="000000" w:themeColor="text1"/>
                <w:sz w:val="24"/>
                <w:szCs w:val="24"/>
                <w14:textFill>
                  <w14:solidFill>
                    <w14:schemeClr w14:val="tx1"/>
                  </w14:solidFill>
                </w14:textFill>
              </w:rPr>
            </w:pPr>
            <w:r>
              <w:rPr>
                <w:rFonts w:eastAsia="宋体"/>
                <w:b/>
                <w:bCs/>
                <w:color w:val="000000" w:themeColor="text1"/>
                <w:sz w:val="24"/>
                <w:szCs w:val="24"/>
                <w14:textFill>
                  <w14:solidFill>
                    <w14:schemeClr w14:val="tx1"/>
                  </w14:solidFill>
                </w14:textFill>
              </w:rPr>
              <w:t>1、产排污环节</w:t>
            </w:r>
          </w:p>
          <w:p w14:paraId="05520259">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本项目营运期产生的废气主要为石灰石卸料及堆存粉尘、粉磨粉尘、罐仓粉尘、建筑垃圾卸料及堆存粉尘、给料、破碎、筛分粉尘、再生骨料及再生水稳料装卸堆存粉尘、车辆运输扬尘。</w:t>
            </w:r>
          </w:p>
          <w:p w14:paraId="3630C455">
            <w:pPr>
              <w:pStyle w:val="17"/>
              <w:widowControl w:val="0"/>
              <w:snapToGrid/>
              <w:spacing w:before="0" w:after="0" w:line="360" w:lineRule="auto"/>
              <w:ind w:right="0" w:firstLine="482"/>
              <w:rPr>
                <w:rFonts w:eastAsia="宋体"/>
                <w:b/>
                <w:bCs/>
                <w:snapToGrid w:val="0"/>
                <w:color w:val="000000" w:themeColor="text1"/>
                <w:kern w:val="2"/>
                <w:sz w:val="24"/>
                <w:szCs w:val="24"/>
                <w14:textFill>
                  <w14:solidFill>
                    <w14:schemeClr w14:val="tx1"/>
                  </w14:solidFill>
                </w14:textFill>
              </w:rPr>
            </w:pPr>
            <w:r>
              <w:rPr>
                <w:rFonts w:eastAsia="宋体"/>
                <w:b/>
                <w:bCs/>
                <w:snapToGrid w:val="0"/>
                <w:color w:val="000000" w:themeColor="text1"/>
                <w:kern w:val="2"/>
                <w:sz w:val="24"/>
                <w:szCs w:val="24"/>
                <w14:textFill>
                  <w14:solidFill>
                    <w14:schemeClr w14:val="tx1"/>
                  </w14:solidFill>
                </w14:textFill>
              </w:rPr>
              <w:t>2、污染物种类、污染物产生量及浓度</w:t>
            </w:r>
          </w:p>
          <w:p w14:paraId="07E8CCF8">
            <w:pPr>
              <w:pStyle w:val="28"/>
              <w:spacing w:line="360" w:lineRule="auto"/>
              <w:ind w:left="0" w:leftChars="0" w:right="-120" w:firstLine="480" w:firstLineChars="20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（1）大气污染物产排情况汇总</w:t>
            </w:r>
          </w:p>
          <w:p w14:paraId="3E08522A">
            <w:pPr>
              <w:adjustRightInd w:val="0"/>
              <w:snapToGrid w:val="0"/>
              <w:ind w:firstLine="602" w:firstLineChars="25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表4-1            废气污染物产排情况一览表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62"/>
              <w:gridCol w:w="815"/>
              <w:gridCol w:w="751"/>
              <w:gridCol w:w="760"/>
              <w:gridCol w:w="1909"/>
              <w:gridCol w:w="719"/>
              <w:gridCol w:w="616"/>
              <w:gridCol w:w="668"/>
              <w:gridCol w:w="792"/>
              <w:gridCol w:w="646"/>
            </w:tblGrid>
            <w:tr w14:paraId="053B1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6044F8E9">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产污</w:t>
                  </w:r>
                </w:p>
                <w:p w14:paraId="510DF2D0">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环节</w:t>
                  </w:r>
                </w:p>
              </w:tc>
              <w:tc>
                <w:tcPr>
                  <w:tcW w:w="477" w:type="pct"/>
                  <w:vAlign w:val="center"/>
                </w:tcPr>
                <w:p w14:paraId="1F28EC2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污染物</w:t>
                  </w:r>
                </w:p>
                <w:p w14:paraId="7FF979A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名称</w:t>
                  </w:r>
                </w:p>
              </w:tc>
              <w:tc>
                <w:tcPr>
                  <w:tcW w:w="440" w:type="pct"/>
                  <w:vAlign w:val="center"/>
                </w:tcPr>
                <w:p w14:paraId="3473C5AA">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产生量</w:t>
                  </w:r>
                </w:p>
                <w:p w14:paraId="5872D22A">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t/a</w:t>
                  </w:r>
                </w:p>
              </w:tc>
              <w:tc>
                <w:tcPr>
                  <w:tcW w:w="445" w:type="pct"/>
                  <w:vAlign w:val="center"/>
                </w:tcPr>
                <w:p w14:paraId="47F5731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产生</w:t>
                  </w:r>
                </w:p>
                <w:p w14:paraId="2E4C3CE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速率</w:t>
                  </w:r>
                </w:p>
                <w:p w14:paraId="3DC928B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kg/h</w:t>
                  </w:r>
                </w:p>
              </w:tc>
              <w:tc>
                <w:tcPr>
                  <w:tcW w:w="1118" w:type="pct"/>
                  <w:vAlign w:val="center"/>
                </w:tcPr>
                <w:p w14:paraId="692B89D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治理措施</w:t>
                  </w:r>
                </w:p>
              </w:tc>
              <w:tc>
                <w:tcPr>
                  <w:tcW w:w="421" w:type="pct"/>
                  <w:vAlign w:val="center"/>
                </w:tcPr>
                <w:p w14:paraId="4653A7AA">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烟气量</w:t>
                  </w:r>
                </w:p>
                <w:p w14:paraId="12540532">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m³/h</w:t>
                  </w:r>
                </w:p>
              </w:tc>
              <w:tc>
                <w:tcPr>
                  <w:tcW w:w="361" w:type="pct"/>
                  <w:vAlign w:val="center"/>
                </w:tcPr>
                <w:p w14:paraId="3C57F9E0">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排放</w:t>
                  </w:r>
                </w:p>
                <w:p w14:paraId="1619CE62">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方式</w:t>
                  </w:r>
                </w:p>
              </w:tc>
              <w:tc>
                <w:tcPr>
                  <w:tcW w:w="391" w:type="pct"/>
                  <w:vAlign w:val="center"/>
                </w:tcPr>
                <w:p w14:paraId="770F4E6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排放</w:t>
                  </w:r>
                </w:p>
                <w:p w14:paraId="2140C11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浓度</w:t>
                  </w:r>
                </w:p>
                <w:p w14:paraId="4C3C047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mg/m³</w:t>
                  </w:r>
                </w:p>
              </w:tc>
              <w:tc>
                <w:tcPr>
                  <w:tcW w:w="464" w:type="pct"/>
                  <w:vAlign w:val="center"/>
                </w:tcPr>
                <w:p w14:paraId="358522A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排放量</w:t>
                  </w:r>
                </w:p>
                <w:p w14:paraId="4F8F2214">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t/a</w:t>
                  </w:r>
                </w:p>
              </w:tc>
              <w:tc>
                <w:tcPr>
                  <w:tcW w:w="378" w:type="pct"/>
                  <w:vAlign w:val="center"/>
                </w:tcPr>
                <w:p w14:paraId="411B490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排放</w:t>
                  </w:r>
                </w:p>
                <w:p w14:paraId="4ECE9E9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速率</w:t>
                  </w:r>
                </w:p>
                <w:p w14:paraId="67A6CE09">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kg/h</w:t>
                  </w:r>
                </w:p>
              </w:tc>
            </w:tr>
            <w:tr w14:paraId="61672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27F3A8B0">
                  <w:pPr>
                    <w:jc w:val="center"/>
                    <w:rPr>
                      <w:rFonts w:eastAsia="宋体"/>
                      <w:color w:val="000000" w:themeColor="text1"/>
                      <w:sz w:val="21"/>
                      <w14:textFill>
                        <w14:solidFill>
                          <w14:schemeClr w14:val="tx1"/>
                        </w14:solidFill>
                      </w14:textFill>
                    </w:rPr>
                  </w:pPr>
                  <w:r>
                    <w:rPr>
                      <w:rFonts w:eastAsia="宋体"/>
                      <w:bCs/>
                      <w:color w:val="000000" w:themeColor="text1"/>
                      <w:sz w:val="21"/>
                      <w14:textFill>
                        <w14:solidFill>
                          <w14:schemeClr w14:val="tx1"/>
                        </w14:solidFill>
                      </w14:textFill>
                    </w:rPr>
                    <w:t>石灰石卸料及堆存</w:t>
                  </w:r>
                </w:p>
              </w:tc>
              <w:tc>
                <w:tcPr>
                  <w:tcW w:w="477" w:type="pct"/>
                  <w:vAlign w:val="center"/>
                </w:tcPr>
                <w:p w14:paraId="499B42E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64625F0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268.312</w:t>
                  </w:r>
                </w:p>
              </w:tc>
              <w:tc>
                <w:tcPr>
                  <w:tcW w:w="445" w:type="pct"/>
                  <w:vAlign w:val="center"/>
                </w:tcPr>
                <w:p w14:paraId="2CE4517B">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44.184</w:t>
                  </w:r>
                </w:p>
              </w:tc>
              <w:tc>
                <w:tcPr>
                  <w:tcW w:w="1118" w:type="pct"/>
                  <w:vAlign w:val="center"/>
                </w:tcPr>
                <w:p w14:paraId="4E16AF87">
                  <w:pPr>
                    <w:jc w:val="center"/>
                    <w:rPr>
                      <w:rFonts w:eastAsia="宋体"/>
                      <w:color w:val="000000" w:themeColor="text1"/>
                      <w:sz w:val="21"/>
                      <w14:textFill>
                        <w14:solidFill>
                          <w14:schemeClr w14:val="tx1"/>
                        </w14:solidFill>
                      </w14:textFill>
                    </w:rPr>
                  </w:pPr>
                  <w:r>
                    <w:rPr>
                      <w:rFonts w:eastAsia="宋体"/>
                      <w:bCs/>
                      <w:color w:val="000000" w:themeColor="text1"/>
                      <w:sz w:val="21"/>
                      <w14:textFill>
                        <w14:solidFill>
                          <w14:schemeClr w14:val="tx1"/>
                        </w14:solidFill>
                      </w14:textFill>
                    </w:rPr>
                    <w:t>石灰石料仓除车辆进出时均保持仓门常闭，且仓内设置雾化喷淋系统抑尘。</w:t>
                  </w:r>
                </w:p>
              </w:tc>
              <w:tc>
                <w:tcPr>
                  <w:tcW w:w="421" w:type="pct"/>
                  <w:vAlign w:val="center"/>
                </w:tcPr>
                <w:p w14:paraId="5758B1B2">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361" w:type="pct"/>
                  <w:vAlign w:val="center"/>
                </w:tcPr>
                <w:p w14:paraId="00A5E9D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780866F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75641D9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0.698</w:t>
                  </w:r>
                </w:p>
              </w:tc>
              <w:tc>
                <w:tcPr>
                  <w:tcW w:w="378" w:type="pct"/>
                  <w:vAlign w:val="center"/>
                </w:tcPr>
                <w:p w14:paraId="1CCF8D29">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0.108</w:t>
                  </w:r>
                </w:p>
              </w:tc>
            </w:tr>
            <w:tr w14:paraId="4C4A0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51" w:hRule="atLeast"/>
                <w:jc w:val="center"/>
              </w:trPr>
              <w:tc>
                <w:tcPr>
                  <w:tcW w:w="505" w:type="pct"/>
                  <w:vAlign w:val="center"/>
                </w:tcPr>
                <w:p w14:paraId="480F63DB">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石灰石投料</w:t>
                  </w:r>
                </w:p>
              </w:tc>
              <w:tc>
                <w:tcPr>
                  <w:tcW w:w="477" w:type="pct"/>
                  <w:vAlign w:val="center"/>
                </w:tcPr>
                <w:p w14:paraId="1176AC9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5F619E1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112</w:t>
                  </w:r>
                </w:p>
              </w:tc>
              <w:tc>
                <w:tcPr>
                  <w:tcW w:w="445" w:type="pct"/>
                  <w:vAlign w:val="center"/>
                </w:tcPr>
                <w:p w14:paraId="3EFAB32B">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93.333</w:t>
                  </w:r>
                </w:p>
              </w:tc>
              <w:tc>
                <w:tcPr>
                  <w:tcW w:w="1118" w:type="pct"/>
                  <w:vMerge w:val="restart"/>
                  <w:vAlign w:val="center"/>
                </w:tcPr>
                <w:p w14:paraId="32B85828">
                  <w:pPr>
                    <w:jc w:val="center"/>
                    <w:rPr>
                      <w:rFonts w:eastAsia="宋体"/>
                      <w:color w:val="000000" w:themeColor="text1"/>
                      <w:sz w:val="21"/>
                      <w14:textFill>
                        <w14:solidFill>
                          <w14:schemeClr w14:val="tx1"/>
                        </w14:solidFill>
                      </w14:textFill>
                    </w:rPr>
                  </w:pPr>
                  <w:r>
                    <w:rPr>
                      <w:rFonts w:eastAsia="宋体"/>
                      <w:bCs/>
                      <w:color w:val="000000" w:themeColor="text1"/>
                      <w:sz w:val="21"/>
                      <w:szCs w:val="21"/>
                      <w14:textFill>
                        <w14:solidFill>
                          <w14:schemeClr w14:val="tx1"/>
                        </w14:solidFill>
                      </w14:textFill>
                    </w:rPr>
                    <w:t>投料口</w:t>
                  </w:r>
                  <w:r>
                    <w:rPr>
                      <w:rFonts w:eastAsia="宋体"/>
                      <w:bCs/>
                      <w:color w:val="000000" w:themeColor="text1"/>
                      <w:sz w:val="21"/>
                      <w:szCs w:val="21"/>
                      <w:lang w:bidi="en-US"/>
                      <w14:textFill>
                        <w14:solidFill>
                          <w14:schemeClr w14:val="tx1"/>
                        </w14:solidFill>
                      </w14:textFill>
                    </w:rPr>
                    <w:t>设置1个集气罩（集气效率90%）</w:t>
                  </w:r>
                  <w:r>
                    <w:rPr>
                      <w:rFonts w:eastAsia="宋体"/>
                      <w:bCs/>
                      <w:color w:val="000000" w:themeColor="text1"/>
                      <w:sz w:val="21"/>
                      <w:szCs w:val="21"/>
                      <w14:textFill>
                        <w14:solidFill>
                          <w14:schemeClr w14:val="tx1"/>
                        </w14:solidFill>
                      </w14:textFill>
                    </w:rPr>
                    <w:t>对产生的粉尘进行收集，</w:t>
                  </w:r>
                  <w:r>
                    <w:rPr>
                      <w:rFonts w:eastAsia="宋体"/>
                      <w:color w:val="000000" w:themeColor="text1"/>
                      <w:sz w:val="21"/>
                      <w:szCs w:val="21"/>
                      <w14:textFill>
                        <w14:solidFill>
                          <w14:schemeClr w14:val="tx1"/>
                        </w14:solidFill>
                      </w14:textFill>
                    </w:rPr>
                    <w:t>粉磨机为封闭式结构，3台磨粉机产生的含尘气体通过密闭管道收集汇总，汇同</w:t>
                  </w:r>
                  <w:r>
                    <w:rPr>
                      <w:rFonts w:eastAsia="宋体"/>
                      <w:bCs/>
                      <w:color w:val="000000" w:themeColor="text1"/>
                      <w:sz w:val="21"/>
                      <w:szCs w:val="21"/>
                      <w14:textFill>
                        <w14:solidFill>
                          <w14:schemeClr w14:val="tx1"/>
                        </w14:solidFill>
                      </w14:textFill>
                    </w:rPr>
                    <w:t>投料粉尘</w:t>
                  </w:r>
                  <w:r>
                    <w:rPr>
                      <w:rFonts w:eastAsia="宋体"/>
                      <w:color w:val="000000" w:themeColor="text1"/>
                      <w:sz w:val="21"/>
                      <w:szCs w:val="21"/>
                      <w14:textFill>
                        <w14:solidFill>
                          <w14:schemeClr w14:val="tx1"/>
                        </w14:solidFill>
                      </w14:textFill>
                    </w:rPr>
                    <w:t>一同送入1台高效脉冲袋式除尘器（3#，除尘效率99%）处理后由15m高排气筒（DA003）排放。</w:t>
                  </w:r>
                </w:p>
              </w:tc>
              <w:tc>
                <w:tcPr>
                  <w:tcW w:w="421" w:type="pct"/>
                  <w:vMerge w:val="restart"/>
                  <w:vAlign w:val="center"/>
                </w:tcPr>
                <w:p w14:paraId="651AC0B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20000</w:t>
                  </w:r>
                </w:p>
              </w:tc>
              <w:tc>
                <w:tcPr>
                  <w:tcW w:w="361" w:type="pct"/>
                  <w:vAlign w:val="center"/>
                </w:tcPr>
                <w:p w14:paraId="4E5FD93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有组织</w:t>
                  </w:r>
                </w:p>
              </w:tc>
              <w:tc>
                <w:tcPr>
                  <w:tcW w:w="391" w:type="pct"/>
                  <w:vAlign w:val="center"/>
                </w:tcPr>
                <w:p w14:paraId="4E1CD75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3.624</w:t>
                  </w:r>
                </w:p>
              </w:tc>
              <w:tc>
                <w:tcPr>
                  <w:tcW w:w="464" w:type="pct"/>
                  <w:vAlign w:val="center"/>
                </w:tcPr>
                <w:p w14:paraId="437D0B14">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0.559</w:t>
                  </w:r>
                </w:p>
              </w:tc>
              <w:tc>
                <w:tcPr>
                  <w:tcW w:w="378" w:type="pct"/>
                  <w:vAlign w:val="center"/>
                </w:tcPr>
                <w:p w14:paraId="2F1ED12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27.96</w:t>
                  </w:r>
                </w:p>
              </w:tc>
            </w:tr>
            <w:tr w14:paraId="2F0C4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3CC9DEE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石灰石粉磨</w:t>
                  </w:r>
                </w:p>
              </w:tc>
              <w:tc>
                <w:tcPr>
                  <w:tcW w:w="477" w:type="pct"/>
                  <w:vAlign w:val="center"/>
                </w:tcPr>
                <w:p w14:paraId="2778270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3CE30A3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357</w:t>
                  </w:r>
                </w:p>
              </w:tc>
              <w:tc>
                <w:tcPr>
                  <w:tcW w:w="445" w:type="pct"/>
                  <w:vAlign w:val="center"/>
                </w:tcPr>
                <w:p w14:paraId="6D0CB4AD">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55.093</w:t>
                  </w:r>
                </w:p>
              </w:tc>
              <w:tc>
                <w:tcPr>
                  <w:tcW w:w="1118" w:type="pct"/>
                  <w:vMerge w:val="continue"/>
                  <w:vAlign w:val="center"/>
                </w:tcPr>
                <w:p w14:paraId="1B7C4DFB">
                  <w:pPr>
                    <w:jc w:val="center"/>
                    <w:rPr>
                      <w:rFonts w:eastAsia="宋体"/>
                      <w:color w:val="000000" w:themeColor="text1"/>
                      <w:sz w:val="21"/>
                      <w14:textFill>
                        <w14:solidFill>
                          <w14:schemeClr w14:val="tx1"/>
                        </w14:solidFill>
                      </w14:textFill>
                    </w:rPr>
                  </w:pPr>
                </w:p>
              </w:tc>
              <w:tc>
                <w:tcPr>
                  <w:tcW w:w="421" w:type="pct"/>
                  <w:vMerge w:val="continue"/>
                  <w:vAlign w:val="center"/>
                </w:tcPr>
                <w:p w14:paraId="0AC856DA">
                  <w:pPr>
                    <w:jc w:val="center"/>
                    <w:rPr>
                      <w:rFonts w:eastAsia="宋体"/>
                      <w:color w:val="000000" w:themeColor="text1"/>
                      <w:sz w:val="21"/>
                      <w14:textFill>
                        <w14:solidFill>
                          <w14:schemeClr w14:val="tx1"/>
                        </w14:solidFill>
                      </w14:textFill>
                    </w:rPr>
                  </w:pPr>
                </w:p>
              </w:tc>
              <w:tc>
                <w:tcPr>
                  <w:tcW w:w="361" w:type="pct"/>
                  <w:vAlign w:val="center"/>
                </w:tcPr>
                <w:p w14:paraId="42B8934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3DF7F45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6C64D79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0.006</w:t>
                  </w:r>
                </w:p>
              </w:tc>
              <w:tc>
                <w:tcPr>
                  <w:tcW w:w="378" w:type="pct"/>
                  <w:vAlign w:val="center"/>
                </w:tcPr>
                <w:p w14:paraId="73AF819C">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0.001</w:t>
                  </w:r>
                </w:p>
              </w:tc>
            </w:tr>
            <w:tr w14:paraId="39D38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3E7C92B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石灰石筒仓储存</w:t>
                  </w:r>
                </w:p>
              </w:tc>
              <w:tc>
                <w:tcPr>
                  <w:tcW w:w="477" w:type="pct"/>
                  <w:vAlign w:val="center"/>
                </w:tcPr>
                <w:p w14:paraId="4C1653A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0F93CBD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36</w:t>
                  </w:r>
                </w:p>
              </w:tc>
              <w:tc>
                <w:tcPr>
                  <w:tcW w:w="445" w:type="pct"/>
                  <w:vAlign w:val="center"/>
                </w:tcPr>
                <w:p w14:paraId="3400BED8">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5.556</w:t>
                  </w:r>
                </w:p>
              </w:tc>
              <w:tc>
                <w:tcPr>
                  <w:tcW w:w="1118" w:type="pct"/>
                  <w:vAlign w:val="center"/>
                </w:tcPr>
                <w:p w14:paraId="1BA62AFB">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每座罐仓仓顶自带高效脉冲布袋除尘器（除尘效率99%）处理后由顶部排放。</w:t>
                  </w:r>
                </w:p>
              </w:tc>
              <w:tc>
                <w:tcPr>
                  <w:tcW w:w="421" w:type="pct"/>
                  <w:vAlign w:val="center"/>
                </w:tcPr>
                <w:p w14:paraId="50CB8FBD">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361" w:type="pct"/>
                  <w:vAlign w:val="center"/>
                </w:tcPr>
                <w:p w14:paraId="2C56141D">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7D4E56D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4165E8F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0.36</w:t>
                  </w:r>
                </w:p>
              </w:tc>
              <w:tc>
                <w:tcPr>
                  <w:tcW w:w="378" w:type="pct"/>
                  <w:vAlign w:val="center"/>
                </w:tcPr>
                <w:p w14:paraId="7DA83A5A">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0.056</w:t>
                  </w:r>
                </w:p>
              </w:tc>
            </w:tr>
            <w:tr w14:paraId="03017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1749BE4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建筑垃圾卸料及堆存</w:t>
                  </w:r>
                </w:p>
              </w:tc>
              <w:tc>
                <w:tcPr>
                  <w:tcW w:w="477" w:type="pct"/>
                  <w:vAlign w:val="center"/>
                </w:tcPr>
                <w:p w14:paraId="03152C4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3F0F348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8.929</w:t>
                  </w:r>
                </w:p>
              </w:tc>
              <w:tc>
                <w:tcPr>
                  <w:tcW w:w="445" w:type="pct"/>
                  <w:vAlign w:val="center"/>
                </w:tcPr>
                <w:p w14:paraId="4560285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44.184</w:t>
                  </w:r>
                </w:p>
              </w:tc>
              <w:tc>
                <w:tcPr>
                  <w:tcW w:w="1118" w:type="pct"/>
                  <w:vAlign w:val="center"/>
                </w:tcPr>
                <w:p w14:paraId="1BBA0982">
                  <w:pPr>
                    <w:jc w:val="center"/>
                    <w:rPr>
                      <w:rFonts w:eastAsia="宋体"/>
                      <w:color w:val="000000" w:themeColor="text1"/>
                      <w:sz w:val="21"/>
                      <w14:textFill>
                        <w14:solidFill>
                          <w14:schemeClr w14:val="tx1"/>
                        </w14:solidFill>
                      </w14:textFill>
                    </w:rPr>
                  </w:pPr>
                  <w:r>
                    <w:rPr>
                      <w:rFonts w:eastAsia="宋体"/>
                      <w:bCs/>
                      <w:color w:val="000000" w:themeColor="text1"/>
                      <w:sz w:val="21"/>
                      <w14:textFill>
                        <w14:solidFill>
                          <w14:schemeClr w14:val="tx1"/>
                        </w14:solidFill>
                      </w14:textFill>
                    </w:rPr>
                    <w:t>建筑垃圾料仓除车辆进出时均保持仓门常闭，且仓内设置雾化喷淋系统抑尘。</w:t>
                  </w:r>
                </w:p>
              </w:tc>
              <w:tc>
                <w:tcPr>
                  <w:tcW w:w="421" w:type="pct"/>
                  <w:vAlign w:val="center"/>
                </w:tcPr>
                <w:p w14:paraId="4B0B7D38">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361" w:type="pct"/>
                  <w:vAlign w:val="center"/>
                </w:tcPr>
                <w:p w14:paraId="12CFA1A4">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4278D15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3002E7D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0.023</w:t>
                  </w:r>
                </w:p>
              </w:tc>
              <w:tc>
                <w:tcPr>
                  <w:tcW w:w="378" w:type="pct"/>
                  <w:vAlign w:val="center"/>
                </w:tcPr>
                <w:p w14:paraId="7A86088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0.004</w:t>
                  </w:r>
                </w:p>
              </w:tc>
            </w:tr>
            <w:tr w14:paraId="284BA3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6707AA25">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建筑垃圾给料</w:t>
                  </w:r>
                </w:p>
              </w:tc>
              <w:tc>
                <w:tcPr>
                  <w:tcW w:w="477" w:type="pct"/>
                  <w:vAlign w:val="center"/>
                </w:tcPr>
                <w:p w14:paraId="2C1728A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0F7E848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1</w:t>
                  </w:r>
                </w:p>
              </w:tc>
              <w:tc>
                <w:tcPr>
                  <w:tcW w:w="445" w:type="pct"/>
                  <w:vAlign w:val="center"/>
                </w:tcPr>
                <w:p w14:paraId="03ADFE7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0.154</w:t>
                  </w:r>
                </w:p>
              </w:tc>
              <w:tc>
                <w:tcPr>
                  <w:tcW w:w="1118" w:type="pct"/>
                  <w:vMerge w:val="restart"/>
                  <w:vAlign w:val="center"/>
                </w:tcPr>
                <w:p w14:paraId="4506E3A8">
                  <w:pPr>
                    <w:jc w:val="center"/>
                    <w:rPr>
                      <w:rFonts w:eastAsia="宋体"/>
                      <w:bCs/>
                      <w:color w:val="000000" w:themeColor="text1"/>
                      <w:sz w:val="21"/>
                      <w14:textFill>
                        <w14:solidFill>
                          <w14:schemeClr w14:val="tx1"/>
                        </w14:solidFill>
                      </w14:textFill>
                    </w:rPr>
                  </w:pPr>
                  <w:r>
                    <w:rPr>
                      <w:rFonts w:hint="eastAsia" w:eastAsia="宋体"/>
                      <w:bCs/>
                      <w:color w:val="000000" w:themeColor="text1"/>
                      <w:sz w:val="21"/>
                      <w14:textFill>
                        <w14:solidFill>
                          <w14:schemeClr w14:val="tx1"/>
                        </w14:solidFill>
                      </w14:textFill>
                    </w:rPr>
                    <w:t>建筑垃圾加工生产线进行封闭处理，</w:t>
                  </w:r>
                  <w:r>
                    <w:rPr>
                      <w:rFonts w:eastAsia="宋体"/>
                      <w:bCs/>
                      <w:color w:val="000000" w:themeColor="text1"/>
                      <w:sz w:val="21"/>
                      <w14:textFill>
                        <w14:solidFill>
                          <w14:schemeClr w14:val="tx1"/>
                        </w14:solidFill>
                      </w14:textFill>
                    </w:rPr>
                    <w:t>给料台和破碎机出口各设置1个集气罩（集气效率90%），收集后经1台高效脉冲袋式除尘器（4#，除尘效率99%）处理后由15m高排气筒（DA004）排放。</w:t>
                  </w:r>
                </w:p>
              </w:tc>
              <w:tc>
                <w:tcPr>
                  <w:tcW w:w="421" w:type="pct"/>
                  <w:vAlign w:val="center"/>
                </w:tcPr>
                <w:p w14:paraId="34587D1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20000</w:t>
                  </w:r>
                </w:p>
              </w:tc>
              <w:tc>
                <w:tcPr>
                  <w:tcW w:w="361" w:type="pct"/>
                  <w:vAlign w:val="center"/>
                </w:tcPr>
                <w:p w14:paraId="41C4E6FA">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有组织</w:t>
                  </w:r>
                </w:p>
              </w:tc>
              <w:tc>
                <w:tcPr>
                  <w:tcW w:w="391" w:type="pct"/>
                  <w:vAlign w:val="center"/>
                </w:tcPr>
                <w:p w14:paraId="39DDE10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6.63</w:t>
                  </w:r>
                </w:p>
              </w:tc>
              <w:tc>
                <w:tcPr>
                  <w:tcW w:w="464" w:type="pct"/>
                  <w:vAlign w:val="center"/>
                </w:tcPr>
                <w:p w14:paraId="100FC6E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0.860</w:t>
                  </w:r>
                </w:p>
              </w:tc>
              <w:tc>
                <w:tcPr>
                  <w:tcW w:w="378" w:type="pct"/>
                  <w:vAlign w:val="center"/>
                </w:tcPr>
                <w:p w14:paraId="484F611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0.133</w:t>
                  </w:r>
                </w:p>
              </w:tc>
            </w:tr>
            <w:tr w14:paraId="030666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446F68D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建筑垃圾破碎、筛分</w:t>
                  </w:r>
                </w:p>
              </w:tc>
              <w:tc>
                <w:tcPr>
                  <w:tcW w:w="477" w:type="pct"/>
                  <w:vAlign w:val="center"/>
                </w:tcPr>
                <w:p w14:paraId="011533A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256C6990">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94.5</w:t>
                  </w:r>
                </w:p>
              </w:tc>
              <w:tc>
                <w:tcPr>
                  <w:tcW w:w="445" w:type="pct"/>
                  <w:vAlign w:val="center"/>
                </w:tcPr>
                <w:p w14:paraId="4B1A7A80">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14.583</w:t>
                  </w:r>
                </w:p>
              </w:tc>
              <w:tc>
                <w:tcPr>
                  <w:tcW w:w="1118" w:type="pct"/>
                  <w:vMerge w:val="continue"/>
                  <w:vAlign w:val="center"/>
                </w:tcPr>
                <w:p w14:paraId="51DA66E4">
                  <w:pPr>
                    <w:jc w:val="center"/>
                    <w:rPr>
                      <w:rFonts w:eastAsia="宋体"/>
                      <w:bCs/>
                      <w:color w:val="000000" w:themeColor="text1"/>
                      <w:sz w:val="21"/>
                      <w14:textFill>
                        <w14:solidFill>
                          <w14:schemeClr w14:val="tx1"/>
                        </w14:solidFill>
                      </w14:textFill>
                    </w:rPr>
                  </w:pPr>
                </w:p>
              </w:tc>
              <w:tc>
                <w:tcPr>
                  <w:tcW w:w="421" w:type="pct"/>
                  <w:vAlign w:val="center"/>
                </w:tcPr>
                <w:p w14:paraId="42AA07A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361" w:type="pct"/>
                  <w:vAlign w:val="center"/>
                </w:tcPr>
                <w:p w14:paraId="0FF46EC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2F4BA63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04342323">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0.096</w:t>
                  </w:r>
                </w:p>
              </w:tc>
              <w:tc>
                <w:tcPr>
                  <w:tcW w:w="378" w:type="pct"/>
                  <w:vAlign w:val="center"/>
                </w:tcPr>
                <w:p w14:paraId="5F34AE0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0.015</w:t>
                  </w:r>
                </w:p>
              </w:tc>
            </w:tr>
            <w:tr w14:paraId="1BE89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39913BB8">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再生骨料及再生水稳料装卸堆存</w:t>
                  </w:r>
                </w:p>
              </w:tc>
              <w:tc>
                <w:tcPr>
                  <w:tcW w:w="477" w:type="pct"/>
                  <w:vAlign w:val="center"/>
                </w:tcPr>
                <w:p w14:paraId="13ACE6C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6B1E071B">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17.857</w:t>
                  </w:r>
                </w:p>
              </w:tc>
              <w:tc>
                <w:tcPr>
                  <w:tcW w:w="445" w:type="pct"/>
                  <w:vAlign w:val="center"/>
                </w:tcPr>
                <w:p w14:paraId="7A03741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2.756</w:t>
                  </w:r>
                </w:p>
              </w:tc>
              <w:tc>
                <w:tcPr>
                  <w:tcW w:w="1118" w:type="pct"/>
                  <w:vAlign w:val="center"/>
                </w:tcPr>
                <w:p w14:paraId="71899C1A">
                  <w:pPr>
                    <w:jc w:val="center"/>
                    <w:rPr>
                      <w:rFonts w:eastAsia="宋体"/>
                      <w:bCs/>
                      <w:color w:val="000000" w:themeColor="text1"/>
                      <w:sz w:val="21"/>
                      <w14:textFill>
                        <w14:solidFill>
                          <w14:schemeClr w14:val="tx1"/>
                        </w14:solidFill>
                      </w14:textFill>
                    </w:rPr>
                  </w:pPr>
                  <w:r>
                    <w:rPr>
                      <w:rFonts w:eastAsia="宋体"/>
                      <w:bCs/>
                      <w:color w:val="000000" w:themeColor="text1"/>
                      <w:sz w:val="21"/>
                      <w14:textFill>
                        <w14:solidFill>
                          <w14:schemeClr w14:val="tx1"/>
                        </w14:solidFill>
                      </w14:textFill>
                    </w:rPr>
                    <w:t>再生骨料及再生水稳料仓除车辆进出时均保持仓门常闭，且仓内设置雾化喷淋系。</w:t>
                  </w:r>
                </w:p>
              </w:tc>
              <w:tc>
                <w:tcPr>
                  <w:tcW w:w="421" w:type="pct"/>
                  <w:vAlign w:val="center"/>
                </w:tcPr>
                <w:p w14:paraId="47367420">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361" w:type="pct"/>
                  <w:vAlign w:val="center"/>
                </w:tcPr>
                <w:p w14:paraId="0F11D202">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39B25D29">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0AACBDD9">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0.046</w:t>
                  </w:r>
                </w:p>
              </w:tc>
              <w:tc>
                <w:tcPr>
                  <w:tcW w:w="378" w:type="pct"/>
                  <w:vAlign w:val="center"/>
                </w:tcPr>
                <w:p w14:paraId="1FFBDA0B">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0.007</w:t>
                  </w:r>
                </w:p>
              </w:tc>
            </w:tr>
            <w:tr w14:paraId="367F3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5" w:type="pct"/>
                  <w:vAlign w:val="center"/>
                </w:tcPr>
                <w:p w14:paraId="67E87B5D">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车辆运输扬尘</w:t>
                  </w:r>
                </w:p>
              </w:tc>
              <w:tc>
                <w:tcPr>
                  <w:tcW w:w="477" w:type="pct"/>
                  <w:vAlign w:val="center"/>
                </w:tcPr>
                <w:p w14:paraId="5CD180F1">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颗粒物</w:t>
                  </w:r>
                </w:p>
              </w:tc>
              <w:tc>
                <w:tcPr>
                  <w:tcW w:w="440" w:type="pct"/>
                  <w:vAlign w:val="center"/>
                </w:tcPr>
                <w:p w14:paraId="6C4C7570">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2.52</w:t>
                  </w:r>
                </w:p>
              </w:tc>
              <w:tc>
                <w:tcPr>
                  <w:tcW w:w="445" w:type="pct"/>
                  <w:vAlign w:val="center"/>
                </w:tcPr>
                <w:p w14:paraId="4C424C5D">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0.389</w:t>
                  </w:r>
                </w:p>
              </w:tc>
              <w:tc>
                <w:tcPr>
                  <w:tcW w:w="1118" w:type="pct"/>
                  <w:vAlign w:val="center"/>
                </w:tcPr>
                <w:p w14:paraId="26785D3C">
                  <w:pPr>
                    <w:jc w:val="center"/>
                    <w:rPr>
                      <w:rFonts w:eastAsia="宋体"/>
                      <w:bCs/>
                      <w:color w:val="000000" w:themeColor="text1"/>
                      <w:sz w:val="21"/>
                      <w14:textFill>
                        <w14:solidFill>
                          <w14:schemeClr w14:val="tx1"/>
                        </w14:solidFill>
                      </w14:textFill>
                    </w:rPr>
                  </w:pPr>
                  <w:r>
                    <w:rPr>
                      <w:rFonts w:eastAsia="宋体"/>
                      <w:bCs/>
                      <w:color w:val="000000" w:themeColor="text1"/>
                      <w:sz w:val="21"/>
                      <w14:textFill>
                        <w14:solidFill>
                          <w14:schemeClr w14:val="tx1"/>
                        </w14:solidFill>
                      </w14:textFill>
                    </w:rPr>
                    <w:t>在厂区进出口设置洗车设备；对厂区内运输道路地面进行硬化，保持厂区路面清洁，进行洒水抑尘。</w:t>
                  </w:r>
                </w:p>
              </w:tc>
              <w:tc>
                <w:tcPr>
                  <w:tcW w:w="421" w:type="pct"/>
                  <w:vAlign w:val="center"/>
                </w:tcPr>
                <w:p w14:paraId="729D8B47">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361" w:type="pct"/>
                  <w:vAlign w:val="center"/>
                </w:tcPr>
                <w:p w14:paraId="20F523B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无组织</w:t>
                  </w:r>
                </w:p>
              </w:tc>
              <w:tc>
                <w:tcPr>
                  <w:tcW w:w="391" w:type="pct"/>
                  <w:vAlign w:val="center"/>
                </w:tcPr>
                <w:p w14:paraId="77692116">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w:t>
                  </w:r>
                </w:p>
              </w:tc>
              <w:tc>
                <w:tcPr>
                  <w:tcW w:w="464" w:type="pct"/>
                  <w:vAlign w:val="center"/>
                </w:tcPr>
                <w:p w14:paraId="17274CDE">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0.655</w:t>
                  </w:r>
                </w:p>
              </w:tc>
              <w:tc>
                <w:tcPr>
                  <w:tcW w:w="378" w:type="pct"/>
                  <w:vAlign w:val="center"/>
                </w:tcPr>
                <w:p w14:paraId="59BCAE7F">
                  <w:pPr>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0.101</w:t>
                  </w:r>
                </w:p>
              </w:tc>
            </w:tr>
          </w:tbl>
          <w:p w14:paraId="528DCA61">
            <w:pPr>
              <w:rPr>
                <w:color w:val="000000" w:themeColor="text1"/>
                <w14:textFill>
                  <w14:solidFill>
                    <w14:schemeClr w14:val="tx1"/>
                  </w14:solidFill>
                </w14:textFill>
              </w:rPr>
            </w:pPr>
          </w:p>
          <w:p w14:paraId="15F48292">
            <w:pPr>
              <w:pStyle w:val="28"/>
              <w:spacing w:line="360" w:lineRule="auto"/>
              <w:ind w:left="0" w:leftChars="0" w:right="-120" w:firstLine="480" w:firstLineChars="200"/>
              <w:jc w:val="both"/>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（2）源强核算及达标排放分析</w:t>
            </w:r>
          </w:p>
          <w:p w14:paraId="6041D03D">
            <w:pPr>
              <w:pStyle w:val="145"/>
              <w:spacing w:line="360" w:lineRule="auto"/>
              <w:ind w:firstLine="468" w:firstLineChars="200"/>
              <w:rPr>
                <w:rFonts w:ascii="Times New Roman" w:hAnsi="Times New Roman" w:eastAsia="宋体" w:cs="Times New Roman"/>
                <w:bCs/>
                <w:color w:val="000000" w:themeColor="text1"/>
                <w:lang w:eastAsia="zh-CN"/>
                <w14:textFill>
                  <w14:solidFill>
                    <w14:schemeClr w14:val="tx1"/>
                  </w14:solidFill>
                </w14:textFill>
              </w:rPr>
            </w:pPr>
            <w:r>
              <w:rPr>
                <w:rFonts w:hint="eastAsia" w:ascii="宋体" w:hAnsi="宋体" w:eastAsia="宋体" w:cs="宋体"/>
                <w:bCs/>
                <w:color w:val="000000" w:themeColor="text1"/>
                <w:spacing w:val="-3"/>
                <w:lang w:eastAsia="zh-CN"/>
                <w14:textFill>
                  <w14:solidFill>
                    <w14:schemeClr w14:val="tx1"/>
                  </w14:solidFill>
                </w14:textFill>
              </w:rPr>
              <w:t>①</w:t>
            </w:r>
            <w:r>
              <w:rPr>
                <w:rFonts w:ascii="Times New Roman" w:hAnsi="Times New Roman" w:eastAsia="宋体" w:cs="Times New Roman"/>
                <w:bCs/>
                <w:color w:val="000000" w:themeColor="text1"/>
                <w:spacing w:val="-3"/>
                <w:lang w:eastAsia="zh-CN"/>
                <w14:textFill>
                  <w14:solidFill>
                    <w14:schemeClr w14:val="tx1"/>
                  </w14:solidFill>
                </w14:textFill>
              </w:rPr>
              <w:t>石灰石卸料及堆存粉尘</w:t>
            </w:r>
            <w:r>
              <w:rPr>
                <w:rFonts w:ascii="Times New Roman" w:hAnsi="Times New Roman" w:eastAsia="宋体" w:cs="Times New Roman"/>
                <w:bCs/>
                <w:color w:val="000000" w:themeColor="text1"/>
                <w:lang w:eastAsia="zh-CN"/>
                <w14:textFill>
                  <w14:solidFill>
                    <w14:schemeClr w14:val="tx1"/>
                  </w14:solidFill>
                </w14:textFill>
              </w:rPr>
              <w:t>G1</w:t>
            </w:r>
          </w:p>
          <w:p w14:paraId="537498D7">
            <w:pPr>
              <w:pStyle w:val="145"/>
              <w:spacing w:line="360" w:lineRule="auto"/>
              <w:ind w:firstLine="481"/>
              <w:rPr>
                <w:rFonts w:ascii="Times New Roman" w:hAnsi="Times New Roman" w:eastAsia="宋体" w:cs="Times New Roman"/>
                <w:bCs/>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本项目生产所需要的石灰石由自卸汽车运输入场</w:t>
            </w:r>
            <w:r>
              <w:rPr>
                <w:rFonts w:ascii="Times New Roman" w:hAnsi="Times New Roman" w:eastAsia="宋体" w:cs="Times New Roman"/>
                <w:color w:val="000000" w:themeColor="text1"/>
                <w:spacing w:val="-1"/>
                <w:lang w:eastAsia="zh-CN"/>
                <w14:textFill>
                  <w14:solidFill>
                    <w14:schemeClr w14:val="tx1"/>
                  </w14:solidFill>
                </w14:textFill>
              </w:rPr>
              <w:t>，倾倒在</w:t>
            </w:r>
            <w:r>
              <w:rPr>
                <w:rFonts w:ascii="Times New Roman" w:hAnsi="Times New Roman" w:eastAsia="宋体" w:cs="Times New Roman"/>
                <w:color w:val="000000" w:themeColor="text1"/>
                <w:lang w:eastAsia="zh-CN"/>
                <w14:textFill>
                  <w14:solidFill>
                    <w14:schemeClr w14:val="tx1"/>
                  </w14:solidFill>
                </w14:textFill>
              </w:rPr>
              <w:t>石灰石料仓内，石灰石料仓除车辆进出时均保持仓门</w:t>
            </w:r>
            <w:r>
              <w:rPr>
                <w:rFonts w:ascii="Times New Roman" w:hAnsi="Times New Roman" w:eastAsia="宋体" w:cs="Times New Roman"/>
                <w:color w:val="000000" w:themeColor="text1"/>
                <w:spacing w:val="-1"/>
                <w:lang w:eastAsia="zh-CN"/>
                <w14:textFill>
                  <w14:solidFill>
                    <w14:schemeClr w14:val="tx1"/>
                  </w14:solidFill>
                </w14:textFill>
              </w:rPr>
              <w:t>常闭，且仓内设置雾化喷淋系统抑尘</w:t>
            </w:r>
            <w:r>
              <w:rPr>
                <w:rFonts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bCs/>
                <w:color w:val="000000" w:themeColor="text1"/>
                <w:lang w:eastAsia="zh-CN"/>
                <w14:textFill>
                  <w14:solidFill>
                    <w14:schemeClr w14:val="tx1"/>
                  </w14:solidFill>
                </w14:textFill>
              </w:rPr>
              <w:t>石灰石卸料及堆存粉尘产生量参照《排放源统计调查产排污核算方法和系数手册》（2021年第24号）附表2固体物料堆存颗粒物产排污核算系数手册进行估算，公式如下：</w:t>
            </w:r>
          </w:p>
          <w:p w14:paraId="7AD0C433">
            <w:pPr>
              <w:adjustRightInd w:val="0"/>
              <w:snapToGrid w:val="0"/>
              <w:spacing w:line="360" w:lineRule="auto"/>
              <w:jc w:val="center"/>
              <w:rPr>
                <w:rFonts w:eastAsia="宋体"/>
                <w:bCs/>
                <w:color w:val="000000" w:themeColor="text1"/>
                <w:vertAlign w:val="superscript"/>
                <w14:textFill>
                  <w14:solidFill>
                    <w14:schemeClr w14:val="tx1"/>
                  </w14:solidFill>
                </w14:textFill>
              </w:rPr>
            </w:pPr>
            <w:r>
              <w:rPr>
                <w:rFonts w:eastAsia="宋体"/>
                <w:bCs/>
                <w:color w:val="000000" w:themeColor="text1"/>
                <w14:textFill>
                  <w14:solidFill>
                    <w14:schemeClr w14:val="tx1"/>
                  </w14:solidFill>
                </w14:textFill>
              </w:rPr>
              <w:t>P=ZC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+FC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={N</w:t>
            </w:r>
            <w:r>
              <w:rPr>
                <w:rFonts w:eastAsia="宋体"/>
                <w:bCs/>
                <w:color w:val="000000" w:themeColor="text1"/>
                <w:vertAlign w:val="subscript"/>
                <w14:textFill>
                  <w14:solidFill>
                    <w14:schemeClr w14:val="tx1"/>
                  </w14:solidFill>
                </w14:textFill>
              </w:rPr>
              <w:t>c</w:t>
            </w:r>
            <w:r>
              <w:rPr>
                <w:rFonts w:eastAsia="宋体"/>
                <w:bCs/>
                <w:color w:val="000000" w:themeColor="text1"/>
                <w14:textFill>
                  <w14:solidFill>
                    <w14:schemeClr w14:val="tx1"/>
                  </w14:solidFill>
                </w14:textFill>
              </w:rPr>
              <w:t>×D×(a/b)+2×E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×S}×10</w:t>
            </w:r>
            <w:r>
              <w:rPr>
                <w:rFonts w:eastAsia="宋体"/>
                <w:bCs/>
                <w:color w:val="000000" w:themeColor="text1"/>
                <w:vertAlign w:val="superscript"/>
                <w14:textFill>
                  <w14:solidFill>
                    <w14:schemeClr w14:val="tx1"/>
                  </w14:solidFill>
                </w14:textFill>
              </w:rPr>
              <w:t>−3</w:t>
            </w:r>
          </w:p>
          <w:p w14:paraId="3603C44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式中：P——指颗粒物产生量（单位：吨）；</w:t>
            </w:r>
          </w:p>
          <w:p w14:paraId="498D9310">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ZC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——指装卸扬尘产生量（单位：吨）；</w:t>
            </w:r>
          </w:p>
          <w:p w14:paraId="574F9A4A">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FC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——指风蚀扬尘产生量（单位：吨）；</w:t>
            </w:r>
          </w:p>
          <w:p w14:paraId="23DEDBAE">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N</w:t>
            </w:r>
            <w:r>
              <w:rPr>
                <w:rFonts w:eastAsia="宋体"/>
                <w:bCs/>
                <w:color w:val="000000" w:themeColor="text1"/>
                <w:vertAlign w:val="subscript"/>
                <w14:textFill>
                  <w14:solidFill>
                    <w14:schemeClr w14:val="tx1"/>
                  </w14:solidFill>
                </w14:textFill>
              </w:rPr>
              <w:t>c</w:t>
            </w:r>
            <w:r>
              <w:rPr>
                <w:rFonts w:eastAsia="宋体"/>
                <w:bCs/>
                <w:color w:val="000000" w:themeColor="text1"/>
                <w14:textFill>
                  <w14:solidFill>
                    <w14:schemeClr w14:val="tx1"/>
                  </w14:solidFill>
                </w14:textFill>
              </w:rPr>
              <w:t>——指年物料运载车次（单位：车）；本项目取6000车。</w:t>
            </w:r>
          </w:p>
          <w:p w14:paraId="379E7109">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D——指单车平均运载量（单位：吨/车）；本项目取50t/车。</w:t>
            </w:r>
          </w:p>
          <w:p w14:paraId="54634368">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(a/b)——指装卸扬尘概化系数（单位：千克/吨），a指各省风速概化系数，见附录1，b指物料含水率概化系数，见附录2；本项目a取0.0015，b取0.0017。</w:t>
            </w:r>
          </w:p>
          <w:p w14:paraId="7F1DBE2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——指堆场风蚀扬尘概化系数，见附录3（单位：千克/平方米）；本项目取各种石灰石产品，E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为3.6062kg/m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w:t>
            </w:r>
          </w:p>
          <w:p w14:paraId="3314C20C">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S——指堆场占地面积（单位：平方米）。本项目为500m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w:t>
            </w:r>
          </w:p>
          <w:p w14:paraId="3E652525">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经计算本项目石灰石卸料及堆存粉尘产生量为268.312t/a，产生速率为44.184kg/h。</w:t>
            </w:r>
          </w:p>
          <w:p w14:paraId="4D897FC5">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石灰石料仓除车辆进出时均保持仓门常闭，且仓内设置雾化喷淋系统抑尘，根据《工业源固体物料堆场颗粒物核算系数手册》中提出的粉尘控制措施效率：密闭式厂房粉尘控制效率Tm为99%，洒水措施控制效率Cm为74%，颗粒物排放量计算公式如下：</w:t>
            </w:r>
          </w:p>
          <w:p w14:paraId="59220F7B">
            <w:pPr>
              <w:adjustRightInd w:val="0"/>
              <w:snapToGrid w:val="0"/>
              <w:spacing w:line="360" w:lineRule="auto"/>
              <w:jc w:val="center"/>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Uc=</w:t>
            </w:r>
            <w:r>
              <w:rPr>
                <w:rFonts w:eastAsia="宋体"/>
                <w:bCs/>
                <w:iCs/>
                <w:color w:val="000000" w:themeColor="text1"/>
                <w14:textFill>
                  <w14:solidFill>
                    <w14:schemeClr w14:val="tx1"/>
                  </w14:solidFill>
                </w14:textFill>
              </w:rPr>
              <w:t>P</w:t>
            </w:r>
            <w:r>
              <w:rPr>
                <w:rFonts w:eastAsia="宋体"/>
                <w:bCs/>
                <w:color w:val="000000" w:themeColor="text1"/>
                <w14:textFill>
                  <w14:solidFill>
                    <w14:schemeClr w14:val="tx1"/>
                  </w14:solidFill>
                </w14:textFill>
              </w:rPr>
              <w:t>×(1-</w:t>
            </w:r>
            <w:r>
              <w:rPr>
                <w:rFonts w:eastAsia="宋体"/>
                <w:bCs/>
                <w:iCs/>
                <w:color w:val="000000" w:themeColor="text1"/>
                <w14:textFill>
                  <w14:solidFill>
                    <w14:schemeClr w14:val="tx1"/>
                  </w14:solidFill>
                </w14:textFill>
              </w:rPr>
              <w:t>C</w:t>
            </w:r>
            <w:r>
              <w:rPr>
                <w:rFonts w:eastAsia="宋体"/>
                <w:bCs/>
                <w:color w:val="000000" w:themeColor="text1"/>
                <w14:textFill>
                  <w14:solidFill>
                    <w14:schemeClr w14:val="tx1"/>
                  </w14:solidFill>
                </w14:textFill>
              </w:rPr>
              <w:t>m)×(1-</w:t>
            </w:r>
            <w:r>
              <w:rPr>
                <w:rFonts w:eastAsia="宋体"/>
                <w:bCs/>
                <w:iCs/>
                <w:color w:val="000000" w:themeColor="text1"/>
                <w14:textFill>
                  <w14:solidFill>
                    <w14:schemeClr w14:val="tx1"/>
                  </w14:solidFill>
                </w14:textFill>
              </w:rPr>
              <w:t>T</w:t>
            </w:r>
            <w:r>
              <w:rPr>
                <w:rFonts w:eastAsia="宋体"/>
                <w:bCs/>
                <w:color w:val="000000" w:themeColor="text1"/>
                <w14:textFill>
                  <w14:solidFill>
                    <w14:schemeClr w14:val="tx1"/>
                  </w14:solidFill>
                </w14:textFill>
              </w:rPr>
              <w:t>m)</w:t>
            </w:r>
          </w:p>
          <w:p w14:paraId="0AB8C1F8">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式中：P——指颗粒物产生量（单位：吨）；</w:t>
            </w:r>
          </w:p>
          <w:p w14:paraId="6CF60A3A">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Uc——指颗粒物排放量（单位：吨）；</w:t>
            </w:r>
          </w:p>
          <w:p w14:paraId="35F349AF">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Cm——指颗粒物控制措施控制效率（单位：%），74%；</w:t>
            </w:r>
          </w:p>
          <w:p w14:paraId="515E86BB">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Tm——指堆场类型控制效率（单位：%），99%。</w:t>
            </w:r>
          </w:p>
          <w:p w14:paraId="2EF77F69">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根据上式计算结果可知，石灰石卸料及堆存粉尘的排放量为0.698t/a，排放速率为0.108kg/h。</w:t>
            </w:r>
          </w:p>
          <w:p w14:paraId="619D2CF6">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②</w:t>
            </w:r>
            <w:r>
              <w:rPr>
                <w:rFonts w:ascii="Times New Roman" w:hAnsi="Times New Roman" w:eastAsia="宋体" w:cs="Times New Roman"/>
                <w:b/>
                <w:bCs/>
                <w:color w:val="000000" w:themeColor="text1"/>
                <w:lang w:eastAsia="zh-CN"/>
                <w14:textFill>
                  <w14:solidFill>
                    <w14:schemeClr w14:val="tx1"/>
                  </w14:solidFill>
                </w14:textFill>
              </w:rPr>
              <w:t>石灰石投料G2、磨粉粉尘G3</w:t>
            </w:r>
          </w:p>
          <w:p w14:paraId="4DAFA018">
            <w:pPr>
              <w:pStyle w:val="65"/>
              <w:jc w:val="both"/>
              <w:rPr>
                <w:rFonts w:ascii="Times New Roman" w:hAnsi="Times New Roman" w:eastAsiaTheme="minorEastAsia"/>
                <w:bCs/>
                <w:color w:val="000000" w:themeColor="text1"/>
                <w:lang w:eastAsia="zh-CN"/>
                <w14:textFill>
                  <w14:solidFill>
                    <w14:schemeClr w14:val="tx1"/>
                  </w14:solidFill>
                </w14:textFill>
              </w:rPr>
            </w:pPr>
            <w:r>
              <w:rPr>
                <w:rFonts w:ascii="Times New Roman" w:hAnsi="Times New Roman" w:eastAsia="宋体"/>
                <w:bCs/>
                <w:color w:val="000000" w:themeColor="text1"/>
                <w:lang w:eastAsia="zh-CN"/>
                <w14:textFill>
                  <w14:solidFill>
                    <w14:schemeClr w14:val="tx1"/>
                  </w14:solidFill>
                </w14:textFill>
              </w:rPr>
              <w:t>本项目石灰石原料经铲车送入投料口，参照《逸散性工业粉尘控制技术》中表18-1粒料加工厂逸散尘的排放因子卸料产尘量按0.02kg/t-原料计，</w:t>
            </w:r>
            <w:r>
              <w:rPr>
                <w:rFonts w:ascii="Times New Roman" w:hAnsi="Times New Roman" w:eastAsiaTheme="minorEastAsia"/>
                <w:bCs/>
                <w:color w:val="000000" w:themeColor="text1"/>
                <w:lang w:eastAsia="zh-CN"/>
                <w14:textFill>
                  <w14:solidFill>
                    <w14:schemeClr w14:val="tx1"/>
                  </w14:solidFill>
                </w14:textFill>
              </w:rPr>
              <w:t>石灰石原料量为300000t/a，年生产6480h。则石灰石投料粉尘产生量为6t/a，产生速率为0.926kg/h。投料口设置1个集气罩（集气效率90%）对产生的粉尘进行收集，石灰石加工车间为全封闭结构，未收集的颗粒物均以无组织形式排放于车间内，部分颗粒物因重力自然沉降，定期清扫后与产品混合作为成品外售，参照《工业源固体物料堆场颗粒物核算系数手册》中提出的粉尘控制措施效率，密闭式厂房粉尘控制效率为99%，则投料工序无组织颗粒物排放量为0.006t/a，排放速率为0.001kg/h。</w:t>
            </w:r>
          </w:p>
          <w:p w14:paraId="53A2B693">
            <w:pPr>
              <w:pStyle w:val="65"/>
              <w:jc w:val="both"/>
              <w:rPr>
                <w:rFonts w:ascii="Times New Roman" w:hAnsi="Times New Roman" w:eastAsia="宋体"/>
                <w:bCs/>
                <w:color w:val="000000" w:themeColor="text1"/>
                <w:szCs w:val="24"/>
                <w:lang w:eastAsia="zh-CN"/>
                <w14:textFill>
                  <w14:solidFill>
                    <w14:schemeClr w14:val="tx1"/>
                  </w14:solidFill>
                </w14:textFill>
              </w:rPr>
            </w:pPr>
            <w:r>
              <w:rPr>
                <w:rFonts w:ascii="Times New Roman" w:hAnsi="Times New Roman" w:eastAsia="宋体"/>
                <w:bCs/>
                <w:color w:val="000000" w:themeColor="text1"/>
                <w:szCs w:val="24"/>
                <w:lang w:eastAsia="zh-CN"/>
                <w14:textFill>
                  <w14:solidFill>
                    <w14:schemeClr w14:val="tx1"/>
                  </w14:solidFill>
                </w14:textFill>
              </w:rPr>
              <w:t>粉磨机为封闭式结构，3台磨粉机产生的含尘气体通过密闭管道收集汇总，汇同投料粉尘一同送入1台高效脉冲袋式除尘器（3#，除尘效率99%）处理后由15m高排气筒（DA003）排放。根据《排放源统计调查产排污核算方法和系数手册》中“3099 其他非金属矿物制品制造行业系数表”，石灰石粉磨工序颗粒物产污系数为1.19kg/t产品，本项目年产石灰石粉30万吨，则石灰石粉磨粉尘产生量为357t/a，项目年运行6480h，则产生速率为55.093kg/h。粉磨机为封闭式结构，粉尘收集效率按100%计。</w:t>
            </w:r>
          </w:p>
          <w:p w14:paraId="65F35EF1">
            <w:pPr>
              <w:pStyle w:val="65"/>
              <w:jc w:val="both"/>
              <w:rPr>
                <w:rFonts w:ascii="Times New Roman" w:hAnsi="Times New Roman" w:eastAsia="宋体"/>
                <w:bCs/>
                <w:color w:val="000000" w:themeColor="text1"/>
                <w:szCs w:val="24"/>
                <w:lang w:eastAsia="zh-CN"/>
                <w14:textFill>
                  <w14:solidFill>
                    <w14:schemeClr w14:val="tx1"/>
                  </w14:solidFill>
                </w14:textFill>
              </w:rPr>
            </w:pPr>
            <w:r>
              <w:rPr>
                <w:rFonts w:ascii="Times New Roman" w:hAnsi="Times New Roman" w:eastAsia="宋体"/>
                <w:bCs/>
                <w:color w:val="000000" w:themeColor="text1"/>
                <w:szCs w:val="24"/>
                <w:lang w:eastAsia="zh-CN"/>
                <w14:textFill>
                  <w14:solidFill>
                    <w14:schemeClr w14:val="tx1"/>
                  </w14:solidFill>
                </w14:textFill>
              </w:rPr>
              <w:t>石灰石投料、磨粉粉尘收集后经1台高效脉冲袋式除尘器（3#，除尘效率99%）处理，除尘器风机风量为20000m³/h，处理后由15m高排气筒（DA003）排放。则石灰石投料、磨粉有组织颗粒物排放量为3.624t/a，排放速率为0.559kg/h，排放浓度为27.96m³/h。排放满足《石灰、电石工业大气污染物排放标准》（GB41618-2022）中石灰制品生产大气排放标准限值要求。</w:t>
            </w:r>
          </w:p>
          <w:p w14:paraId="613FD242">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③</w:t>
            </w:r>
            <w:r>
              <w:rPr>
                <w:rFonts w:ascii="Times New Roman" w:hAnsi="Times New Roman" w:eastAsia="宋体" w:cs="Times New Roman"/>
                <w:b/>
                <w:bCs/>
                <w:color w:val="000000" w:themeColor="text1"/>
                <w:lang w:eastAsia="zh-CN"/>
                <w14:textFill>
                  <w14:solidFill>
                    <w14:schemeClr w14:val="tx1"/>
                  </w14:solidFill>
                </w14:textFill>
              </w:rPr>
              <w:t>石灰石粉罐仓储存粉尘G3</w:t>
            </w:r>
          </w:p>
          <w:p w14:paraId="6872147A">
            <w:pPr>
              <w:pStyle w:val="145"/>
              <w:spacing w:line="360" w:lineRule="auto"/>
              <w:ind w:firstLine="480" w:firstLineChars="200"/>
              <w:rPr>
                <w:rFonts w:ascii="Times New Roman" w:hAnsi="Times New Roman" w:eastAsia="宋体" w:cs="Times New Roman"/>
                <w:bCs/>
                <w:snapToGrid w:val="0"/>
                <w:color w:val="000000" w:themeColor="text1"/>
                <w:kern w:val="0"/>
                <w:lang w:eastAsia="zh-CN" w:bidi="en-US"/>
                <w14:textFill>
                  <w14:solidFill>
                    <w14:schemeClr w14:val="tx1"/>
                  </w14:solidFill>
                </w14:textFill>
              </w:rPr>
            </w:pPr>
            <w:r>
              <w:rPr>
                <w:rFonts w:ascii="Times New Roman" w:hAnsi="Times New Roman" w:eastAsia="宋体" w:cs="Times New Roman"/>
                <w:bCs/>
                <w:snapToGrid w:val="0"/>
                <w:color w:val="000000" w:themeColor="text1"/>
                <w:kern w:val="0"/>
                <w:lang w:eastAsia="zh-CN" w:bidi="en-US"/>
                <w14:textFill>
                  <w14:solidFill>
                    <w14:schemeClr w14:val="tx1"/>
                  </w14:solidFill>
                </w14:textFill>
              </w:rPr>
              <w:t>本项目设置2个1000t石灰石粉罐仓，粉磨机粉磨后的产品通过管道密闭输送至石灰石粉罐仓存储时会产生粉尘，每座罐仓仓顶自带高效脉冲布袋除尘器（除尘效率99%），含尘气体处理后由顶部排放。参照《排放源统计调查产排污核算方法和系数手册》中“3021水泥制品制造（含3022砼结构构件制造、3029其他水泥类似制品制造行业系数表”，物料输送贮存过程的产污系数为0.12kg/t产品，本项目年产石灰石粉30万吨，则罐仓粉尘产生量为36t/a，项目年运行6480h，则产生速率为5.556kg/h。产生的粉尘经高效脉冲布袋除尘器（除尘效率99%）处理后排放，未设置排气筒，则视为无组织排放，罐仓粉尘排放量为0.36t/a，排放速率为0.056kg/h</w:t>
            </w:r>
            <w:r>
              <w:rPr>
                <w:rFonts w:ascii="Times New Roman" w:hAnsi="Times New Roman" w:eastAsia="宋体" w:cs="Times New Roman"/>
                <w:bCs/>
                <w:color w:val="000000" w:themeColor="text1"/>
                <w:lang w:eastAsia="zh-CN"/>
                <w14:textFill>
                  <w14:solidFill>
                    <w14:schemeClr w14:val="tx1"/>
                  </w14:solidFill>
                </w14:textFill>
              </w:rPr>
              <w:t>。</w:t>
            </w:r>
          </w:p>
          <w:p w14:paraId="7B8878BD">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④</w:t>
            </w:r>
            <w:r>
              <w:rPr>
                <w:rFonts w:ascii="Times New Roman" w:hAnsi="Times New Roman" w:eastAsia="宋体" w:cs="Times New Roman"/>
                <w:b/>
                <w:bCs/>
                <w:color w:val="000000" w:themeColor="text1"/>
                <w:lang w:eastAsia="zh-CN"/>
                <w14:textFill>
                  <w14:solidFill>
                    <w14:schemeClr w14:val="tx1"/>
                  </w14:solidFill>
                </w14:textFill>
              </w:rPr>
              <w:t>建筑垃圾卸料及堆存粉尘G4</w:t>
            </w:r>
          </w:p>
          <w:p w14:paraId="17B4C231">
            <w:pPr>
              <w:pStyle w:val="145"/>
              <w:spacing w:line="360" w:lineRule="auto"/>
              <w:ind w:firstLine="481"/>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本项目生产所需要的建筑垃圾由自卸汽车运输入场，倾倒在建筑垃圾料仓内，建筑垃圾料仓除车辆进出时均保持仓门常闭，且仓内设置雾化喷淋系统抑尘。</w:t>
            </w:r>
            <w:r>
              <w:rPr>
                <w:rFonts w:ascii="Times New Roman" w:hAnsi="Times New Roman" w:eastAsia="宋体" w:cs="Times New Roman"/>
                <w:bCs/>
                <w:color w:val="000000" w:themeColor="text1"/>
                <w:lang w:eastAsia="zh-CN"/>
                <w14:textFill>
                  <w14:solidFill>
                    <w14:schemeClr w14:val="tx1"/>
                  </w14:solidFill>
                </w14:textFill>
              </w:rPr>
              <w:t>建筑垃圾卸料及堆存粉尘产生量参照《排放源统计调查产排污核算方法和系数手册》（2021年第24号）附表2固体物料堆存颗粒物产排污核算系数手册进行估算，公式如下：</w:t>
            </w:r>
          </w:p>
          <w:p w14:paraId="0C8A9BAF">
            <w:pPr>
              <w:adjustRightInd w:val="0"/>
              <w:snapToGrid w:val="0"/>
              <w:spacing w:line="360" w:lineRule="auto"/>
              <w:jc w:val="center"/>
              <w:rPr>
                <w:rFonts w:eastAsia="宋体"/>
                <w:bCs/>
                <w:color w:val="000000" w:themeColor="text1"/>
                <w:vertAlign w:val="superscript"/>
                <w14:textFill>
                  <w14:solidFill>
                    <w14:schemeClr w14:val="tx1"/>
                  </w14:solidFill>
                </w14:textFill>
              </w:rPr>
            </w:pPr>
            <w:r>
              <w:rPr>
                <w:rFonts w:eastAsia="宋体"/>
                <w:bCs/>
                <w:color w:val="000000" w:themeColor="text1"/>
                <w14:textFill>
                  <w14:solidFill>
                    <w14:schemeClr w14:val="tx1"/>
                  </w14:solidFill>
                </w14:textFill>
              </w:rPr>
              <w:t>P=ZC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+FC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={N</w:t>
            </w:r>
            <w:r>
              <w:rPr>
                <w:rFonts w:eastAsia="宋体"/>
                <w:bCs/>
                <w:color w:val="000000" w:themeColor="text1"/>
                <w:vertAlign w:val="subscript"/>
                <w14:textFill>
                  <w14:solidFill>
                    <w14:schemeClr w14:val="tx1"/>
                  </w14:solidFill>
                </w14:textFill>
              </w:rPr>
              <w:t>c</w:t>
            </w:r>
            <w:r>
              <w:rPr>
                <w:rFonts w:eastAsia="宋体"/>
                <w:bCs/>
                <w:color w:val="000000" w:themeColor="text1"/>
                <w14:textFill>
                  <w14:solidFill>
                    <w14:schemeClr w14:val="tx1"/>
                  </w14:solidFill>
                </w14:textFill>
              </w:rPr>
              <w:t>×D×(a/b)+2×E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×S}×10</w:t>
            </w:r>
            <w:r>
              <w:rPr>
                <w:rFonts w:eastAsia="宋体"/>
                <w:bCs/>
                <w:color w:val="000000" w:themeColor="text1"/>
                <w:vertAlign w:val="superscript"/>
                <w14:textFill>
                  <w14:solidFill>
                    <w14:schemeClr w14:val="tx1"/>
                  </w14:solidFill>
                </w14:textFill>
              </w:rPr>
              <w:t>−3</w:t>
            </w:r>
          </w:p>
          <w:p w14:paraId="3C833FCC">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式中：P——指颗粒物产生量（单位：吨）；</w:t>
            </w:r>
          </w:p>
          <w:p w14:paraId="123349EE">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ZC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——指装卸扬尘产生量（单位：吨）；</w:t>
            </w:r>
          </w:p>
          <w:p w14:paraId="54A7FA9D">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FC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——指风蚀扬尘产生量（单位：吨）；</w:t>
            </w:r>
          </w:p>
          <w:p w14:paraId="4B4639FE">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N</w:t>
            </w:r>
            <w:r>
              <w:rPr>
                <w:rFonts w:eastAsia="宋体"/>
                <w:bCs/>
                <w:color w:val="000000" w:themeColor="text1"/>
                <w:vertAlign w:val="subscript"/>
                <w14:textFill>
                  <w14:solidFill>
                    <w14:schemeClr w14:val="tx1"/>
                  </w14:solidFill>
                </w14:textFill>
              </w:rPr>
              <w:t>c</w:t>
            </w:r>
            <w:r>
              <w:rPr>
                <w:rFonts w:eastAsia="宋体"/>
                <w:bCs/>
                <w:color w:val="000000" w:themeColor="text1"/>
                <w14:textFill>
                  <w14:solidFill>
                    <w14:schemeClr w14:val="tx1"/>
                  </w14:solidFill>
                </w14:textFill>
              </w:rPr>
              <w:t>——指年物料运载车次（单位：车）；本项目取1000车。</w:t>
            </w:r>
          </w:p>
          <w:p w14:paraId="602BA0C2">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D——指单车平均运载量（单位：吨/车）；本项目取50t/车。</w:t>
            </w:r>
          </w:p>
          <w:p w14:paraId="04C32A5E">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(a/b)——指装卸扬尘概化系数（单位：千克/吨），a指各省风速概化系数，见附录1，b指物料含水率概化系数，见附录2，附录2中堆存物料类型无建筑垃圾，本次参照混合矿石；本项目a取0.0015，b取0.0084。</w:t>
            </w:r>
          </w:p>
          <w:p w14:paraId="4E3CFD3D">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——指堆场风蚀扬尘概化系数，见附录3（单位：千克/平方米）；附录3中堆存物料类型无建筑垃圾，本次参照混合矿石，E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为0kg/m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w:t>
            </w:r>
          </w:p>
          <w:p w14:paraId="14CBE3A1">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S——指堆场占地面积（单位：平方米）。本项目为500m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w:t>
            </w:r>
          </w:p>
          <w:p w14:paraId="6CE8627D">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经计算本项目建筑垃圾卸料及堆存粉尘产生量为8.929t/a，产生速率为44.184kg/h。</w:t>
            </w:r>
          </w:p>
          <w:p w14:paraId="2A174ECC">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建筑垃圾料仓除车辆进出时均保持仓门常闭，且仓内设置雾化喷淋系统抑尘，根据《工业源固体物料堆场颗粒物核算系数手册》中提出的粉尘控制措施效率：密闭式厂房粉尘控制效率Tm为99%，洒水措施控制效率Cm为74%，颗粒物排放量计算公式如下：</w:t>
            </w:r>
          </w:p>
          <w:p w14:paraId="5B36A579">
            <w:pPr>
              <w:adjustRightInd w:val="0"/>
              <w:snapToGrid w:val="0"/>
              <w:spacing w:line="360" w:lineRule="auto"/>
              <w:jc w:val="center"/>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Uc=</w:t>
            </w:r>
            <w:r>
              <w:rPr>
                <w:rFonts w:eastAsia="宋体"/>
                <w:bCs/>
                <w:iCs/>
                <w:color w:val="000000" w:themeColor="text1"/>
                <w14:textFill>
                  <w14:solidFill>
                    <w14:schemeClr w14:val="tx1"/>
                  </w14:solidFill>
                </w14:textFill>
              </w:rPr>
              <w:t>P</w:t>
            </w:r>
            <w:r>
              <w:rPr>
                <w:rFonts w:eastAsia="宋体"/>
                <w:bCs/>
                <w:color w:val="000000" w:themeColor="text1"/>
                <w14:textFill>
                  <w14:solidFill>
                    <w14:schemeClr w14:val="tx1"/>
                  </w14:solidFill>
                </w14:textFill>
              </w:rPr>
              <w:t>×(1-</w:t>
            </w:r>
            <w:r>
              <w:rPr>
                <w:rFonts w:eastAsia="宋体"/>
                <w:bCs/>
                <w:iCs/>
                <w:color w:val="000000" w:themeColor="text1"/>
                <w14:textFill>
                  <w14:solidFill>
                    <w14:schemeClr w14:val="tx1"/>
                  </w14:solidFill>
                </w14:textFill>
              </w:rPr>
              <w:t>C</w:t>
            </w:r>
            <w:r>
              <w:rPr>
                <w:rFonts w:eastAsia="宋体"/>
                <w:bCs/>
                <w:color w:val="000000" w:themeColor="text1"/>
                <w14:textFill>
                  <w14:solidFill>
                    <w14:schemeClr w14:val="tx1"/>
                  </w14:solidFill>
                </w14:textFill>
              </w:rPr>
              <w:t>m)×(1-</w:t>
            </w:r>
            <w:r>
              <w:rPr>
                <w:rFonts w:eastAsia="宋体"/>
                <w:bCs/>
                <w:iCs/>
                <w:color w:val="000000" w:themeColor="text1"/>
                <w14:textFill>
                  <w14:solidFill>
                    <w14:schemeClr w14:val="tx1"/>
                  </w14:solidFill>
                </w14:textFill>
              </w:rPr>
              <w:t>T</w:t>
            </w:r>
            <w:r>
              <w:rPr>
                <w:rFonts w:eastAsia="宋体"/>
                <w:bCs/>
                <w:color w:val="000000" w:themeColor="text1"/>
                <w14:textFill>
                  <w14:solidFill>
                    <w14:schemeClr w14:val="tx1"/>
                  </w14:solidFill>
                </w14:textFill>
              </w:rPr>
              <w:t>m)</w:t>
            </w:r>
          </w:p>
          <w:p w14:paraId="5A770A17">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式中：P——指颗粒物产生量（单位：吨）；</w:t>
            </w:r>
          </w:p>
          <w:p w14:paraId="23CB0D38">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Uc——指颗粒物排放量（单位：吨）；</w:t>
            </w:r>
          </w:p>
          <w:p w14:paraId="3FC6D04C">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Cm——指颗粒物控制措施控制效率（单位：%），74%；</w:t>
            </w:r>
          </w:p>
          <w:p w14:paraId="4931BADE">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Tm——指堆场类型控制效率（单位：%），99%。</w:t>
            </w:r>
          </w:p>
          <w:p w14:paraId="13DAA68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根据上式计算结果可知，建筑垃圾卸料及堆存粉尘的排放量为0.023t/a，排放速率为0.004kg/h。</w:t>
            </w:r>
          </w:p>
          <w:p w14:paraId="3B4AF8B7">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⑤建筑垃圾</w:t>
            </w:r>
            <w:r>
              <w:rPr>
                <w:rFonts w:ascii="Times New Roman" w:hAnsi="Times New Roman" w:eastAsia="宋体" w:cs="Times New Roman"/>
                <w:b/>
                <w:bCs/>
                <w:color w:val="000000" w:themeColor="text1"/>
                <w:lang w:eastAsia="zh-CN"/>
                <w14:textFill>
                  <w14:solidFill>
                    <w14:schemeClr w14:val="tx1"/>
                  </w14:solidFill>
                </w14:textFill>
              </w:rPr>
              <w:t>给料粉尘G5、破碎粉尘G6、筛分粉尘G7</w:t>
            </w:r>
          </w:p>
          <w:p w14:paraId="03C619E8">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本项目</w:t>
            </w:r>
            <w:r>
              <w:rPr>
                <w:rFonts w:hint="eastAsia" w:ascii="Times New Roman" w:hAnsi="Times New Roman" w:eastAsia="宋体" w:cs="Times New Roman"/>
                <w:color w:val="000000" w:themeColor="text1"/>
                <w:lang w:eastAsia="zh-CN"/>
                <w14:textFill>
                  <w14:solidFill>
                    <w14:schemeClr w14:val="tx1"/>
                  </w14:solidFill>
                </w14:textFill>
              </w:rPr>
              <w:t>建筑</w:t>
            </w:r>
            <w:r>
              <w:rPr>
                <w:rFonts w:ascii="Times New Roman" w:hAnsi="Times New Roman" w:eastAsia="宋体" w:cs="Times New Roman"/>
                <w:color w:val="000000" w:themeColor="text1"/>
                <w:lang w:eastAsia="zh-CN"/>
                <w14:textFill>
                  <w14:solidFill>
                    <w14:schemeClr w14:val="tx1"/>
                  </w14:solidFill>
                </w14:textFill>
              </w:rPr>
              <w:t>垃圾经铲车送入给料机上料斗，参照《逸散性工业粉尘控制技术》中表18-1粒料加工厂逸散尘的排放因子卸料产尘量按0.02kg/t-原料计，本项目原料量为50000t/a，年生产6480h。则给料粉尘产生量为1t/a，产生速率为0.154kg/h。</w:t>
            </w:r>
          </w:p>
          <w:p w14:paraId="64780668">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根据</w:t>
            </w:r>
            <w:r>
              <w:rPr>
                <w:rFonts w:ascii="Times New Roman" w:hAnsi="Times New Roman" w:eastAsia="宋体" w:cs="Times New Roman"/>
                <w:bCs/>
                <w:color w:val="000000" w:themeColor="text1"/>
                <w:lang w:eastAsia="zh-CN" w:bidi="en-US"/>
                <w14:textFill>
                  <w14:solidFill>
                    <w14:schemeClr w14:val="tx1"/>
                  </w14:solidFill>
                </w14:textFill>
              </w:rPr>
              <w:t>《排放源统计调查产排污核算方法和系数手册》</w:t>
            </w:r>
            <w:r>
              <w:rPr>
                <w:rFonts w:ascii="Times New Roman" w:hAnsi="Times New Roman" w:eastAsia="宋体" w:cs="Times New Roman"/>
                <w:color w:val="000000" w:themeColor="text1"/>
                <w:lang w:eastAsia="zh-CN"/>
                <w14:textFill>
                  <w14:solidFill>
                    <w14:schemeClr w14:val="tx1"/>
                  </w14:solidFill>
                </w14:textFill>
              </w:rPr>
              <w:t>“303砖瓦、石材等建筑材料制造行业系数手册-3039其他建筑材料制造行业”，建筑固体废弃物破碎、筛分生产砂石骨料过程中，颗粒物产污系数为1.89kg/t产品。本项目产品量为50000t/a，则破碎、筛分粉尘产生量为94.5t/a，产生为14.583kg/h。</w:t>
            </w:r>
          </w:p>
          <w:p w14:paraId="739AE813">
            <w:pPr>
              <w:pStyle w:val="145"/>
              <w:spacing w:line="360" w:lineRule="auto"/>
              <w:ind w:firstLine="480" w:firstLineChars="200"/>
              <w:rPr>
                <w:rFonts w:ascii="Times New Roman" w:hAnsi="Times New Roman" w:eastAsia="宋体" w:cs="Times New Roman"/>
                <w:bCs/>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建筑垃圾加工生产线进行封闭处理，在给料台和破碎机出口各设置1个集气罩（集气效率90%），收集后经1台高效脉冲袋式除尘器（4#，除尘效率99%）处理，除尘器风机风量为20000m³/h，处理后由15m高排气筒（DA004）排放。</w:t>
            </w:r>
            <w:r>
              <w:rPr>
                <w:rFonts w:ascii="Times New Roman" w:hAnsi="Times New Roman" w:eastAsia="宋体" w:cs="Times New Roman"/>
                <w:bCs/>
                <w:color w:val="000000" w:themeColor="text1"/>
                <w:lang w:eastAsia="zh-CN"/>
                <w14:textFill>
                  <w14:solidFill>
                    <w14:schemeClr w14:val="tx1"/>
                  </w14:solidFill>
                </w14:textFill>
              </w:rPr>
              <w:t>则给料、破碎、筛分工序有组织颗粒物排放量为0.860t/a，排放速率为0.133kg/h，排放浓度为6.63mg/m³，排放满足《大气污染物综合排放标准》（GB16297-1996）表2二级标准限值要求。建筑垃圾加工车间为全封闭结构，未收集的颗粒物均以无组织形式排放于车间内，</w:t>
            </w:r>
            <w:bookmarkStart w:id="5" w:name="OLE_LINK24"/>
            <w:r>
              <w:rPr>
                <w:rFonts w:ascii="Times New Roman" w:hAnsi="Times New Roman" w:eastAsia="宋体" w:cs="Times New Roman"/>
                <w:bCs/>
                <w:color w:val="000000" w:themeColor="text1"/>
                <w:lang w:eastAsia="zh-CN"/>
                <w14:textFill>
                  <w14:solidFill>
                    <w14:schemeClr w14:val="tx1"/>
                  </w14:solidFill>
                </w14:textFill>
              </w:rPr>
              <w:t>部分颗粒物因重力自然沉降，定期清扫后与产品混合作为成品外售，参照《工业源固体物料堆场颗粒物核算系数手册》中提出的粉尘控制措施效率，密闭式厂房粉尘控制效率为99%，则给料、破碎、筛分工序无组织颗粒物排放量为0.096t/a，排放速率为0.015kg/h</w:t>
            </w:r>
            <w:bookmarkEnd w:id="5"/>
            <w:r>
              <w:rPr>
                <w:rFonts w:ascii="Times New Roman" w:hAnsi="Times New Roman" w:eastAsia="宋体" w:cs="Times New Roman"/>
                <w:bCs/>
                <w:color w:val="000000" w:themeColor="text1"/>
                <w:lang w:eastAsia="zh-CN"/>
                <w14:textFill>
                  <w14:solidFill>
                    <w14:schemeClr w14:val="tx1"/>
                  </w14:solidFill>
                </w14:textFill>
              </w:rPr>
              <w:t>。</w:t>
            </w:r>
          </w:p>
          <w:p w14:paraId="73C0E4B2">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⑦</w:t>
            </w:r>
            <w:r>
              <w:rPr>
                <w:rFonts w:ascii="Times New Roman" w:hAnsi="Times New Roman" w:eastAsia="宋体" w:cs="Times New Roman"/>
                <w:b/>
                <w:bCs/>
                <w:color w:val="000000" w:themeColor="text1"/>
                <w:lang w:eastAsia="zh-CN"/>
                <w14:textFill>
                  <w14:solidFill>
                    <w14:schemeClr w14:val="tx1"/>
                  </w14:solidFill>
                </w14:textFill>
              </w:rPr>
              <w:t>再生骨料及再生水稳料装卸堆存粉尘</w:t>
            </w:r>
          </w:p>
          <w:p w14:paraId="3F4201A0">
            <w:pPr>
              <w:pStyle w:val="145"/>
              <w:spacing w:line="360" w:lineRule="auto"/>
              <w:ind w:firstLine="481"/>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本项目</w:t>
            </w:r>
            <w:r>
              <w:rPr>
                <w:rFonts w:ascii="Times New Roman" w:hAnsi="Times New Roman" w:eastAsia="宋体" w:cs="Times New Roman"/>
                <w:bCs/>
                <w:color w:val="000000" w:themeColor="text1"/>
                <w:lang w:eastAsia="zh-CN"/>
                <w14:textFill>
                  <w14:solidFill>
                    <w14:schemeClr w14:val="tx1"/>
                  </w14:solidFill>
                </w14:textFill>
              </w:rPr>
              <w:t>再生骨料及再生水稳料通过装载车运送至再生水稳料及再生骨料仓进行临时堆存，再生水稳料及再生骨料仓</w:t>
            </w:r>
            <w:r>
              <w:rPr>
                <w:rFonts w:ascii="Times New Roman" w:hAnsi="Times New Roman" w:eastAsia="宋体" w:cs="Times New Roman"/>
                <w:color w:val="000000" w:themeColor="text1"/>
                <w:lang w:eastAsia="zh-CN"/>
                <w14:textFill>
                  <w14:solidFill>
                    <w14:schemeClr w14:val="tx1"/>
                  </w14:solidFill>
                </w14:textFill>
              </w:rPr>
              <w:t>除车辆进出时均保持仓门</w:t>
            </w:r>
            <w:r>
              <w:rPr>
                <w:rFonts w:ascii="Times New Roman" w:hAnsi="Times New Roman" w:eastAsia="宋体" w:cs="Times New Roman"/>
                <w:color w:val="000000" w:themeColor="text1"/>
                <w:spacing w:val="-1"/>
                <w:lang w:eastAsia="zh-CN"/>
                <w14:textFill>
                  <w14:solidFill>
                    <w14:schemeClr w14:val="tx1"/>
                  </w14:solidFill>
                </w14:textFill>
              </w:rPr>
              <w:t>常闭，且仓内设置雾化喷淋系统抑尘</w:t>
            </w:r>
            <w:r>
              <w:rPr>
                <w:rFonts w:ascii="Times New Roman" w:hAnsi="Times New Roman" w:eastAsia="宋体" w:cs="Times New Roman"/>
                <w:color w:val="000000" w:themeColor="text1"/>
                <w:lang w:eastAsia="zh-CN"/>
                <w14:textFill>
                  <w14:solidFill>
                    <w14:schemeClr w14:val="tx1"/>
                  </w14:solidFill>
                </w14:textFill>
              </w:rPr>
              <w:t>，</w:t>
            </w:r>
            <w:r>
              <w:rPr>
                <w:rFonts w:ascii="Times New Roman" w:hAnsi="Times New Roman" w:eastAsia="宋体" w:cs="Times New Roman"/>
                <w:bCs/>
                <w:color w:val="000000" w:themeColor="text1"/>
                <w:lang w:eastAsia="zh-CN"/>
                <w14:textFill>
                  <w14:solidFill>
                    <w14:schemeClr w14:val="tx1"/>
                  </w14:solidFill>
                </w14:textFill>
              </w:rPr>
              <w:t>再生骨料及再生水稳料装卸及堆存粉尘产生量参照《排放源统计调查产排污核算方法和系数手册》（2021年第24号）附表2固体物料堆存颗粒物产排污核算系数手册进行估算，公式如下：</w:t>
            </w:r>
          </w:p>
          <w:p w14:paraId="62452593">
            <w:pPr>
              <w:adjustRightInd w:val="0"/>
              <w:snapToGrid w:val="0"/>
              <w:spacing w:line="360" w:lineRule="auto"/>
              <w:jc w:val="center"/>
              <w:rPr>
                <w:rFonts w:eastAsia="宋体"/>
                <w:bCs/>
                <w:color w:val="000000" w:themeColor="text1"/>
                <w:vertAlign w:val="superscript"/>
                <w14:textFill>
                  <w14:solidFill>
                    <w14:schemeClr w14:val="tx1"/>
                  </w14:solidFill>
                </w14:textFill>
              </w:rPr>
            </w:pPr>
            <w:r>
              <w:rPr>
                <w:rFonts w:eastAsia="宋体"/>
                <w:bCs/>
                <w:color w:val="000000" w:themeColor="text1"/>
                <w14:textFill>
                  <w14:solidFill>
                    <w14:schemeClr w14:val="tx1"/>
                  </w14:solidFill>
                </w14:textFill>
              </w:rPr>
              <w:t>P=ZC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+FC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={N</w:t>
            </w:r>
            <w:r>
              <w:rPr>
                <w:rFonts w:eastAsia="宋体"/>
                <w:bCs/>
                <w:color w:val="000000" w:themeColor="text1"/>
                <w:vertAlign w:val="subscript"/>
                <w14:textFill>
                  <w14:solidFill>
                    <w14:schemeClr w14:val="tx1"/>
                  </w14:solidFill>
                </w14:textFill>
              </w:rPr>
              <w:t>c</w:t>
            </w:r>
            <w:r>
              <w:rPr>
                <w:rFonts w:eastAsia="宋体"/>
                <w:bCs/>
                <w:color w:val="000000" w:themeColor="text1"/>
                <w14:textFill>
                  <w14:solidFill>
                    <w14:schemeClr w14:val="tx1"/>
                  </w14:solidFill>
                </w14:textFill>
              </w:rPr>
              <w:t>×D×(a/b)+2×E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×S}×10</w:t>
            </w:r>
            <w:r>
              <w:rPr>
                <w:rFonts w:eastAsia="宋体"/>
                <w:bCs/>
                <w:color w:val="000000" w:themeColor="text1"/>
                <w:vertAlign w:val="superscript"/>
                <w14:textFill>
                  <w14:solidFill>
                    <w14:schemeClr w14:val="tx1"/>
                  </w14:solidFill>
                </w14:textFill>
              </w:rPr>
              <w:t>−3</w:t>
            </w:r>
          </w:p>
          <w:p w14:paraId="11BF5910">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式中：P——指颗粒物产生量（单位：吨）；</w:t>
            </w:r>
          </w:p>
          <w:p w14:paraId="74C87A6C">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ZC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——指装卸扬尘产生量（单位：吨）；</w:t>
            </w:r>
          </w:p>
          <w:p w14:paraId="4A0D899B">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FC</w:t>
            </w:r>
            <w:r>
              <w:rPr>
                <w:rFonts w:eastAsia="宋体"/>
                <w:bCs/>
                <w:color w:val="000000" w:themeColor="text1"/>
                <w:vertAlign w:val="subscript"/>
                <w14:textFill>
                  <w14:solidFill>
                    <w14:schemeClr w14:val="tx1"/>
                  </w14:solidFill>
                </w14:textFill>
              </w:rPr>
              <w:t>y</w:t>
            </w:r>
            <w:r>
              <w:rPr>
                <w:rFonts w:eastAsia="宋体"/>
                <w:bCs/>
                <w:color w:val="000000" w:themeColor="text1"/>
                <w14:textFill>
                  <w14:solidFill>
                    <w14:schemeClr w14:val="tx1"/>
                  </w14:solidFill>
                </w14:textFill>
              </w:rPr>
              <w:t>——指风蚀扬尘产生量（单位：吨）；</w:t>
            </w:r>
          </w:p>
          <w:p w14:paraId="0464C944">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N</w:t>
            </w:r>
            <w:r>
              <w:rPr>
                <w:rFonts w:eastAsia="宋体"/>
                <w:bCs/>
                <w:color w:val="000000" w:themeColor="text1"/>
                <w:vertAlign w:val="subscript"/>
                <w14:textFill>
                  <w14:solidFill>
                    <w14:schemeClr w14:val="tx1"/>
                  </w14:solidFill>
                </w14:textFill>
              </w:rPr>
              <w:t>c</w:t>
            </w:r>
            <w:r>
              <w:rPr>
                <w:rFonts w:eastAsia="宋体"/>
                <w:bCs/>
                <w:color w:val="000000" w:themeColor="text1"/>
                <w14:textFill>
                  <w14:solidFill>
                    <w14:schemeClr w14:val="tx1"/>
                  </w14:solidFill>
                </w14:textFill>
              </w:rPr>
              <w:t>——指年物料运载车次（单位：车）；本项目取1000车。</w:t>
            </w:r>
          </w:p>
          <w:p w14:paraId="2989F3E5">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D——指单车平均运载量（单位：吨/车）；本项目取50t/车。</w:t>
            </w:r>
          </w:p>
          <w:p w14:paraId="620AF954">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a/b)——指装卸扬尘概化系数（单位：千克/吨），a指各省风速概化系数，见附录1，b指物料含水率概化系数，见附录2，附录2中堆存物料类型无再生骨料及再生水稳料，本次参照混合矿石；本项目a取0.0015，b取0.0084。</w:t>
            </w:r>
          </w:p>
          <w:p w14:paraId="19A654FA">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——指堆场风蚀扬尘概化系数，见附录3（单位：千克/平方米）；附录3中堆存物料类型无建筑垃圾，本次参照混合矿石，E</w:t>
            </w:r>
            <w:r>
              <w:rPr>
                <w:rFonts w:eastAsia="宋体"/>
                <w:bCs/>
                <w:color w:val="000000" w:themeColor="text1"/>
                <w:vertAlign w:val="subscript"/>
                <w14:textFill>
                  <w14:solidFill>
                    <w14:schemeClr w14:val="tx1"/>
                  </w14:solidFill>
                </w14:textFill>
              </w:rPr>
              <w:t>f</w:t>
            </w:r>
            <w:r>
              <w:rPr>
                <w:rFonts w:eastAsia="宋体"/>
                <w:bCs/>
                <w:color w:val="000000" w:themeColor="text1"/>
                <w14:textFill>
                  <w14:solidFill>
                    <w14:schemeClr w14:val="tx1"/>
                  </w14:solidFill>
                </w14:textFill>
              </w:rPr>
              <w:t>为0kg/m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w:t>
            </w:r>
          </w:p>
          <w:p w14:paraId="1495867F">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S——指堆场占地面积（单位：平方米）。本项目为1300m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w:t>
            </w:r>
          </w:p>
          <w:p w14:paraId="47557D05">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经计算本项目再生骨料及再生水稳料装卸堆存粉尘产生量为17.857t/a，产生速率为2.756kg/h。</w:t>
            </w:r>
          </w:p>
          <w:p w14:paraId="35A9FC3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再生骨料及再生水稳料仓除车辆进出时均保持仓门常闭，且仓内设置雾化喷淋系统抑尘，根据《工业源固体物料堆场颗粒物核算系数手册》中提出的粉尘控制措施效率：密闭式厂房粉尘控制效率Tm为99%，洒水措施控制效率Cm为74%，颗粒物排放量计算公式如下：</w:t>
            </w:r>
          </w:p>
          <w:p w14:paraId="553D83D3">
            <w:pPr>
              <w:adjustRightInd w:val="0"/>
              <w:snapToGrid w:val="0"/>
              <w:spacing w:line="360" w:lineRule="auto"/>
              <w:jc w:val="center"/>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Uc=</w:t>
            </w:r>
            <w:r>
              <w:rPr>
                <w:rFonts w:eastAsia="宋体"/>
                <w:bCs/>
                <w:iCs/>
                <w:color w:val="000000" w:themeColor="text1"/>
                <w14:textFill>
                  <w14:solidFill>
                    <w14:schemeClr w14:val="tx1"/>
                  </w14:solidFill>
                </w14:textFill>
              </w:rPr>
              <w:t>P</w:t>
            </w:r>
            <w:r>
              <w:rPr>
                <w:rFonts w:eastAsia="宋体"/>
                <w:bCs/>
                <w:color w:val="000000" w:themeColor="text1"/>
                <w14:textFill>
                  <w14:solidFill>
                    <w14:schemeClr w14:val="tx1"/>
                  </w14:solidFill>
                </w14:textFill>
              </w:rPr>
              <w:t>×(1-</w:t>
            </w:r>
            <w:r>
              <w:rPr>
                <w:rFonts w:eastAsia="宋体"/>
                <w:bCs/>
                <w:iCs/>
                <w:color w:val="000000" w:themeColor="text1"/>
                <w14:textFill>
                  <w14:solidFill>
                    <w14:schemeClr w14:val="tx1"/>
                  </w14:solidFill>
                </w14:textFill>
              </w:rPr>
              <w:t>C</w:t>
            </w:r>
            <w:r>
              <w:rPr>
                <w:rFonts w:eastAsia="宋体"/>
                <w:bCs/>
                <w:color w:val="000000" w:themeColor="text1"/>
                <w14:textFill>
                  <w14:solidFill>
                    <w14:schemeClr w14:val="tx1"/>
                  </w14:solidFill>
                </w14:textFill>
              </w:rPr>
              <w:t>m)×(1-</w:t>
            </w:r>
            <w:r>
              <w:rPr>
                <w:rFonts w:eastAsia="宋体"/>
                <w:bCs/>
                <w:iCs/>
                <w:color w:val="000000" w:themeColor="text1"/>
                <w14:textFill>
                  <w14:solidFill>
                    <w14:schemeClr w14:val="tx1"/>
                  </w14:solidFill>
                </w14:textFill>
              </w:rPr>
              <w:t>T</w:t>
            </w:r>
            <w:r>
              <w:rPr>
                <w:rFonts w:eastAsia="宋体"/>
                <w:bCs/>
                <w:color w:val="000000" w:themeColor="text1"/>
                <w14:textFill>
                  <w14:solidFill>
                    <w14:schemeClr w14:val="tx1"/>
                  </w14:solidFill>
                </w14:textFill>
              </w:rPr>
              <w:t>m)</w:t>
            </w:r>
          </w:p>
          <w:p w14:paraId="33F7182F">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式中：P——指颗粒物产生量（单位：吨）；</w:t>
            </w:r>
          </w:p>
          <w:p w14:paraId="29679772">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Uc——指颗粒物排放量（单位：吨）；</w:t>
            </w:r>
          </w:p>
          <w:p w14:paraId="0629B820">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Cm——指颗粒物控制措施控制效率（单位：%），74%；</w:t>
            </w:r>
          </w:p>
          <w:p w14:paraId="0989509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Tm——指堆场类型控制效率（单位：%），99%。</w:t>
            </w:r>
          </w:p>
          <w:p w14:paraId="016AA948">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bCs/>
                <w:color w:val="000000" w:themeColor="text1"/>
                <w:lang w:eastAsia="zh-CN"/>
                <w14:textFill>
                  <w14:solidFill>
                    <w14:schemeClr w14:val="tx1"/>
                  </w14:solidFill>
                </w14:textFill>
              </w:rPr>
              <w:t>根据上式计算结果可知，再生骨料及再生水稳料装卸堆存粉尘的排放量为0.046t/a，排放速率为0.007kg/h。</w:t>
            </w:r>
          </w:p>
          <w:p w14:paraId="40D2CE65">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⑧</w:t>
            </w:r>
            <w:r>
              <w:rPr>
                <w:rFonts w:ascii="Times New Roman" w:hAnsi="Times New Roman" w:eastAsia="宋体" w:cs="Times New Roman"/>
                <w:b/>
                <w:bCs/>
                <w:color w:val="000000" w:themeColor="text1"/>
                <w:lang w:eastAsia="zh-CN"/>
                <w14:textFill>
                  <w14:solidFill>
                    <w14:schemeClr w14:val="tx1"/>
                  </w14:solidFill>
                </w14:textFill>
              </w:rPr>
              <w:t>厂内运输车辆扬尘</w:t>
            </w:r>
          </w:p>
          <w:p w14:paraId="56980E34">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本项目原料和产品需要通过运输车辆运入和运出，运输扬尘一般包括物料洒落扬尘和汽车引起的道路二次扬尘。本项目对运输车辆进行严格管理，防止车辆出现洒落物料情况，因此本项目运输扬尘主要为道路二次扬尘。本次评价选取</w:t>
            </w:r>
            <w:bookmarkStart w:id="6" w:name="OLE_LINK74"/>
            <w:r>
              <w:rPr>
                <w:rFonts w:ascii="Times New Roman" w:hAnsi="Times New Roman" w:eastAsia="宋体" w:cs="Times New Roman"/>
                <w:color w:val="000000" w:themeColor="text1"/>
                <w:lang w:eastAsia="zh-CN"/>
                <w14:textFill>
                  <w14:solidFill>
                    <w14:schemeClr w14:val="tx1"/>
                  </w14:solidFill>
                </w14:textFill>
              </w:rPr>
              <w:t>上海港环境保护中心和武汉水运工程学院提出的经验公式进行计算</w:t>
            </w:r>
            <w:bookmarkEnd w:id="6"/>
            <w:r>
              <w:rPr>
                <w:rFonts w:ascii="Times New Roman" w:hAnsi="Times New Roman" w:eastAsia="宋体" w:cs="Times New Roman"/>
                <w:color w:val="000000" w:themeColor="text1"/>
                <w:lang w:eastAsia="zh-CN"/>
                <w14:textFill>
                  <w14:solidFill>
                    <w14:schemeClr w14:val="tx1"/>
                  </w14:solidFill>
                </w14:textFill>
              </w:rPr>
              <w:t>，计算公式如下：</w:t>
            </w:r>
          </w:p>
          <w:p w14:paraId="6546EBB8">
            <w:pPr>
              <w:adjustRightInd w:val="0"/>
              <w:snapToGrid w:val="0"/>
              <w:spacing w:line="360" w:lineRule="auto"/>
              <w:ind w:firstLine="420" w:firstLineChars="200"/>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drawing>
                <wp:inline distT="0" distB="0" distL="0" distR="0">
                  <wp:extent cx="2809875" cy="904875"/>
                  <wp:effectExtent l="0" t="0" r="0" b="0"/>
                  <wp:docPr id="5"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809875" cy="904875"/>
                          </a:xfrm>
                          <a:prstGeom prst="rect">
                            <a:avLst/>
                          </a:prstGeom>
                          <a:noFill/>
                          <a:ln>
                            <a:noFill/>
                          </a:ln>
                        </pic:spPr>
                      </pic:pic>
                    </a:graphicData>
                  </a:graphic>
                </wp:inline>
              </w:drawing>
            </w:r>
          </w:p>
          <w:p w14:paraId="6CCDED66">
            <w:pPr>
              <w:widowControl/>
              <w:spacing w:line="360" w:lineRule="auto"/>
              <w:ind w:firstLine="480" w:firstLineChars="2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式中：Q</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—道路扬尘量，kg/km；</w:t>
            </w:r>
          </w:p>
          <w:p w14:paraId="3319500D">
            <w:pPr>
              <w:widowControl/>
              <w:spacing w:line="360" w:lineRule="auto"/>
              <w:ind w:firstLine="1200" w:firstLineChars="5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w:t>
            </w:r>
            <w:r>
              <w:rPr>
                <w:rFonts w:eastAsia="宋体"/>
                <w:color w:val="000000" w:themeColor="text1"/>
                <w:vertAlign w:val="subscript"/>
                <w14:textFill>
                  <w14:solidFill>
                    <w14:schemeClr w14:val="tx1"/>
                  </w14:solidFill>
                </w14:textFill>
              </w:rPr>
              <w:t>p</w:t>
            </w:r>
            <w:r>
              <w:rPr>
                <w:rFonts w:eastAsia="宋体"/>
                <w:color w:val="000000" w:themeColor="text1"/>
                <w14:textFill>
                  <w14:solidFill>
                    <w14:schemeClr w14:val="tx1"/>
                  </w14:solidFill>
                </w14:textFill>
              </w:rPr>
              <w:t>—总扬尘量，kg/a；</w:t>
            </w:r>
          </w:p>
          <w:p w14:paraId="6D20CF12">
            <w:pPr>
              <w:widowControl/>
              <w:spacing w:line="360" w:lineRule="auto"/>
              <w:ind w:firstLine="1200" w:firstLineChars="5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V—车辆行驶速度，10km/h；</w:t>
            </w:r>
          </w:p>
          <w:p w14:paraId="1EB4E944">
            <w:pPr>
              <w:widowControl/>
              <w:spacing w:line="360" w:lineRule="auto"/>
              <w:ind w:firstLine="1200" w:firstLineChars="5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M—车辆载重，t/辆；50t/辆；</w:t>
            </w:r>
          </w:p>
          <w:p w14:paraId="1D6595C5">
            <w:pPr>
              <w:widowControl/>
              <w:spacing w:line="360" w:lineRule="auto"/>
              <w:ind w:firstLine="1200" w:firstLineChars="5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P—路面状况，以每m</w:t>
            </w:r>
            <w:r>
              <w:rPr>
                <w:rFonts w:eastAsia="宋体"/>
                <w:color w:val="000000" w:themeColor="text1"/>
                <w:vertAlign w:val="superscript"/>
                <w14:textFill>
                  <w14:solidFill>
                    <w14:schemeClr w14:val="tx1"/>
                  </w14:solidFill>
                </w14:textFill>
              </w:rPr>
              <w:t>2</w:t>
            </w:r>
            <w:r>
              <w:rPr>
                <w:rFonts w:eastAsia="宋体"/>
                <w:color w:val="000000" w:themeColor="text1"/>
                <w14:textFill>
                  <w14:solidFill>
                    <w14:schemeClr w14:val="tx1"/>
                  </w14:solidFill>
                </w14:textFill>
              </w:rPr>
              <w:t>路面灰尘覆盖率表示，0.05kg/m</w:t>
            </w:r>
            <w:r>
              <w:rPr>
                <w:rFonts w:eastAsia="宋体"/>
                <w:color w:val="000000" w:themeColor="text1"/>
                <w:vertAlign w:val="superscript"/>
                <w14:textFill>
                  <w14:solidFill>
                    <w14:schemeClr w14:val="tx1"/>
                  </w14:solidFill>
                </w14:textFill>
              </w:rPr>
              <w:t>2</w:t>
            </w:r>
            <w:r>
              <w:rPr>
                <w:rFonts w:eastAsia="宋体"/>
                <w:color w:val="000000" w:themeColor="text1"/>
                <w14:textFill>
                  <w14:solidFill>
                    <w14:schemeClr w14:val="tx1"/>
                  </w14:solidFill>
                </w14:textFill>
              </w:rPr>
              <w:t>；</w:t>
            </w:r>
          </w:p>
          <w:p w14:paraId="5D2F65A8">
            <w:pPr>
              <w:widowControl/>
              <w:spacing w:line="360" w:lineRule="auto"/>
              <w:ind w:firstLine="1200" w:firstLineChars="5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L—运输距离，km，本项目场内最大运输距离0.2km；</w:t>
            </w:r>
          </w:p>
          <w:p w14:paraId="7E5BB59E">
            <w:pPr>
              <w:widowControl/>
              <w:spacing w:line="360" w:lineRule="auto"/>
              <w:ind w:firstLine="1200" w:firstLineChars="500"/>
              <w:jc w:val="left"/>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Q—运输量，本项目取70万t/a。</w:t>
            </w:r>
          </w:p>
          <w:p w14:paraId="35236654">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经计算道路扬尘量为0.9kg/km·辆，运输扬尘产生量为2.52t/a，产生速率为0.389kg/h。运输粉尘的产生量与运输汽车覆盖与否、道路表面含尘量大小有关。本项目在厂区进出口设置洗车设备；对厂区内运输道路地面进行硬化，保持厂区路面清洁，进行洒水抑尘。</w:t>
            </w:r>
            <w:r>
              <w:rPr>
                <w:rFonts w:ascii="Times New Roman" w:hAnsi="Times New Roman" w:eastAsia="宋体" w:cs="Times New Roman"/>
                <w:bCs/>
                <w:color w:val="000000" w:themeColor="text1"/>
                <w:lang w:eastAsia="zh-CN"/>
                <w14:textFill>
                  <w14:solidFill>
                    <w14:schemeClr w14:val="tx1"/>
                  </w14:solidFill>
                </w14:textFill>
              </w:rPr>
              <w:t>根据《工业源固体物料堆场颗粒物核算系数手册》中提出的粉尘控制措施效率，洒水措施粉尘控制效率为74%，</w:t>
            </w:r>
            <w:r>
              <w:rPr>
                <w:rFonts w:ascii="Times New Roman" w:hAnsi="Times New Roman" w:eastAsia="宋体" w:cs="Times New Roman"/>
                <w:color w:val="000000" w:themeColor="text1"/>
                <w:lang w:eastAsia="zh-CN"/>
                <w14:textFill>
                  <w14:solidFill>
                    <w14:schemeClr w14:val="tx1"/>
                  </w14:solidFill>
                </w14:textFill>
              </w:rPr>
              <w:t>则运输扬尘排放量为0.655t/a，排放速率为0.101kg/h。</w:t>
            </w:r>
          </w:p>
          <w:p w14:paraId="4168259F">
            <w:pPr>
              <w:pStyle w:val="145"/>
              <w:spacing w:line="360" w:lineRule="auto"/>
              <w:ind w:firstLine="482" w:firstLineChars="200"/>
              <w:rPr>
                <w:rFonts w:ascii="Times New Roman" w:hAnsi="Times New Roman" w:eastAsia="宋体" w:cs="Times New Roman"/>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⑨</w:t>
            </w:r>
            <w:r>
              <w:rPr>
                <w:rFonts w:ascii="Times New Roman" w:hAnsi="Times New Roman" w:eastAsia="宋体" w:cs="Times New Roman"/>
                <w:b/>
                <w:bCs/>
                <w:color w:val="000000" w:themeColor="text1"/>
                <w:lang w:eastAsia="zh-CN"/>
                <w14:textFill>
                  <w14:solidFill>
                    <w14:schemeClr w14:val="tx1"/>
                  </w14:solidFill>
                </w14:textFill>
              </w:rPr>
              <w:t>皮带输送过程粉尘</w:t>
            </w:r>
          </w:p>
          <w:p w14:paraId="53782C29">
            <w:pPr>
              <w:pStyle w:val="145"/>
              <w:spacing w:line="360" w:lineRule="auto"/>
              <w:ind w:firstLine="480" w:firstLineChars="200"/>
              <w:rPr>
                <w:rFonts w:ascii="Times New Roman" w:hAnsi="Times New Roman" w:eastAsia="宋体" w:cs="Times New Roman"/>
                <w:color w:val="000000" w:themeColor="text1"/>
                <w:lang w:eastAsia="zh-CN"/>
                <w14:textFill>
                  <w14:solidFill>
                    <w14:schemeClr w14:val="tx1"/>
                  </w14:solidFill>
                </w14:textFill>
              </w:rPr>
            </w:pPr>
            <w:r>
              <w:rPr>
                <w:rFonts w:ascii="Times New Roman" w:hAnsi="Times New Roman" w:eastAsia="宋体" w:cs="Times New Roman"/>
                <w:color w:val="000000" w:themeColor="text1"/>
                <w:lang w:eastAsia="zh-CN"/>
                <w14:textFill>
                  <w14:solidFill>
                    <w14:schemeClr w14:val="tx1"/>
                  </w14:solidFill>
                </w14:textFill>
              </w:rPr>
              <w:t>本项目物料加工过程采用皮带输送，皮带输送封闭的车间内进行，车间内进行洒水，故本项目物料皮带输送过程粉尘产生量较少，本次不再进行定量分析。</w:t>
            </w:r>
          </w:p>
          <w:p w14:paraId="44431436">
            <w:pPr>
              <w:adjustRightInd w:val="0"/>
              <w:snapToGrid w:val="0"/>
              <w:spacing w:line="360" w:lineRule="auto"/>
              <w:ind w:firstLine="482" w:firstLineChars="200"/>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3、废气污染防治措施的可行性分析</w:t>
            </w:r>
          </w:p>
          <w:p w14:paraId="1632048D">
            <w:pPr>
              <w:widowControl/>
              <w:spacing w:line="360" w:lineRule="auto"/>
              <w:ind w:firstLine="480" w:firstLineChars="200"/>
              <w:rPr>
                <w:rFonts w:eastAsia="宋体"/>
                <w:b/>
                <w:bCs/>
                <w:color w:val="000000" w:themeColor="text1"/>
                <w14:textFill>
                  <w14:solidFill>
                    <w14:schemeClr w14:val="tx1"/>
                  </w14:solidFill>
                </w14:textFill>
              </w:rPr>
            </w:pPr>
            <w:r>
              <w:rPr>
                <w:rFonts w:eastAsia="宋体"/>
                <w:bCs/>
                <w:color w:val="000000" w:themeColor="text1"/>
                <w14:textFill>
                  <w14:solidFill>
                    <w14:schemeClr w14:val="tx1"/>
                  </w14:solidFill>
                </w14:textFill>
              </w:rPr>
              <w:t>根据《排污许可证申请与核发技术规范总则》（HJ942-2018）“除尘设施为袋式除尘器、电除尘器、电袋复合除尘器、其他”，本项目采用高效脉冲袋式除尘器对产生的粉尘进行处理，高效脉冲袋式除尘器属于电袋复合除尘器，因此，项目采取的废气治理措施可行。</w:t>
            </w:r>
          </w:p>
          <w:p w14:paraId="316B1452">
            <w:pPr>
              <w:tabs>
                <w:tab w:val="left" w:pos="1467"/>
                <w:tab w:val="center" w:pos="4503"/>
              </w:tabs>
              <w:autoSpaceDN w:val="0"/>
              <w:adjustRightInd w:val="0"/>
              <w:snapToGrid w:val="0"/>
              <w:spacing w:line="360" w:lineRule="auto"/>
              <w:ind w:firstLine="482" w:firstLineChars="200"/>
              <w:jc w:val="left"/>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4、废气排放口基本情况</w:t>
            </w:r>
          </w:p>
          <w:p w14:paraId="7B0AA9AA">
            <w:pPr>
              <w:adjustRightInd w:val="0"/>
              <w:snapToGrid w:val="0"/>
              <w:spacing w:line="360" w:lineRule="auto"/>
              <w:ind w:firstLine="480" w:firstLineChars="200"/>
              <w:jc w:val="left"/>
              <w:rPr>
                <w:rFonts w:eastAsia="宋体"/>
                <w:bCs/>
                <w:snapToGrid w:val="0"/>
                <w:color w:val="000000" w:themeColor="text1"/>
                <w14:textFill>
                  <w14:solidFill>
                    <w14:schemeClr w14:val="tx1"/>
                  </w14:solidFill>
                </w14:textFill>
              </w:rPr>
            </w:pPr>
            <w:r>
              <w:rPr>
                <w:rFonts w:eastAsia="宋体"/>
                <w:bCs/>
                <w:snapToGrid w:val="0"/>
                <w:color w:val="000000" w:themeColor="text1"/>
                <w14:textFill>
                  <w14:solidFill>
                    <w14:schemeClr w14:val="tx1"/>
                  </w14:solidFill>
                </w14:textFill>
              </w:rPr>
              <w:t>废气排放口基本情况见下表。</w:t>
            </w:r>
          </w:p>
          <w:p w14:paraId="73F74E99">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表4-2                 废气排放口基本情况表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849"/>
              <w:gridCol w:w="1826"/>
              <w:gridCol w:w="917"/>
              <w:gridCol w:w="1276"/>
              <w:gridCol w:w="953"/>
              <w:gridCol w:w="1175"/>
            </w:tblGrid>
            <w:tr w14:paraId="213E3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tcBorders>
                    <w:tl2br w:val="nil"/>
                    <w:tr2bl w:val="nil"/>
                  </w:tcBorders>
                  <w:vAlign w:val="center"/>
                </w:tcPr>
                <w:p w14:paraId="718F485A">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名称</w:t>
                  </w:r>
                </w:p>
              </w:tc>
              <w:tc>
                <w:tcPr>
                  <w:tcW w:w="497" w:type="pct"/>
                  <w:tcBorders>
                    <w:tl2br w:val="nil"/>
                    <w:tr2bl w:val="nil"/>
                  </w:tcBorders>
                  <w:vAlign w:val="center"/>
                </w:tcPr>
                <w:p w14:paraId="20D79FCE">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编号</w:t>
                  </w:r>
                </w:p>
              </w:tc>
              <w:tc>
                <w:tcPr>
                  <w:tcW w:w="1069" w:type="pct"/>
                  <w:tcBorders>
                    <w:tl2br w:val="nil"/>
                    <w:tr2bl w:val="nil"/>
                  </w:tcBorders>
                  <w:vAlign w:val="center"/>
                </w:tcPr>
                <w:p w14:paraId="0B1A6619">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地理坐标</w:t>
                  </w:r>
                </w:p>
              </w:tc>
              <w:tc>
                <w:tcPr>
                  <w:tcW w:w="537" w:type="pct"/>
                  <w:tcBorders>
                    <w:tl2br w:val="nil"/>
                    <w:tr2bl w:val="nil"/>
                  </w:tcBorders>
                  <w:vAlign w:val="center"/>
                </w:tcPr>
                <w:p w14:paraId="0ECB92C5">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排气筒高度/m</w:t>
                  </w:r>
                </w:p>
              </w:tc>
              <w:tc>
                <w:tcPr>
                  <w:tcW w:w="747" w:type="pct"/>
                  <w:tcBorders>
                    <w:tl2br w:val="nil"/>
                    <w:tr2bl w:val="nil"/>
                  </w:tcBorders>
                  <w:vAlign w:val="center"/>
                </w:tcPr>
                <w:p w14:paraId="32CA4032">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排气筒出口内径/m</w:t>
                  </w:r>
                </w:p>
              </w:tc>
              <w:tc>
                <w:tcPr>
                  <w:tcW w:w="558" w:type="pct"/>
                  <w:tcBorders>
                    <w:tl2br w:val="nil"/>
                    <w:tr2bl w:val="nil"/>
                  </w:tcBorders>
                  <w:vAlign w:val="center"/>
                </w:tcPr>
                <w:p w14:paraId="140D9396">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温度℃</w:t>
                  </w:r>
                </w:p>
              </w:tc>
              <w:tc>
                <w:tcPr>
                  <w:tcW w:w="688" w:type="pct"/>
                  <w:tcBorders>
                    <w:tl2br w:val="nil"/>
                    <w:tr2bl w:val="nil"/>
                  </w:tcBorders>
                  <w:vAlign w:val="center"/>
                </w:tcPr>
                <w:p w14:paraId="67E397AA">
                  <w:pPr>
                    <w:pStyle w:val="68"/>
                    <w:spacing w:beforeLines="0" w:afterLines="0" w:line="240" w:lineRule="auto"/>
                    <w:ind w:firstLine="0"/>
                    <w:rPr>
                      <w:rFonts w:ascii="Times New Roman" w:eastAsia="宋体"/>
                      <w:b/>
                      <w:bCs/>
                      <w:color w:val="000000" w:themeColor="text1"/>
                      <w:sz w:val="21"/>
                      <w:szCs w:val="21"/>
                      <w14:textFill>
                        <w14:solidFill>
                          <w14:schemeClr w14:val="tx1"/>
                        </w14:solidFill>
                      </w14:textFill>
                    </w:rPr>
                  </w:pPr>
                  <w:r>
                    <w:rPr>
                      <w:rFonts w:ascii="Times New Roman" w:eastAsia="宋体"/>
                      <w:b/>
                      <w:bCs/>
                      <w:color w:val="000000" w:themeColor="text1"/>
                      <w:sz w:val="21"/>
                      <w:szCs w:val="21"/>
                      <w14:textFill>
                        <w14:solidFill>
                          <w14:schemeClr w14:val="tx1"/>
                        </w14:solidFill>
                      </w14:textFill>
                    </w:rPr>
                    <w:t>类型</w:t>
                  </w:r>
                </w:p>
              </w:tc>
            </w:tr>
            <w:tr w14:paraId="3DDB5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903" w:type="pct"/>
                  <w:tcBorders>
                    <w:tl2br w:val="nil"/>
                    <w:tr2bl w:val="nil"/>
                  </w:tcBorders>
                  <w:vAlign w:val="center"/>
                </w:tcPr>
                <w:p w14:paraId="6B6E7FA7">
                  <w:pPr>
                    <w:jc w:val="center"/>
                    <w:rPr>
                      <w:rFonts w:eastAsia="宋体"/>
                      <w:color w:val="000000" w:themeColor="text1"/>
                      <w:sz w:val="21"/>
                      <w:szCs w:val="21"/>
                      <w14:textFill>
                        <w14:solidFill>
                          <w14:schemeClr w14:val="tx1"/>
                        </w14:solidFill>
                      </w14:textFill>
                    </w:rPr>
                  </w:pPr>
                  <w:r>
                    <w:rPr>
                      <w:rFonts w:eastAsia="宋体"/>
                      <w:color w:val="000000" w:themeColor="text1"/>
                      <w:spacing w:val="6"/>
                      <w:sz w:val="21"/>
                      <w:szCs w:val="21"/>
                      <w14:textFill>
                        <w14:solidFill>
                          <w14:schemeClr w14:val="tx1"/>
                        </w14:solidFill>
                      </w14:textFill>
                    </w:rPr>
                    <w:t>石灰石加工车间</w:t>
                  </w:r>
                  <w:r>
                    <w:rPr>
                      <w:rFonts w:eastAsia="宋体"/>
                      <w:color w:val="000000" w:themeColor="text1"/>
                      <w:spacing w:val="7"/>
                      <w:sz w:val="21"/>
                      <w:szCs w:val="21"/>
                      <w14:textFill>
                        <w14:solidFill>
                          <w14:schemeClr w14:val="tx1"/>
                        </w14:solidFill>
                      </w14:textFill>
                    </w:rPr>
                    <w:t>排气</w:t>
                  </w:r>
                  <w:r>
                    <w:rPr>
                      <w:rFonts w:eastAsia="宋体"/>
                      <w:bCs/>
                      <w:color w:val="000000" w:themeColor="text1"/>
                      <w:spacing w:val="-10"/>
                      <w:position w:val="1"/>
                      <w:sz w:val="21"/>
                      <w:szCs w:val="21"/>
                      <w14:textFill>
                        <w14:solidFill>
                          <w14:schemeClr w14:val="tx1"/>
                        </w14:solidFill>
                      </w14:textFill>
                    </w:rPr>
                    <w:t>筒</w:t>
                  </w:r>
                </w:p>
              </w:tc>
              <w:tc>
                <w:tcPr>
                  <w:tcW w:w="497" w:type="pct"/>
                  <w:tcBorders>
                    <w:tl2br w:val="nil"/>
                    <w:tr2bl w:val="nil"/>
                  </w:tcBorders>
                  <w:vAlign w:val="center"/>
                </w:tcPr>
                <w:p w14:paraId="09242BBF">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DA003</w:t>
                  </w:r>
                </w:p>
              </w:tc>
              <w:tc>
                <w:tcPr>
                  <w:tcW w:w="1069" w:type="pct"/>
                  <w:tcBorders>
                    <w:tl2br w:val="nil"/>
                    <w:tr2bl w:val="nil"/>
                  </w:tcBorders>
                  <w:vAlign w:val="center"/>
                </w:tcPr>
                <w:p w14:paraId="4BAEFE73">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E:106°36′45.029″</w:t>
                  </w:r>
                </w:p>
                <w:p w14:paraId="1364673C">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N:36°10′20.709″</w:t>
                  </w:r>
                </w:p>
              </w:tc>
              <w:tc>
                <w:tcPr>
                  <w:tcW w:w="537" w:type="pct"/>
                  <w:tcBorders>
                    <w:tl2br w:val="nil"/>
                    <w:tr2bl w:val="nil"/>
                  </w:tcBorders>
                  <w:vAlign w:val="center"/>
                </w:tcPr>
                <w:p w14:paraId="0DD91A07">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15</w:t>
                  </w:r>
                </w:p>
              </w:tc>
              <w:tc>
                <w:tcPr>
                  <w:tcW w:w="747" w:type="pct"/>
                  <w:tcBorders>
                    <w:tl2br w:val="nil"/>
                    <w:tr2bl w:val="nil"/>
                  </w:tcBorders>
                  <w:vAlign w:val="center"/>
                </w:tcPr>
                <w:p w14:paraId="5CC83EFB">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0.6</w:t>
                  </w:r>
                </w:p>
              </w:tc>
              <w:tc>
                <w:tcPr>
                  <w:tcW w:w="558" w:type="pct"/>
                  <w:tcBorders>
                    <w:tl2br w:val="nil"/>
                    <w:tr2bl w:val="nil"/>
                  </w:tcBorders>
                  <w:vAlign w:val="center"/>
                </w:tcPr>
                <w:p w14:paraId="0925051E">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25</w:t>
                  </w:r>
                </w:p>
              </w:tc>
              <w:tc>
                <w:tcPr>
                  <w:tcW w:w="688" w:type="pct"/>
                  <w:tcBorders>
                    <w:tl2br w:val="nil"/>
                    <w:tr2bl w:val="nil"/>
                  </w:tcBorders>
                  <w:vAlign w:val="center"/>
                </w:tcPr>
                <w:p w14:paraId="6C4212E2">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一般排放口</w:t>
                  </w:r>
                </w:p>
              </w:tc>
            </w:tr>
            <w:tr w14:paraId="27D3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03" w:type="pct"/>
                  <w:tcBorders>
                    <w:tl2br w:val="nil"/>
                    <w:tr2bl w:val="nil"/>
                  </w:tcBorders>
                  <w:vAlign w:val="center"/>
                </w:tcPr>
                <w:p w14:paraId="21B6B2B1">
                  <w:pPr>
                    <w:jc w:val="center"/>
                    <w:rPr>
                      <w:rFonts w:eastAsia="宋体"/>
                      <w:color w:val="000000" w:themeColor="text1"/>
                      <w:sz w:val="21"/>
                      <w:szCs w:val="21"/>
                      <w14:textFill>
                        <w14:solidFill>
                          <w14:schemeClr w14:val="tx1"/>
                        </w14:solidFill>
                      </w14:textFill>
                    </w:rPr>
                  </w:pPr>
                  <w:r>
                    <w:rPr>
                      <w:rFonts w:eastAsia="宋体"/>
                      <w:color w:val="000000" w:themeColor="text1"/>
                      <w:spacing w:val="6"/>
                      <w:sz w:val="21"/>
                      <w:szCs w:val="21"/>
                      <w14:textFill>
                        <w14:solidFill>
                          <w14:schemeClr w14:val="tx1"/>
                        </w14:solidFill>
                      </w14:textFill>
                    </w:rPr>
                    <w:t>建筑垃圾加工车间</w:t>
                  </w:r>
                  <w:r>
                    <w:rPr>
                      <w:rFonts w:eastAsia="宋体"/>
                      <w:color w:val="000000" w:themeColor="text1"/>
                      <w:spacing w:val="7"/>
                      <w:sz w:val="21"/>
                      <w:szCs w:val="21"/>
                      <w14:textFill>
                        <w14:solidFill>
                          <w14:schemeClr w14:val="tx1"/>
                        </w14:solidFill>
                      </w14:textFill>
                    </w:rPr>
                    <w:t>排气</w:t>
                  </w:r>
                  <w:r>
                    <w:rPr>
                      <w:rFonts w:eastAsia="宋体"/>
                      <w:bCs/>
                      <w:color w:val="000000" w:themeColor="text1"/>
                      <w:spacing w:val="-10"/>
                      <w:position w:val="1"/>
                      <w:sz w:val="21"/>
                      <w:szCs w:val="21"/>
                      <w14:textFill>
                        <w14:solidFill>
                          <w14:schemeClr w14:val="tx1"/>
                        </w14:solidFill>
                      </w14:textFill>
                    </w:rPr>
                    <w:t>筒</w:t>
                  </w:r>
                </w:p>
              </w:tc>
              <w:tc>
                <w:tcPr>
                  <w:tcW w:w="497" w:type="pct"/>
                  <w:tcBorders>
                    <w:tl2br w:val="nil"/>
                    <w:tr2bl w:val="nil"/>
                  </w:tcBorders>
                  <w:vAlign w:val="center"/>
                </w:tcPr>
                <w:p w14:paraId="78F2065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DA004</w:t>
                  </w:r>
                </w:p>
              </w:tc>
              <w:tc>
                <w:tcPr>
                  <w:tcW w:w="1069" w:type="pct"/>
                  <w:tcBorders>
                    <w:tl2br w:val="nil"/>
                    <w:tr2bl w:val="nil"/>
                  </w:tcBorders>
                  <w:vAlign w:val="center"/>
                </w:tcPr>
                <w:p w14:paraId="77E93F58">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E:106°36′42.383″</w:t>
                  </w:r>
                </w:p>
                <w:p w14:paraId="4A2FFECA">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N:36°10′21.743″</w:t>
                  </w:r>
                </w:p>
              </w:tc>
              <w:tc>
                <w:tcPr>
                  <w:tcW w:w="537" w:type="pct"/>
                  <w:tcBorders>
                    <w:tl2br w:val="nil"/>
                    <w:tr2bl w:val="nil"/>
                  </w:tcBorders>
                  <w:vAlign w:val="center"/>
                </w:tcPr>
                <w:p w14:paraId="2E4E73E9">
                  <w:pPr>
                    <w:pStyle w:val="68"/>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15</w:t>
                  </w:r>
                </w:p>
              </w:tc>
              <w:tc>
                <w:tcPr>
                  <w:tcW w:w="747" w:type="pct"/>
                  <w:tcBorders>
                    <w:tl2br w:val="nil"/>
                    <w:tr2bl w:val="nil"/>
                  </w:tcBorders>
                  <w:vAlign w:val="center"/>
                </w:tcPr>
                <w:p w14:paraId="12C1740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0.6</w:t>
                  </w:r>
                </w:p>
              </w:tc>
              <w:tc>
                <w:tcPr>
                  <w:tcW w:w="558" w:type="pct"/>
                  <w:tcBorders>
                    <w:tl2br w:val="nil"/>
                    <w:tr2bl w:val="nil"/>
                  </w:tcBorders>
                  <w:vAlign w:val="center"/>
                </w:tcPr>
                <w:p w14:paraId="228D2E3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688" w:type="pct"/>
                  <w:tcBorders>
                    <w:tl2br w:val="nil"/>
                    <w:tr2bl w:val="nil"/>
                  </w:tcBorders>
                  <w:vAlign w:val="center"/>
                </w:tcPr>
                <w:p w14:paraId="1D32257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一般排放口</w:t>
                  </w:r>
                </w:p>
              </w:tc>
            </w:tr>
          </w:tbl>
          <w:p w14:paraId="024EC071">
            <w:pPr>
              <w:tabs>
                <w:tab w:val="left" w:pos="1467"/>
                <w:tab w:val="center" w:pos="4503"/>
              </w:tabs>
              <w:autoSpaceDN w:val="0"/>
              <w:adjustRightInd w:val="0"/>
              <w:snapToGrid w:val="0"/>
              <w:spacing w:line="360" w:lineRule="auto"/>
              <w:ind w:firstLine="482" w:firstLineChars="200"/>
              <w:jc w:val="left"/>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5、监测要求及排放标准</w:t>
            </w:r>
          </w:p>
          <w:p w14:paraId="22395916">
            <w:pPr>
              <w:spacing w:line="360" w:lineRule="auto"/>
              <w:ind w:firstLine="480" w:firstLineChars="200"/>
              <w:rPr>
                <w:rFonts w:eastAsia="宋体"/>
                <w:color w:val="000000" w:themeColor="text1"/>
                <w14:textFill>
                  <w14:solidFill>
                    <w14:schemeClr w14:val="tx1"/>
                  </w14:solidFill>
                </w14:textFill>
              </w:rPr>
            </w:pPr>
            <w:r>
              <w:rPr>
                <w:rFonts w:eastAsia="宋体"/>
                <w:bCs/>
                <w:color w:val="000000" w:themeColor="text1"/>
                <w14:textFill>
                  <w14:solidFill>
                    <w14:schemeClr w14:val="tx1"/>
                  </w14:solidFill>
                </w14:textFill>
              </w:rPr>
              <w:t>《排污单位自行监测技术指南 总则》（HJ 819-2017）</w:t>
            </w:r>
            <w:r>
              <w:rPr>
                <w:rFonts w:hint="eastAsia" w:eastAsia="宋体"/>
                <w:bCs/>
                <w:color w:val="000000" w:themeColor="text1"/>
                <w14:textFill>
                  <w14:solidFill>
                    <w14:schemeClr w14:val="tx1"/>
                  </w14:solidFill>
                </w14:textFill>
              </w:rPr>
              <w:t>，</w:t>
            </w:r>
            <w:r>
              <w:rPr>
                <w:rFonts w:eastAsia="宋体"/>
                <w:bCs/>
                <w:color w:val="000000" w:themeColor="text1"/>
                <w14:textFill>
                  <w14:solidFill>
                    <w14:schemeClr w14:val="tx1"/>
                  </w14:solidFill>
                </w14:textFill>
              </w:rPr>
              <w:t>本项目运营期废气监测计划，具体见下表</w:t>
            </w:r>
            <w:r>
              <w:rPr>
                <w:rFonts w:eastAsia="宋体"/>
                <w:color w:val="000000" w:themeColor="text1"/>
                <w14:textFill>
                  <w14:solidFill>
                    <w14:schemeClr w14:val="tx1"/>
                  </w14:solidFill>
                </w14:textFill>
              </w:rPr>
              <w:t>。</w:t>
            </w:r>
          </w:p>
          <w:p w14:paraId="0D1B7704">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表4-3              项目运营期废气监测要求及排放标准</w:t>
            </w:r>
          </w:p>
          <w:tbl>
            <w:tblPr>
              <w:tblStyle w:val="36"/>
              <w:tblW w:w="5000" w:type="pct"/>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Layout w:type="autofit"/>
              <w:tblCellMar>
                <w:top w:w="0" w:type="dxa"/>
                <w:left w:w="57" w:type="dxa"/>
                <w:bottom w:w="0" w:type="dxa"/>
                <w:right w:w="57" w:type="dxa"/>
              </w:tblCellMar>
            </w:tblPr>
            <w:tblGrid>
              <w:gridCol w:w="1153"/>
              <w:gridCol w:w="1113"/>
              <w:gridCol w:w="1136"/>
              <w:gridCol w:w="5136"/>
            </w:tblGrid>
            <w:tr w14:paraId="349074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57" w:type="dxa"/>
                  <w:bottom w:w="0" w:type="dxa"/>
                  <w:right w:w="57" w:type="dxa"/>
                </w:tblCellMar>
              </w:tblPrEx>
              <w:trPr>
                <w:trHeight w:val="340" w:hRule="atLeast"/>
                <w:jc w:val="center"/>
              </w:trPr>
              <w:tc>
                <w:tcPr>
                  <w:tcW w:w="675" w:type="pct"/>
                  <w:tcBorders>
                    <w:tl2br w:val="nil"/>
                    <w:tr2bl w:val="nil"/>
                  </w:tcBorders>
                  <w:vAlign w:val="center"/>
                </w:tcPr>
                <w:p w14:paraId="71B18CA6">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监测点位</w:t>
                  </w:r>
                </w:p>
              </w:tc>
              <w:tc>
                <w:tcPr>
                  <w:tcW w:w="652" w:type="pct"/>
                  <w:tcBorders>
                    <w:tl2br w:val="nil"/>
                    <w:tr2bl w:val="nil"/>
                  </w:tcBorders>
                  <w:vAlign w:val="center"/>
                </w:tcPr>
                <w:p w14:paraId="436D9EFC">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监测因子</w:t>
                  </w:r>
                </w:p>
              </w:tc>
              <w:tc>
                <w:tcPr>
                  <w:tcW w:w="665" w:type="pct"/>
                  <w:tcBorders>
                    <w:tl2br w:val="nil"/>
                    <w:tr2bl w:val="nil"/>
                  </w:tcBorders>
                  <w:vAlign w:val="center"/>
                </w:tcPr>
                <w:p w14:paraId="5F790BED">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监测频次</w:t>
                  </w:r>
                </w:p>
              </w:tc>
              <w:tc>
                <w:tcPr>
                  <w:tcW w:w="3008" w:type="pct"/>
                  <w:tcBorders>
                    <w:tl2br w:val="nil"/>
                    <w:tr2bl w:val="nil"/>
                  </w:tcBorders>
                  <w:vAlign w:val="center"/>
                </w:tcPr>
                <w:p w14:paraId="41CB6FE5">
                  <w:pPr>
                    <w:jc w:val="center"/>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执行标准</w:t>
                  </w:r>
                </w:p>
              </w:tc>
            </w:tr>
            <w:tr w14:paraId="27E78A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57" w:type="dxa"/>
                  <w:bottom w:w="0" w:type="dxa"/>
                  <w:right w:w="57" w:type="dxa"/>
                </w:tblCellMar>
              </w:tblPrEx>
              <w:trPr>
                <w:trHeight w:val="340" w:hRule="atLeast"/>
                <w:jc w:val="center"/>
              </w:trPr>
              <w:tc>
                <w:tcPr>
                  <w:tcW w:w="675" w:type="pct"/>
                  <w:tcBorders>
                    <w:tl2br w:val="nil"/>
                    <w:tr2bl w:val="nil"/>
                  </w:tcBorders>
                  <w:vAlign w:val="center"/>
                </w:tcPr>
                <w:p w14:paraId="590FC22B">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排气筒（DA003）</w:t>
                  </w:r>
                </w:p>
              </w:tc>
              <w:tc>
                <w:tcPr>
                  <w:tcW w:w="652" w:type="pct"/>
                  <w:tcBorders>
                    <w:tl2br w:val="nil"/>
                    <w:tr2bl w:val="nil"/>
                  </w:tcBorders>
                  <w:vAlign w:val="center"/>
                </w:tcPr>
                <w:p w14:paraId="4C98C0BD">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665" w:type="pct"/>
                  <w:tcBorders>
                    <w:tl2br w:val="nil"/>
                    <w:tr2bl w:val="nil"/>
                  </w:tcBorders>
                  <w:vAlign w:val="center"/>
                </w:tcPr>
                <w:p w14:paraId="1B26F9B0">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1次/年</w:t>
                  </w:r>
                </w:p>
              </w:tc>
              <w:tc>
                <w:tcPr>
                  <w:tcW w:w="3008" w:type="pct"/>
                  <w:tcBorders>
                    <w:tl2br w:val="nil"/>
                    <w:tr2bl w:val="nil"/>
                  </w:tcBorders>
                  <w:vAlign w:val="center"/>
                </w:tcPr>
                <w:p w14:paraId="4145A569">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《石灰、电石工业大气污染物排放标准》（GB41618-2022）中石灰制品生产大气排放标准限值</w:t>
                  </w:r>
                </w:p>
              </w:tc>
            </w:tr>
            <w:tr w14:paraId="158BF4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57" w:type="dxa"/>
                  <w:bottom w:w="0" w:type="dxa"/>
                  <w:right w:w="57" w:type="dxa"/>
                </w:tblCellMar>
              </w:tblPrEx>
              <w:trPr>
                <w:trHeight w:val="340" w:hRule="atLeast"/>
                <w:jc w:val="center"/>
              </w:trPr>
              <w:tc>
                <w:tcPr>
                  <w:tcW w:w="675" w:type="pct"/>
                  <w:tcBorders>
                    <w:tl2br w:val="nil"/>
                    <w:tr2bl w:val="nil"/>
                  </w:tcBorders>
                  <w:vAlign w:val="center"/>
                </w:tcPr>
                <w:p w14:paraId="4F6B24EC">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排气筒（DA004）</w:t>
                  </w:r>
                </w:p>
              </w:tc>
              <w:tc>
                <w:tcPr>
                  <w:tcW w:w="652" w:type="pct"/>
                  <w:tcBorders>
                    <w:tl2br w:val="nil"/>
                    <w:tr2bl w:val="nil"/>
                  </w:tcBorders>
                  <w:vAlign w:val="center"/>
                </w:tcPr>
                <w:p w14:paraId="5C74553D">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665" w:type="pct"/>
                  <w:tcBorders>
                    <w:tl2br w:val="nil"/>
                    <w:tr2bl w:val="nil"/>
                  </w:tcBorders>
                  <w:vAlign w:val="center"/>
                </w:tcPr>
                <w:p w14:paraId="75F6FE64">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1次/年</w:t>
                  </w:r>
                </w:p>
              </w:tc>
              <w:tc>
                <w:tcPr>
                  <w:tcW w:w="3008" w:type="pct"/>
                  <w:tcBorders>
                    <w:tl2br w:val="nil"/>
                    <w:tr2bl w:val="nil"/>
                  </w:tcBorders>
                  <w:vAlign w:val="center"/>
                </w:tcPr>
                <w:p w14:paraId="1F8A3E7D">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《大气污染物综合排放标准》（GB16297-1996）表2二级标准</w:t>
                  </w:r>
                </w:p>
              </w:tc>
            </w:tr>
            <w:tr w14:paraId="0F1D1F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4" w:space="0"/>
                </w:tblBorders>
                <w:tblCellMar>
                  <w:top w:w="0" w:type="dxa"/>
                  <w:left w:w="57" w:type="dxa"/>
                  <w:bottom w:w="0" w:type="dxa"/>
                  <w:right w:w="57" w:type="dxa"/>
                </w:tblCellMar>
              </w:tblPrEx>
              <w:trPr>
                <w:trHeight w:val="340" w:hRule="atLeast"/>
                <w:jc w:val="center"/>
              </w:trPr>
              <w:tc>
                <w:tcPr>
                  <w:tcW w:w="675" w:type="pct"/>
                  <w:tcBorders>
                    <w:tl2br w:val="nil"/>
                    <w:tr2bl w:val="nil"/>
                  </w:tcBorders>
                  <w:vAlign w:val="center"/>
                </w:tcPr>
                <w:p w14:paraId="70879A2B">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厂界</w:t>
                  </w:r>
                </w:p>
              </w:tc>
              <w:tc>
                <w:tcPr>
                  <w:tcW w:w="652" w:type="pct"/>
                  <w:tcBorders>
                    <w:tl2br w:val="nil"/>
                    <w:tr2bl w:val="nil"/>
                  </w:tcBorders>
                  <w:vAlign w:val="center"/>
                </w:tcPr>
                <w:p w14:paraId="1D3253DE">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665" w:type="pct"/>
                  <w:tcBorders>
                    <w:tl2br w:val="nil"/>
                    <w:tr2bl w:val="nil"/>
                  </w:tcBorders>
                  <w:vAlign w:val="center"/>
                </w:tcPr>
                <w:p w14:paraId="2EC82306">
                  <w:pPr>
                    <w:jc w:val="center"/>
                    <w:rPr>
                      <w:rFonts w:eastAsia="宋体"/>
                      <w:bCs/>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1次/年</w:t>
                  </w:r>
                </w:p>
              </w:tc>
              <w:tc>
                <w:tcPr>
                  <w:tcW w:w="3008" w:type="pct"/>
                  <w:tcBorders>
                    <w:tl2br w:val="nil"/>
                    <w:tr2bl w:val="nil"/>
                  </w:tcBorders>
                  <w:vAlign w:val="center"/>
                </w:tcPr>
                <w:p w14:paraId="4EF45992">
                  <w:pPr>
                    <w:jc w:val="center"/>
                    <w:rPr>
                      <w:rFonts w:eastAsia="宋体"/>
                      <w:bCs/>
                      <w:color w:val="000000" w:themeColor="text1"/>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《大气污染物综合排放标准》（GB16297-1996）无组织排放监控限值</w:t>
                  </w:r>
                </w:p>
              </w:tc>
            </w:tr>
          </w:tbl>
          <w:p w14:paraId="6A670A98">
            <w:pPr>
              <w:tabs>
                <w:tab w:val="left" w:pos="1467"/>
                <w:tab w:val="center" w:pos="4503"/>
              </w:tabs>
              <w:autoSpaceDN w:val="0"/>
              <w:adjustRightInd w:val="0"/>
              <w:snapToGrid w:val="0"/>
              <w:spacing w:line="360" w:lineRule="auto"/>
              <w:ind w:firstLine="482" w:firstLineChars="200"/>
              <w:jc w:val="left"/>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6、非正常工况</w:t>
            </w:r>
          </w:p>
          <w:p w14:paraId="0E0E5562">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非正常工况排放主要分为两类：一类是在正常生产设备开停、工艺设备故障或部分设备检修时会有较大量的污染物排出，另一类是环保设施达不到设计规定的指标运行，而使正常排放的污染物经过不完全处理或不经过处理直接排放而导致的超标排放。</w:t>
            </w:r>
          </w:p>
          <w:p w14:paraId="56EE3876">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 1 \* GB3 \* MERGEFORMAT </w:instrText>
            </w:r>
            <w:r>
              <w:rPr>
                <w:rFonts w:eastAsia="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①</w:t>
            </w:r>
            <w:r>
              <w:rPr>
                <w:rFonts w:eastAsia="宋体"/>
                <w:color w:val="000000" w:themeColor="text1"/>
                <w14:textFill>
                  <w14:solidFill>
                    <w14:schemeClr w14:val="tx1"/>
                  </w14:solidFill>
                </w14:textFill>
              </w:rPr>
              <w:fldChar w:fldCharType="end"/>
            </w:r>
            <w:r>
              <w:rPr>
                <w:rFonts w:eastAsia="宋体"/>
                <w:color w:val="000000" w:themeColor="text1"/>
                <w14:textFill>
                  <w14:solidFill>
                    <w14:schemeClr w14:val="tx1"/>
                  </w14:solidFill>
                </w14:textFill>
              </w:rPr>
              <w:t>设备检修及开停车</w:t>
            </w:r>
          </w:p>
          <w:p w14:paraId="0BF8F8FD">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开车时，首先启动环保装置，然后再按照规程依次启动生产线上各个设备，一般不会出现超标排污的现象；停车时，则需先按照规程依次关闭生产线上的设备，然后关闭环保设备，保证污染物达标排放。</w:t>
            </w:r>
          </w:p>
          <w:p w14:paraId="6974A786">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 2 \* GB3 \* MERGEFORMAT </w:instrText>
            </w:r>
            <w:r>
              <w:rPr>
                <w:rFonts w:eastAsia="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②</w:t>
            </w:r>
            <w:r>
              <w:rPr>
                <w:rFonts w:eastAsia="宋体"/>
                <w:color w:val="000000" w:themeColor="text1"/>
                <w14:textFill>
                  <w14:solidFill>
                    <w14:schemeClr w14:val="tx1"/>
                  </w14:solidFill>
                </w14:textFill>
              </w:rPr>
              <w:fldChar w:fldCharType="end"/>
            </w:r>
            <w:r>
              <w:rPr>
                <w:rFonts w:eastAsia="宋体"/>
                <w:color w:val="000000" w:themeColor="text1"/>
                <w14:textFill>
                  <w14:solidFill>
                    <w14:schemeClr w14:val="tx1"/>
                  </w14:solidFill>
                </w14:textFill>
              </w:rPr>
              <w:t>非正常工况废气污染源</w:t>
            </w:r>
          </w:p>
          <w:p w14:paraId="3B4BA090">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工程特点，本项目非正常工况污染物的排放，主要为有组织废气处理设施故障。因此，本次评价主要考虑除尘器布袋破损大气污染物非正常工况排放。本次评价以有组织废气处理系统布袋破碎，即处理效率为50%考虑，单次持续时间以1h计。</w:t>
            </w:r>
          </w:p>
          <w:p w14:paraId="5F5B88D4">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非正常工况下大气污染物排放情况见下表：</w:t>
            </w:r>
          </w:p>
          <w:p w14:paraId="4A9D8057">
            <w:pPr>
              <w:keepLines/>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表4-4              非正常工况污染物排放情况表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58"/>
              <w:gridCol w:w="864"/>
              <w:gridCol w:w="1990"/>
              <w:gridCol w:w="1011"/>
              <w:gridCol w:w="721"/>
              <w:gridCol w:w="866"/>
              <w:gridCol w:w="842"/>
              <w:gridCol w:w="752"/>
              <w:gridCol w:w="734"/>
            </w:tblGrid>
            <w:tr w14:paraId="02EE7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44" w:type="pct"/>
                  <w:shd w:val="clear" w:color="auto" w:fill="auto"/>
                  <w:vAlign w:val="center"/>
                </w:tcPr>
                <w:p w14:paraId="2AD661C4">
                  <w:pPr>
                    <w:adjustRightInd w:val="0"/>
                    <w:snapToGrid w:val="0"/>
                    <w:jc w:val="center"/>
                    <w:rPr>
                      <w:rFonts w:eastAsia="宋体"/>
                      <w:color w:val="000000" w:themeColor="text1"/>
                      <w:kern w:val="0"/>
                      <w:sz w:val="21"/>
                      <w:szCs w:val="20"/>
                      <w14:textFill>
                        <w14:solidFill>
                          <w14:schemeClr w14:val="tx1"/>
                        </w14:solidFill>
                      </w14:textFill>
                    </w:rPr>
                  </w:pPr>
                  <w:bookmarkStart w:id="7" w:name="OLE_LINK242"/>
                  <w:bookmarkStart w:id="8" w:name="OLE_LINK241"/>
                  <w:r>
                    <w:rPr>
                      <w:rFonts w:eastAsia="宋体"/>
                      <w:color w:val="000000" w:themeColor="text1"/>
                      <w:kern w:val="0"/>
                      <w:sz w:val="21"/>
                      <w:szCs w:val="20"/>
                      <w14:textFill>
                        <w14:solidFill>
                          <w14:schemeClr w14:val="tx1"/>
                        </w14:solidFill>
                      </w14:textFill>
                    </w:rPr>
                    <w:t>污染源</w:t>
                  </w:r>
                </w:p>
              </w:tc>
              <w:tc>
                <w:tcPr>
                  <w:tcW w:w="506" w:type="pct"/>
                  <w:shd w:val="clear" w:color="auto" w:fill="auto"/>
                  <w:vAlign w:val="center"/>
                </w:tcPr>
                <w:p w14:paraId="7D71616F">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污染物名称</w:t>
                  </w:r>
                </w:p>
              </w:tc>
              <w:tc>
                <w:tcPr>
                  <w:tcW w:w="1165" w:type="pct"/>
                  <w:shd w:val="clear" w:color="auto" w:fill="auto"/>
                  <w:vAlign w:val="center"/>
                </w:tcPr>
                <w:p w14:paraId="01B3D93D">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治理措施</w:t>
                  </w:r>
                </w:p>
              </w:tc>
              <w:tc>
                <w:tcPr>
                  <w:tcW w:w="592" w:type="pct"/>
                  <w:shd w:val="clear" w:color="auto" w:fill="auto"/>
                  <w:vAlign w:val="center"/>
                </w:tcPr>
                <w:p w14:paraId="6BA19AA7">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非正常工况原因</w:t>
                  </w:r>
                </w:p>
              </w:tc>
              <w:tc>
                <w:tcPr>
                  <w:tcW w:w="422" w:type="pct"/>
                  <w:shd w:val="clear" w:color="auto" w:fill="auto"/>
                  <w:vAlign w:val="center"/>
                </w:tcPr>
                <w:p w14:paraId="31B6D9EE">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发生频次</w:t>
                  </w:r>
                </w:p>
                <w:p w14:paraId="4ED3412C">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次/年</w:t>
                  </w:r>
                </w:p>
              </w:tc>
              <w:tc>
                <w:tcPr>
                  <w:tcW w:w="507" w:type="pct"/>
                  <w:shd w:val="clear" w:color="auto" w:fill="auto"/>
                  <w:vAlign w:val="center"/>
                </w:tcPr>
                <w:p w14:paraId="19781A4A">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单次持续时间</w:t>
                  </w:r>
                </w:p>
              </w:tc>
              <w:tc>
                <w:tcPr>
                  <w:tcW w:w="493" w:type="pct"/>
                  <w:shd w:val="clear" w:color="auto" w:fill="auto"/>
                  <w:vAlign w:val="center"/>
                </w:tcPr>
                <w:p w14:paraId="2F95528A">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应对</w:t>
                  </w:r>
                </w:p>
                <w:p w14:paraId="0E8C40D1">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措施</w:t>
                  </w:r>
                </w:p>
              </w:tc>
              <w:tc>
                <w:tcPr>
                  <w:tcW w:w="440" w:type="pct"/>
                  <w:shd w:val="clear" w:color="auto" w:fill="auto"/>
                  <w:vAlign w:val="center"/>
                </w:tcPr>
                <w:p w14:paraId="359F4CBF">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排放</w:t>
                  </w:r>
                </w:p>
                <w:p w14:paraId="3B50056B">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浓度</w:t>
                  </w:r>
                </w:p>
                <w:p w14:paraId="07EC9F09">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mg/m</w:t>
                  </w:r>
                  <w:r>
                    <w:rPr>
                      <w:rFonts w:eastAsia="宋体"/>
                      <w:color w:val="000000" w:themeColor="text1"/>
                      <w:kern w:val="0"/>
                      <w:sz w:val="21"/>
                      <w:szCs w:val="20"/>
                      <w:vertAlign w:val="superscript"/>
                      <w14:textFill>
                        <w14:solidFill>
                          <w14:schemeClr w14:val="tx1"/>
                        </w14:solidFill>
                      </w14:textFill>
                    </w:rPr>
                    <w:t>3</w:t>
                  </w:r>
                </w:p>
              </w:tc>
              <w:tc>
                <w:tcPr>
                  <w:tcW w:w="430" w:type="pct"/>
                  <w:shd w:val="clear" w:color="auto" w:fill="auto"/>
                  <w:vAlign w:val="center"/>
                </w:tcPr>
                <w:p w14:paraId="1B9DC27C">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排放量</w:t>
                  </w:r>
                </w:p>
                <w:p w14:paraId="0E3ADAF4">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kg</w:t>
                  </w:r>
                </w:p>
              </w:tc>
            </w:tr>
            <w:tr w14:paraId="1C776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44" w:type="pct"/>
                  <w:shd w:val="clear" w:color="auto" w:fill="auto"/>
                  <w:vAlign w:val="center"/>
                </w:tcPr>
                <w:p w14:paraId="2D5B318F">
                  <w:pPr>
                    <w:adjustRightInd w:val="0"/>
                    <w:snapToGrid w:val="0"/>
                    <w:jc w:val="center"/>
                    <w:rPr>
                      <w:rFonts w:eastAsia="宋体"/>
                      <w:color w:val="000000" w:themeColor="text1"/>
                      <w:sz w:val="21"/>
                      <w14:textFill>
                        <w14:solidFill>
                          <w14:schemeClr w14:val="tx1"/>
                        </w14:solidFill>
                      </w14:textFill>
                    </w:rPr>
                  </w:pPr>
                  <w:bookmarkStart w:id="9" w:name="_Hlk207833570"/>
                  <w:r>
                    <w:rPr>
                      <w:rFonts w:eastAsia="宋体"/>
                      <w:color w:val="000000" w:themeColor="text1"/>
                      <w:sz w:val="21"/>
                      <w14:textFill>
                        <w14:solidFill>
                          <w14:schemeClr w14:val="tx1"/>
                        </w14:solidFill>
                      </w14:textFill>
                    </w:rPr>
                    <w:t>石灰石投料、粉磨粉尘</w:t>
                  </w:r>
                </w:p>
              </w:tc>
              <w:tc>
                <w:tcPr>
                  <w:tcW w:w="506" w:type="pct"/>
                  <w:shd w:val="clear" w:color="auto" w:fill="auto"/>
                  <w:vAlign w:val="center"/>
                </w:tcPr>
                <w:p w14:paraId="1E890CA0">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颗粒物</w:t>
                  </w:r>
                </w:p>
              </w:tc>
              <w:tc>
                <w:tcPr>
                  <w:tcW w:w="1165" w:type="pct"/>
                  <w:shd w:val="clear" w:color="auto" w:fill="auto"/>
                  <w:vAlign w:val="center"/>
                </w:tcPr>
                <w:p w14:paraId="0AB60928">
                  <w:pPr>
                    <w:adjustRightInd w:val="0"/>
                    <w:snapToGrid w:val="0"/>
                    <w:jc w:val="center"/>
                    <w:rPr>
                      <w:rFonts w:eastAsia="宋体"/>
                      <w:color w:val="000000" w:themeColor="text1"/>
                      <w:kern w:val="0"/>
                      <w:sz w:val="21"/>
                      <w:szCs w:val="21"/>
                      <w14:textFill>
                        <w14:solidFill>
                          <w14:schemeClr w14:val="tx1"/>
                        </w14:solidFill>
                      </w14:textFill>
                    </w:rPr>
                  </w:pPr>
                  <w:r>
                    <w:rPr>
                      <w:rFonts w:eastAsia="宋体"/>
                      <w:bCs/>
                      <w:color w:val="000000" w:themeColor="text1"/>
                      <w:sz w:val="21"/>
                      <w:szCs w:val="21"/>
                      <w14:textFill>
                        <w14:solidFill>
                          <w14:schemeClr w14:val="tx1"/>
                        </w14:solidFill>
                      </w14:textFill>
                    </w:rPr>
                    <w:t>投料口</w:t>
                  </w:r>
                  <w:r>
                    <w:rPr>
                      <w:rFonts w:eastAsia="宋体"/>
                      <w:bCs/>
                      <w:color w:val="000000" w:themeColor="text1"/>
                      <w:sz w:val="21"/>
                      <w:szCs w:val="21"/>
                      <w:lang w:bidi="en-US"/>
                      <w14:textFill>
                        <w14:solidFill>
                          <w14:schemeClr w14:val="tx1"/>
                        </w14:solidFill>
                      </w14:textFill>
                    </w:rPr>
                    <w:t>设置1个集气罩（集气效率90%）</w:t>
                  </w:r>
                  <w:r>
                    <w:rPr>
                      <w:rFonts w:eastAsia="宋体"/>
                      <w:bCs/>
                      <w:color w:val="000000" w:themeColor="text1"/>
                      <w:sz w:val="21"/>
                      <w:szCs w:val="21"/>
                      <w14:textFill>
                        <w14:solidFill>
                          <w14:schemeClr w14:val="tx1"/>
                        </w14:solidFill>
                      </w14:textFill>
                    </w:rPr>
                    <w:t>对产生的粉尘进行收集，</w:t>
                  </w:r>
                  <w:r>
                    <w:rPr>
                      <w:rFonts w:hint="eastAsia" w:eastAsia="宋体"/>
                      <w:color w:val="000000" w:themeColor="text1"/>
                      <w:sz w:val="21"/>
                      <w:szCs w:val="21"/>
                      <w14:textFill>
                        <w14:solidFill>
                          <w14:schemeClr w14:val="tx1"/>
                        </w14:solidFill>
                      </w14:textFill>
                    </w:rPr>
                    <w:t>粉磨机为封闭式结构，3台磨粉机产生的含尘气体通过密闭管道收集汇总，汇同</w:t>
                  </w:r>
                  <w:r>
                    <w:rPr>
                      <w:rFonts w:eastAsia="宋体"/>
                      <w:bCs/>
                      <w:color w:val="000000" w:themeColor="text1"/>
                      <w:sz w:val="21"/>
                      <w:szCs w:val="21"/>
                      <w14:textFill>
                        <w14:solidFill>
                          <w14:schemeClr w14:val="tx1"/>
                        </w14:solidFill>
                      </w14:textFill>
                    </w:rPr>
                    <w:t>投料粉尘</w:t>
                  </w:r>
                  <w:r>
                    <w:rPr>
                      <w:rFonts w:hint="eastAsia" w:eastAsia="宋体"/>
                      <w:color w:val="000000" w:themeColor="text1"/>
                      <w:sz w:val="21"/>
                      <w:szCs w:val="21"/>
                      <w14:textFill>
                        <w14:solidFill>
                          <w14:schemeClr w14:val="tx1"/>
                        </w14:solidFill>
                      </w14:textFill>
                    </w:rPr>
                    <w:t>一同送入1台高效脉冲袋式除尘器（3#，除尘效率99%）处理后由15m高排气筒（DA003）排放。</w:t>
                  </w:r>
                </w:p>
              </w:tc>
              <w:tc>
                <w:tcPr>
                  <w:tcW w:w="592" w:type="pct"/>
                  <w:shd w:val="clear" w:color="auto" w:fill="auto"/>
                  <w:vAlign w:val="center"/>
                </w:tcPr>
                <w:p w14:paraId="0489EB66">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布袋破损处理效率降低50%</w:t>
                  </w:r>
                </w:p>
              </w:tc>
              <w:tc>
                <w:tcPr>
                  <w:tcW w:w="422" w:type="pct"/>
                  <w:shd w:val="clear" w:color="auto" w:fill="auto"/>
                  <w:vAlign w:val="center"/>
                </w:tcPr>
                <w:p w14:paraId="3A184D72">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≤2</w:t>
                  </w:r>
                </w:p>
              </w:tc>
              <w:tc>
                <w:tcPr>
                  <w:tcW w:w="507" w:type="pct"/>
                  <w:shd w:val="clear" w:color="auto" w:fill="auto"/>
                  <w:vAlign w:val="center"/>
                </w:tcPr>
                <w:p w14:paraId="515FDA64">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≤30min</w:t>
                  </w:r>
                </w:p>
              </w:tc>
              <w:tc>
                <w:tcPr>
                  <w:tcW w:w="493" w:type="pct"/>
                  <w:shd w:val="clear" w:color="auto" w:fill="auto"/>
                  <w:vAlign w:val="center"/>
                </w:tcPr>
                <w:p w14:paraId="654A0F35">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停止作业、进行检修</w:t>
                  </w:r>
                </w:p>
              </w:tc>
              <w:tc>
                <w:tcPr>
                  <w:tcW w:w="440" w:type="pct"/>
                  <w:shd w:val="clear" w:color="auto" w:fill="auto"/>
                  <w:vAlign w:val="center"/>
                </w:tcPr>
                <w:p w14:paraId="65365F22">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1412.13</w:t>
                  </w:r>
                </w:p>
              </w:tc>
              <w:tc>
                <w:tcPr>
                  <w:tcW w:w="430" w:type="pct"/>
                  <w:shd w:val="clear" w:color="auto" w:fill="auto"/>
                  <w:vAlign w:val="center"/>
                </w:tcPr>
                <w:p w14:paraId="71EC975B">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28.243</w:t>
                  </w:r>
                </w:p>
              </w:tc>
            </w:tr>
            <w:bookmarkEnd w:id="9"/>
            <w:tr w14:paraId="37AB7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trPr>
              <w:tc>
                <w:tcPr>
                  <w:tcW w:w="444" w:type="pct"/>
                  <w:shd w:val="clear" w:color="auto" w:fill="auto"/>
                  <w:vAlign w:val="center"/>
                </w:tcPr>
                <w:p w14:paraId="5B8A2517">
                  <w:pPr>
                    <w:adjustRightInd w:val="0"/>
                    <w:snapToGrid w:val="0"/>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给料、破碎、筛分粉尘</w:t>
                  </w:r>
                </w:p>
              </w:tc>
              <w:tc>
                <w:tcPr>
                  <w:tcW w:w="506" w:type="pct"/>
                  <w:shd w:val="clear" w:color="auto" w:fill="auto"/>
                  <w:vAlign w:val="center"/>
                </w:tcPr>
                <w:p w14:paraId="5DBDCFED">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颗粒物</w:t>
                  </w:r>
                </w:p>
              </w:tc>
              <w:tc>
                <w:tcPr>
                  <w:tcW w:w="1165" w:type="pct"/>
                  <w:shd w:val="clear" w:color="auto" w:fill="auto"/>
                  <w:vAlign w:val="center"/>
                </w:tcPr>
                <w:p w14:paraId="578D6BCC">
                  <w:pPr>
                    <w:adjustRightInd w:val="0"/>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给料台和破碎机出口各设置1个集气罩（集气效率90%），收集后经1台高效脉冲袋式除尘器（4#，除尘效率99%）处理后由15m高排气筒（DA004）排放。</w:t>
                  </w:r>
                </w:p>
              </w:tc>
              <w:tc>
                <w:tcPr>
                  <w:tcW w:w="592" w:type="pct"/>
                  <w:shd w:val="clear" w:color="auto" w:fill="auto"/>
                  <w:vAlign w:val="center"/>
                </w:tcPr>
                <w:p w14:paraId="676D5044">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布袋破损处理效率降低50%</w:t>
                  </w:r>
                </w:p>
              </w:tc>
              <w:tc>
                <w:tcPr>
                  <w:tcW w:w="422" w:type="pct"/>
                  <w:shd w:val="clear" w:color="auto" w:fill="auto"/>
                  <w:vAlign w:val="center"/>
                </w:tcPr>
                <w:p w14:paraId="67AD34C4">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≤2</w:t>
                  </w:r>
                </w:p>
              </w:tc>
              <w:tc>
                <w:tcPr>
                  <w:tcW w:w="507" w:type="pct"/>
                  <w:shd w:val="clear" w:color="auto" w:fill="auto"/>
                  <w:vAlign w:val="center"/>
                </w:tcPr>
                <w:p w14:paraId="7ACE2AE7">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≤30min</w:t>
                  </w:r>
                </w:p>
              </w:tc>
              <w:tc>
                <w:tcPr>
                  <w:tcW w:w="493" w:type="pct"/>
                  <w:shd w:val="clear" w:color="auto" w:fill="auto"/>
                  <w:vAlign w:val="center"/>
                </w:tcPr>
                <w:p w14:paraId="5250C8BE">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停止作业、进行检修</w:t>
                  </w:r>
                </w:p>
              </w:tc>
              <w:tc>
                <w:tcPr>
                  <w:tcW w:w="440" w:type="pct"/>
                  <w:shd w:val="clear" w:color="auto" w:fill="auto"/>
                  <w:vAlign w:val="center"/>
                </w:tcPr>
                <w:p w14:paraId="0031FF5D">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334.91</w:t>
                  </w:r>
                </w:p>
              </w:tc>
              <w:tc>
                <w:tcPr>
                  <w:tcW w:w="430" w:type="pct"/>
                  <w:shd w:val="clear" w:color="auto" w:fill="auto"/>
                  <w:vAlign w:val="center"/>
                </w:tcPr>
                <w:p w14:paraId="191E3A33">
                  <w:pPr>
                    <w:adjustRightInd w:val="0"/>
                    <w:snapToGrid w:val="0"/>
                    <w:jc w:val="center"/>
                    <w:rPr>
                      <w:rFonts w:eastAsia="宋体"/>
                      <w:color w:val="000000" w:themeColor="text1"/>
                      <w:kern w:val="0"/>
                      <w:sz w:val="21"/>
                      <w:szCs w:val="20"/>
                      <w14:textFill>
                        <w14:solidFill>
                          <w14:schemeClr w14:val="tx1"/>
                        </w14:solidFill>
                      </w14:textFill>
                    </w:rPr>
                  </w:pPr>
                  <w:r>
                    <w:rPr>
                      <w:rFonts w:eastAsia="宋体"/>
                      <w:color w:val="000000" w:themeColor="text1"/>
                      <w:kern w:val="0"/>
                      <w:sz w:val="21"/>
                      <w:szCs w:val="20"/>
                      <w14:textFill>
                        <w14:solidFill>
                          <w14:schemeClr w14:val="tx1"/>
                        </w14:solidFill>
                      </w14:textFill>
                    </w:rPr>
                    <w:t>6.698</w:t>
                  </w:r>
                </w:p>
              </w:tc>
            </w:tr>
            <w:bookmarkEnd w:id="7"/>
            <w:bookmarkEnd w:id="8"/>
          </w:tbl>
          <w:p w14:paraId="78D4A979">
            <w:pPr>
              <w:rPr>
                <w:color w:val="000000" w:themeColor="text1"/>
                <w14:textFill>
                  <w14:solidFill>
                    <w14:schemeClr w14:val="tx1"/>
                  </w14:solidFill>
                </w14:textFill>
              </w:rPr>
            </w:pPr>
          </w:p>
          <w:p w14:paraId="548E45D7">
            <w:pPr>
              <w:widowControl/>
              <w:spacing w:line="360" w:lineRule="auto"/>
              <w:ind w:firstLine="480" w:firstLineChars="200"/>
              <w:jc w:val="left"/>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eastAsia="宋体"/>
                <w:color w:val="000000" w:themeColor="text1"/>
                <w14:textFill>
                  <w14:solidFill>
                    <w14:schemeClr w14:val="tx1"/>
                  </w14:solidFill>
                </w14:textFill>
              </w:rPr>
              <w:t>非正常工况防范措施</w:t>
            </w:r>
          </w:p>
          <w:p w14:paraId="711A2950">
            <w:pPr>
              <w:pStyle w:val="65"/>
              <w:jc w:val="both"/>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项目环保设施均属常规设施，只要建设单位重视环保设施的正常检修，加强设备的运行管理，出现事故的概率较小，可避免非正常排放对环境的影响。</w:t>
            </w:r>
          </w:p>
          <w:p w14:paraId="13AFC499">
            <w:pPr>
              <w:pStyle w:val="65"/>
              <w:jc w:val="both"/>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为尽量避免非正常排放发生，建设单位应采取如下防范措施：</w:t>
            </w:r>
          </w:p>
          <w:p w14:paraId="5915CFA9">
            <w:pPr>
              <w:pStyle w:val="65"/>
              <w:jc w:val="both"/>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A.对非正常状态下排放的危害加强认识，建立一套完善的环保设施检修体制。</w:t>
            </w:r>
          </w:p>
          <w:p w14:paraId="34CC7B6F">
            <w:pPr>
              <w:pStyle w:val="65"/>
              <w:jc w:val="both"/>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B.建设单位应做好生产设备和环保设施的管理、维修工作，选用质量好的设备；派专人对易发生非正常排放的设备进行管理，出现异常，及时维修处理，定期检查。</w:t>
            </w:r>
          </w:p>
          <w:p w14:paraId="23A82087">
            <w:pPr>
              <w:pStyle w:val="65"/>
              <w:jc w:val="both"/>
              <w:rPr>
                <w:rFonts w:ascii="Times New Roman" w:hAnsi="Times New Roman" w:eastAsia="宋体"/>
                <w:color w:val="000000" w:themeColor="text1"/>
                <w:kern w:val="2"/>
                <w:szCs w:val="24"/>
                <w:lang w:eastAsia="zh-CN" w:bidi="ar-SA"/>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C.出现事故情况，必要时应立即停产检修，待检修完毕后再进行生产。</w:t>
            </w:r>
          </w:p>
          <w:p w14:paraId="03F48E4C">
            <w:pPr>
              <w:adjustRightInd w:val="0"/>
              <w:snapToGrid w:val="0"/>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8、排放达标及环境影响分析</w:t>
            </w:r>
          </w:p>
          <w:p w14:paraId="5C7EC0C3">
            <w:pPr>
              <w:pStyle w:val="65"/>
              <w:widowControl w:val="0"/>
              <w:jc w:val="both"/>
              <w:rPr>
                <w:rFonts w:ascii="Times New Roman" w:hAnsi="Times New Roman" w:eastAsia="宋体"/>
                <w:bCs/>
                <w:color w:val="000000" w:themeColor="text1"/>
                <w:lang w:eastAsia="zh-CN"/>
                <w14:textFill>
                  <w14:solidFill>
                    <w14:schemeClr w14:val="tx1"/>
                  </w14:solidFill>
                </w14:textFill>
              </w:rPr>
            </w:pPr>
            <w:r>
              <w:rPr>
                <w:rFonts w:ascii="Times New Roman" w:hAnsi="Times New Roman" w:eastAsia="宋体"/>
                <w:bCs/>
                <w:color w:val="000000" w:themeColor="text1"/>
                <w:lang w:eastAsia="zh-CN"/>
                <w14:textFill>
                  <w14:solidFill>
                    <w14:schemeClr w14:val="tx1"/>
                  </w14:solidFill>
                </w14:textFill>
              </w:rPr>
              <w:t>本项目建设地点位于宁夏回族自治区固原市彭阳县王洼镇北洼村印子掌01号，根据《固原市生态环境质量报告书》（2025.06）中彭阳县的监测数据。本项目所在区为达标区；厂界外500m范围内无自然保护区、风景名胜区、居住区、文化区和农村地区中人群较集中的区域等保护目标。</w:t>
            </w:r>
          </w:p>
          <w:p w14:paraId="61E18B20">
            <w:pPr>
              <w:pStyle w:val="65"/>
              <w:widowControl w:val="0"/>
              <w:jc w:val="both"/>
              <w:rPr>
                <w:rFonts w:ascii="Times New Roman" w:hAnsi="Times New Roman" w:eastAsia="宋体"/>
                <w:bCs/>
                <w:color w:val="000000" w:themeColor="text1"/>
                <w:lang w:eastAsia="zh-CN"/>
                <w14:textFill>
                  <w14:solidFill>
                    <w14:schemeClr w14:val="tx1"/>
                  </w14:solidFill>
                </w14:textFill>
              </w:rPr>
            </w:pPr>
            <w:r>
              <w:rPr>
                <w:rFonts w:hint="eastAsia" w:ascii="Times New Roman" w:hAnsi="Times New Roman" w:eastAsia="宋体"/>
                <w:bCs/>
                <w:color w:val="000000" w:themeColor="text1"/>
                <w:lang w:eastAsia="zh-CN"/>
                <w14:textFill>
                  <w14:solidFill>
                    <w14:schemeClr w14:val="tx1"/>
                  </w14:solidFill>
                </w14:textFill>
              </w:rPr>
              <w:t>本项目石灰石料仓全封闭，正常生产时仓门关闭，仓内设置1套喷雾降尘装置，通过洒水降尘后仓内粉尘无组织排放。投料口设置1个集气罩（集气效率90%）对产生的粉尘进行收集，粉磨机为封闭式结构，3台磨粉机产生的含尘气体通过密闭管道收集汇总，汇同投料粉尘一同送入1台高效脉冲袋式除尘器（3#，除尘效率99%）处理后由15m高排气筒（DA003）排放。每座罐仓仓顶自带高效脉冲布袋除尘器（除尘效率99%）处理后由顶部排放。建筑垃圾料仓全封闭，正常生产时仓门关闭，仓内设置1套喷雾降尘装置，通过洒水降尘后仓内粉尘无组织排放。建筑垃圾加工生产线进行封闭处理，给料台和破碎机出口各设置1个集气罩（集气效率90%），收集后经1台高效脉冲袋式除尘器（4#，除尘效率99%）处理后由15m高排气筒（DA004）排放。再生骨料及再生水稳料料仓全封闭，正常生产时仓门关闭，仓内设置1套喷雾降尘装置，通过洒水降尘后仓内粉尘无组织排放。在厂区进出口设置洗车设备；对厂区内运输道路地面进行硬化，保持厂区路面清洁，进行洒水抑尘</w:t>
            </w:r>
            <w:bookmarkStart w:id="10" w:name="OLE_LINK7"/>
            <w:bookmarkStart w:id="11" w:name="OLE_LINK6"/>
            <w:r>
              <w:rPr>
                <w:rFonts w:ascii="Times New Roman" w:hAnsi="Times New Roman" w:eastAsia="宋体"/>
                <w:bCs/>
                <w:color w:val="000000" w:themeColor="text1"/>
                <w:lang w:eastAsia="zh-CN"/>
                <w14:textFill>
                  <w14:solidFill>
                    <w14:schemeClr w14:val="tx1"/>
                  </w14:solidFill>
                </w14:textFill>
              </w:rPr>
              <w:t>。采取以上治理措施处理后可实现大气污染物达标排放，对区域大气环境影响较小。</w:t>
            </w:r>
          </w:p>
          <w:bookmarkEnd w:id="10"/>
          <w:bookmarkEnd w:id="11"/>
          <w:p w14:paraId="55059D10">
            <w:pPr>
              <w:pStyle w:val="65"/>
              <w:ind w:firstLine="482"/>
              <w:rPr>
                <w:rFonts w:ascii="Times New Roman" w:hAnsi="Times New Roman" w:eastAsia="宋体"/>
                <w:b/>
                <w:bCs/>
                <w:color w:val="000000" w:themeColor="text1"/>
                <w:kern w:val="2"/>
                <w:szCs w:val="24"/>
                <w:lang w:eastAsia="zh-CN" w:bidi="ar-SA"/>
                <w14:textFill>
                  <w14:solidFill>
                    <w14:schemeClr w14:val="tx1"/>
                  </w14:solidFill>
                </w14:textFill>
              </w:rPr>
            </w:pPr>
            <w:r>
              <w:rPr>
                <w:rFonts w:ascii="Times New Roman" w:hAnsi="Times New Roman" w:eastAsia="宋体"/>
                <w:b/>
                <w:bCs/>
                <w:color w:val="000000" w:themeColor="text1"/>
                <w:kern w:val="2"/>
                <w:szCs w:val="24"/>
                <w:lang w:eastAsia="zh-CN" w:bidi="ar-SA"/>
                <w14:textFill>
                  <w14:solidFill>
                    <w14:schemeClr w14:val="tx1"/>
                  </w14:solidFill>
                </w14:textFill>
              </w:rPr>
              <w:t>二、废水</w:t>
            </w:r>
          </w:p>
          <w:p w14:paraId="53673FE2">
            <w:pPr>
              <w:spacing w:line="360" w:lineRule="auto"/>
              <w:ind w:firstLine="480" w:firstLineChars="200"/>
              <w:rPr>
                <w:rFonts w:eastAsia="宋体"/>
                <w:snapToGrid w:val="0"/>
                <w:color w:val="000000" w:themeColor="text1"/>
                <w14:textFill>
                  <w14:solidFill>
                    <w14:schemeClr w14:val="tx1"/>
                  </w14:solidFill>
                </w14:textFill>
              </w:rPr>
            </w:pPr>
            <w:r>
              <w:rPr>
                <w:rFonts w:eastAsia="宋体"/>
                <w:snapToGrid w:val="0"/>
                <w:color w:val="000000" w:themeColor="text1"/>
                <w14:textFill>
                  <w14:solidFill>
                    <w14:schemeClr w14:val="tx1"/>
                  </w14:solidFill>
                </w14:textFill>
              </w:rPr>
              <w:t>本项目降尘用水自然损耗，不外排。</w:t>
            </w:r>
            <w:r>
              <w:rPr>
                <w:rFonts w:hint="eastAsia" w:eastAsia="宋体"/>
                <w:snapToGrid w:val="0"/>
                <w:color w:val="000000" w:themeColor="text1"/>
                <w14:textFill>
                  <w14:solidFill>
                    <w14:schemeClr w14:val="tx1"/>
                  </w14:solidFill>
                </w14:textFill>
              </w:rPr>
              <w:t>车辆清洗废水依托</w:t>
            </w:r>
            <w:r>
              <w:rPr>
                <w:rFonts w:eastAsia="宋体"/>
                <w:snapToGrid w:val="0"/>
                <w:color w:val="000000" w:themeColor="text1"/>
                <w14:textFill>
                  <w14:solidFill>
                    <w14:schemeClr w14:val="tx1"/>
                  </w14:solidFill>
                </w14:textFill>
              </w:rPr>
              <w:t>现有砂石分离机预处理后再经三级沉淀池沉淀处理，最终全部回用于混凝土搅拌，不外排。本项目不提供食宿，生活污水主要为员工洗漱废水，用于厂区抑尘，粪污依托现有防渗旱厕，定期清掏用于厂区周边绿化或周边农田施肥</w:t>
            </w:r>
            <w:r>
              <w:rPr>
                <w:rFonts w:eastAsia="宋体"/>
                <w:color w:val="000000" w:themeColor="text1"/>
                <w14:textFill>
                  <w14:solidFill>
                    <w14:schemeClr w14:val="tx1"/>
                  </w14:solidFill>
                </w14:textFill>
              </w:rPr>
              <w:t>，产生的废水均得到合理处置对环境影响较小。</w:t>
            </w:r>
          </w:p>
          <w:p w14:paraId="3B0AAF79">
            <w:pPr>
              <w:spacing w:line="360" w:lineRule="auto"/>
              <w:ind w:firstLine="482" w:firstLineChars="200"/>
              <w:rPr>
                <w:rFonts w:eastAsia="宋体"/>
                <w:b/>
                <w:bCs/>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三、噪声</w:t>
            </w:r>
          </w:p>
          <w:p w14:paraId="23FA7DCA">
            <w:pPr>
              <w:pStyle w:val="17"/>
              <w:widowControl w:val="0"/>
              <w:snapToGrid/>
              <w:spacing w:before="0" w:after="0" w:line="360" w:lineRule="auto"/>
              <w:ind w:right="0" w:firstLine="482"/>
              <w:rPr>
                <w:rFonts w:eastAsia="宋体"/>
                <w:b/>
                <w:color w:val="000000" w:themeColor="text1"/>
                <w:sz w:val="24"/>
                <w14:textFill>
                  <w14:solidFill>
                    <w14:schemeClr w14:val="tx1"/>
                  </w14:solidFill>
                </w14:textFill>
              </w:rPr>
            </w:pPr>
            <w:r>
              <w:rPr>
                <w:rFonts w:eastAsia="宋体"/>
                <w:b/>
                <w:color w:val="000000" w:themeColor="text1"/>
                <w:sz w:val="24"/>
                <w14:textFill>
                  <w14:solidFill>
                    <w14:schemeClr w14:val="tx1"/>
                  </w14:solidFill>
                </w14:textFill>
              </w:rPr>
              <w:t>1、噪声源强</w:t>
            </w:r>
          </w:p>
          <w:p w14:paraId="7A4C5723">
            <w:pPr>
              <w:pStyle w:val="64"/>
              <w:spacing w:line="360" w:lineRule="auto"/>
              <w:ind w:firstLine="480" w:firstLineChars="200"/>
              <w:jc w:val="both"/>
              <w:rPr>
                <w:rFonts w:ascii="Times New Roman" w:hAnsi="Times New Roman"/>
                <w:color w:val="000000" w:themeColor="text1"/>
                <w:sz w:val="21"/>
                <w:szCs w:val="21"/>
                <w14:textFill>
                  <w14:solidFill>
                    <w14:schemeClr w14:val="tx1"/>
                  </w14:solidFill>
                </w14:textFill>
              </w:rPr>
            </w:pPr>
            <w:r>
              <w:rPr>
                <w:rFonts w:ascii="Times New Roman" w:hAnsi="Times New Roman"/>
                <w:snapToGrid w:val="0"/>
                <w:color w:val="000000" w:themeColor="text1"/>
                <w:szCs w:val="24"/>
                <w14:textFill>
                  <w14:solidFill>
                    <w14:schemeClr w14:val="tx1"/>
                  </w14:solidFill>
                </w14:textFill>
              </w:rPr>
              <w:t>本项目运营期噪声主要来自石灰石</w:t>
            </w:r>
            <w:r>
              <w:rPr>
                <w:rFonts w:hint="eastAsia" w:ascii="Times New Roman" w:hAnsi="Times New Roman"/>
                <w:snapToGrid w:val="0"/>
                <w:color w:val="000000" w:themeColor="text1"/>
                <w:szCs w:val="24"/>
                <w14:textFill>
                  <w14:solidFill>
                    <w14:schemeClr w14:val="tx1"/>
                  </w14:solidFill>
                </w14:textFill>
              </w:rPr>
              <w:t>加工</w:t>
            </w:r>
            <w:r>
              <w:rPr>
                <w:rFonts w:ascii="Times New Roman" w:hAnsi="Times New Roman"/>
                <w:snapToGrid w:val="0"/>
                <w:color w:val="000000" w:themeColor="text1"/>
                <w:szCs w:val="24"/>
                <w14:textFill>
                  <w14:solidFill>
                    <w14:schemeClr w14:val="tx1"/>
                  </w14:solidFill>
                </w14:textFill>
              </w:rPr>
              <w:t>车间、建筑垃圾破碎车间和风机等设备运转过程中产生的噪声，本项目主要噪声设备噪声源强见下表。</w:t>
            </w:r>
          </w:p>
          <w:p w14:paraId="4EBF61DD">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表4-5              本项目室外主要噪声设备噪声源强</w:t>
            </w:r>
          </w:p>
          <w:tbl>
            <w:tblPr>
              <w:tblStyle w:val="36"/>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605"/>
              <w:gridCol w:w="1697"/>
              <w:gridCol w:w="736"/>
              <w:gridCol w:w="698"/>
              <w:gridCol w:w="586"/>
              <w:gridCol w:w="1735"/>
              <w:gridCol w:w="1427"/>
              <w:gridCol w:w="1052"/>
            </w:tblGrid>
            <w:tr w14:paraId="601CD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5" w:type="pct"/>
                  <w:vMerge w:val="restart"/>
                  <w:tcBorders>
                    <w:tl2br w:val="nil"/>
                    <w:tr2bl w:val="nil"/>
                  </w:tcBorders>
                  <w:shd w:val="clear" w:color="auto" w:fill="auto"/>
                  <w:vAlign w:val="center"/>
                </w:tcPr>
                <w:p w14:paraId="1F1A478F">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序号</w:t>
                  </w:r>
                </w:p>
              </w:tc>
              <w:tc>
                <w:tcPr>
                  <w:tcW w:w="994" w:type="pct"/>
                  <w:vMerge w:val="restart"/>
                  <w:tcBorders>
                    <w:tl2br w:val="nil"/>
                    <w:tr2bl w:val="nil"/>
                  </w:tcBorders>
                  <w:shd w:val="clear" w:color="auto" w:fill="auto"/>
                  <w:vAlign w:val="center"/>
                </w:tcPr>
                <w:p w14:paraId="4E37FE7B">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声源名称</w:t>
                  </w:r>
                </w:p>
              </w:tc>
              <w:tc>
                <w:tcPr>
                  <w:tcW w:w="1183" w:type="pct"/>
                  <w:gridSpan w:val="3"/>
                  <w:tcBorders>
                    <w:tl2br w:val="nil"/>
                    <w:tr2bl w:val="nil"/>
                  </w:tcBorders>
                  <w:shd w:val="clear" w:color="auto" w:fill="auto"/>
                  <w:vAlign w:val="center"/>
                </w:tcPr>
                <w:p w14:paraId="552AA41A">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空间相对位置/m</w:t>
                  </w:r>
                </w:p>
              </w:tc>
              <w:tc>
                <w:tcPr>
                  <w:tcW w:w="1016" w:type="pct"/>
                  <w:tcBorders>
                    <w:tl2br w:val="nil"/>
                    <w:tr2bl w:val="nil"/>
                  </w:tcBorders>
                  <w:shd w:val="clear" w:color="auto" w:fill="auto"/>
                  <w:vAlign w:val="center"/>
                </w:tcPr>
                <w:p w14:paraId="5FE6571B">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声源源强</w:t>
                  </w:r>
                </w:p>
              </w:tc>
              <w:tc>
                <w:tcPr>
                  <w:tcW w:w="836" w:type="pct"/>
                  <w:vMerge w:val="restart"/>
                  <w:tcBorders>
                    <w:tl2br w:val="nil"/>
                    <w:tr2bl w:val="nil"/>
                  </w:tcBorders>
                  <w:shd w:val="clear" w:color="auto" w:fill="auto"/>
                  <w:vAlign w:val="center"/>
                </w:tcPr>
                <w:p w14:paraId="22A88299">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声源控制措施</w:t>
                  </w:r>
                </w:p>
              </w:tc>
              <w:tc>
                <w:tcPr>
                  <w:tcW w:w="616" w:type="pct"/>
                  <w:vMerge w:val="restart"/>
                  <w:tcBorders>
                    <w:tl2br w:val="nil"/>
                    <w:tr2bl w:val="nil"/>
                  </w:tcBorders>
                  <w:shd w:val="clear" w:color="auto" w:fill="auto"/>
                  <w:vAlign w:val="center"/>
                </w:tcPr>
                <w:p w14:paraId="35A6EE9D">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运行时段</w:t>
                  </w:r>
                </w:p>
              </w:tc>
            </w:tr>
            <w:tr w14:paraId="01441F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4" w:type="pct"/>
                  <w:vMerge w:val="continue"/>
                  <w:tcBorders>
                    <w:tl2br w:val="nil"/>
                    <w:tr2bl w:val="nil"/>
                  </w:tcBorders>
                  <w:shd w:val="clear" w:color="auto" w:fill="auto"/>
                  <w:vAlign w:val="center"/>
                </w:tcPr>
                <w:p w14:paraId="4E8B941D">
                  <w:pPr>
                    <w:pStyle w:val="68"/>
                    <w:spacing w:before="24" w:after="24" w:line="240" w:lineRule="auto"/>
                    <w:rPr>
                      <w:rFonts w:ascii="Times New Roman" w:eastAsia="宋体"/>
                      <w:color w:val="000000" w:themeColor="text1"/>
                      <w:sz w:val="21"/>
                      <w:szCs w:val="21"/>
                      <w14:textFill>
                        <w14:solidFill>
                          <w14:schemeClr w14:val="tx1"/>
                        </w14:solidFill>
                      </w14:textFill>
                    </w:rPr>
                  </w:pPr>
                </w:p>
              </w:tc>
              <w:tc>
                <w:tcPr>
                  <w:tcW w:w="994" w:type="pct"/>
                  <w:vMerge w:val="continue"/>
                  <w:tcBorders>
                    <w:tl2br w:val="nil"/>
                    <w:tr2bl w:val="nil"/>
                  </w:tcBorders>
                  <w:shd w:val="clear" w:color="auto" w:fill="auto"/>
                  <w:vAlign w:val="center"/>
                </w:tcPr>
                <w:p w14:paraId="5BBDFFD0">
                  <w:pPr>
                    <w:pStyle w:val="68"/>
                    <w:spacing w:before="24" w:after="24" w:line="240" w:lineRule="auto"/>
                    <w:rPr>
                      <w:rFonts w:ascii="Times New Roman" w:eastAsia="宋体"/>
                      <w:color w:val="000000" w:themeColor="text1"/>
                      <w:sz w:val="21"/>
                      <w:szCs w:val="21"/>
                      <w14:textFill>
                        <w14:solidFill>
                          <w14:schemeClr w14:val="tx1"/>
                        </w14:solidFill>
                      </w14:textFill>
                    </w:rPr>
                  </w:pPr>
                </w:p>
              </w:tc>
              <w:tc>
                <w:tcPr>
                  <w:tcW w:w="431" w:type="pct"/>
                  <w:tcBorders>
                    <w:tl2br w:val="nil"/>
                    <w:tr2bl w:val="nil"/>
                  </w:tcBorders>
                  <w:shd w:val="clear" w:color="auto" w:fill="auto"/>
                  <w:vAlign w:val="center"/>
                </w:tcPr>
                <w:p w14:paraId="230BC241">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X</w:t>
                  </w:r>
                </w:p>
              </w:tc>
              <w:tc>
                <w:tcPr>
                  <w:tcW w:w="409" w:type="pct"/>
                  <w:tcBorders>
                    <w:tl2br w:val="nil"/>
                    <w:tr2bl w:val="nil"/>
                  </w:tcBorders>
                  <w:shd w:val="clear" w:color="auto" w:fill="auto"/>
                  <w:vAlign w:val="center"/>
                </w:tcPr>
                <w:p w14:paraId="1527FC7A">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Y</w:t>
                  </w:r>
                </w:p>
              </w:tc>
              <w:tc>
                <w:tcPr>
                  <w:tcW w:w="342" w:type="pct"/>
                  <w:tcBorders>
                    <w:tl2br w:val="nil"/>
                    <w:tr2bl w:val="nil"/>
                  </w:tcBorders>
                  <w:shd w:val="clear" w:color="auto" w:fill="auto"/>
                  <w:vAlign w:val="center"/>
                </w:tcPr>
                <w:p w14:paraId="3A0D8506">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Z</w:t>
                  </w:r>
                </w:p>
              </w:tc>
              <w:tc>
                <w:tcPr>
                  <w:tcW w:w="1016" w:type="pct"/>
                  <w:tcBorders>
                    <w:tl2br w:val="nil"/>
                    <w:tr2bl w:val="nil"/>
                  </w:tcBorders>
                  <w:shd w:val="clear" w:color="auto" w:fill="auto"/>
                  <w:vAlign w:val="center"/>
                </w:tcPr>
                <w:p w14:paraId="33B51391">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声功率级/dB(A)</w:t>
                  </w:r>
                </w:p>
              </w:tc>
              <w:tc>
                <w:tcPr>
                  <w:tcW w:w="836" w:type="pct"/>
                  <w:vMerge w:val="continue"/>
                  <w:tcBorders>
                    <w:tl2br w:val="nil"/>
                    <w:tr2bl w:val="nil"/>
                  </w:tcBorders>
                  <w:shd w:val="clear" w:color="auto" w:fill="auto"/>
                  <w:vAlign w:val="center"/>
                </w:tcPr>
                <w:p w14:paraId="44BC7A17">
                  <w:pPr>
                    <w:pStyle w:val="68"/>
                    <w:spacing w:before="24" w:after="24" w:line="240" w:lineRule="auto"/>
                    <w:rPr>
                      <w:rFonts w:ascii="Times New Roman" w:eastAsia="宋体"/>
                      <w:color w:val="000000" w:themeColor="text1"/>
                      <w:sz w:val="21"/>
                      <w:szCs w:val="21"/>
                      <w14:textFill>
                        <w14:solidFill>
                          <w14:schemeClr w14:val="tx1"/>
                        </w14:solidFill>
                      </w14:textFill>
                    </w:rPr>
                  </w:pPr>
                </w:p>
              </w:tc>
              <w:tc>
                <w:tcPr>
                  <w:tcW w:w="616" w:type="pct"/>
                  <w:vMerge w:val="continue"/>
                  <w:tcBorders>
                    <w:tl2br w:val="nil"/>
                    <w:tr2bl w:val="nil"/>
                  </w:tcBorders>
                  <w:shd w:val="clear" w:color="auto" w:fill="auto"/>
                  <w:vAlign w:val="center"/>
                </w:tcPr>
                <w:p w14:paraId="0DA4AB16">
                  <w:pPr>
                    <w:pStyle w:val="68"/>
                    <w:spacing w:before="24" w:after="24" w:line="240" w:lineRule="auto"/>
                    <w:rPr>
                      <w:rFonts w:ascii="Times New Roman" w:eastAsia="宋体"/>
                      <w:color w:val="000000" w:themeColor="text1"/>
                      <w:sz w:val="21"/>
                      <w:szCs w:val="21"/>
                      <w14:textFill>
                        <w14:solidFill>
                          <w14:schemeClr w14:val="tx1"/>
                        </w14:solidFill>
                      </w14:textFill>
                    </w:rPr>
                  </w:pPr>
                </w:p>
              </w:tc>
            </w:tr>
            <w:tr w14:paraId="3950A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4" w:type="pct"/>
                  <w:tcBorders>
                    <w:tl2br w:val="nil"/>
                    <w:tr2bl w:val="nil"/>
                  </w:tcBorders>
                  <w:shd w:val="clear" w:color="auto" w:fill="auto"/>
                  <w:vAlign w:val="center"/>
                </w:tcPr>
                <w:p w14:paraId="2D7CD154">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1</w:t>
                  </w:r>
                </w:p>
              </w:tc>
              <w:tc>
                <w:tcPr>
                  <w:tcW w:w="994" w:type="pct"/>
                  <w:tcBorders>
                    <w:tl2br w:val="nil"/>
                    <w:tr2bl w:val="nil"/>
                  </w:tcBorders>
                  <w:shd w:val="clear" w:color="auto" w:fill="auto"/>
                  <w:vAlign w:val="center"/>
                </w:tcPr>
                <w:p w14:paraId="28774575">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废气处理风机1</w:t>
                  </w:r>
                </w:p>
              </w:tc>
              <w:tc>
                <w:tcPr>
                  <w:tcW w:w="431" w:type="pct"/>
                  <w:tcBorders>
                    <w:tl2br w:val="nil"/>
                    <w:tr2bl w:val="nil"/>
                  </w:tcBorders>
                  <w:shd w:val="clear" w:color="auto" w:fill="auto"/>
                  <w:vAlign w:val="center"/>
                </w:tcPr>
                <w:p w14:paraId="02B0527E">
                  <w:pPr>
                    <w:pStyle w:val="167"/>
                    <w:ind w:firstLine="0" w:firstLineChars="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70</w:t>
                  </w:r>
                </w:p>
              </w:tc>
              <w:tc>
                <w:tcPr>
                  <w:tcW w:w="409" w:type="pct"/>
                  <w:tcBorders>
                    <w:tl2br w:val="nil"/>
                    <w:tr2bl w:val="nil"/>
                  </w:tcBorders>
                  <w:shd w:val="clear" w:color="auto" w:fill="auto"/>
                  <w:vAlign w:val="center"/>
                </w:tcPr>
                <w:p w14:paraId="4159515A">
                  <w:pPr>
                    <w:pStyle w:val="167"/>
                    <w:ind w:firstLine="0" w:firstLineChars="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210</w:t>
                  </w:r>
                </w:p>
              </w:tc>
              <w:tc>
                <w:tcPr>
                  <w:tcW w:w="342" w:type="pct"/>
                  <w:tcBorders>
                    <w:tl2br w:val="nil"/>
                    <w:tr2bl w:val="nil"/>
                  </w:tcBorders>
                  <w:shd w:val="clear" w:color="auto" w:fill="auto"/>
                  <w:vAlign w:val="center"/>
                </w:tcPr>
                <w:p w14:paraId="1A92B3EB">
                  <w:pPr>
                    <w:pStyle w:val="167"/>
                    <w:ind w:firstLine="0" w:firstLineChars="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1.2</w:t>
                  </w:r>
                </w:p>
              </w:tc>
              <w:tc>
                <w:tcPr>
                  <w:tcW w:w="1016" w:type="pct"/>
                  <w:tcBorders>
                    <w:tl2br w:val="nil"/>
                    <w:tr2bl w:val="nil"/>
                  </w:tcBorders>
                  <w:shd w:val="clear" w:color="auto" w:fill="auto"/>
                  <w:vAlign w:val="center"/>
                </w:tcPr>
                <w:p w14:paraId="090CF260">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85</w:t>
                  </w:r>
                </w:p>
              </w:tc>
              <w:tc>
                <w:tcPr>
                  <w:tcW w:w="836" w:type="pct"/>
                  <w:tcBorders>
                    <w:tl2br w:val="nil"/>
                    <w:tr2bl w:val="nil"/>
                  </w:tcBorders>
                  <w:shd w:val="clear" w:color="auto" w:fill="auto"/>
                  <w:vAlign w:val="center"/>
                </w:tcPr>
                <w:p w14:paraId="50BB0299">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隔声、消声器</w:t>
                  </w:r>
                </w:p>
              </w:tc>
              <w:tc>
                <w:tcPr>
                  <w:tcW w:w="616" w:type="pct"/>
                  <w:tcBorders>
                    <w:tl2br w:val="nil"/>
                    <w:tr2bl w:val="nil"/>
                  </w:tcBorders>
                  <w:shd w:val="clear" w:color="auto" w:fill="auto"/>
                  <w:vAlign w:val="center"/>
                </w:tcPr>
                <w:p w14:paraId="315F8A7D">
                  <w:pPr>
                    <w:widowControl/>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r>
            <w:tr w14:paraId="4C922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354" w:type="pct"/>
                  <w:tcBorders>
                    <w:tl2br w:val="nil"/>
                    <w:tr2bl w:val="nil"/>
                  </w:tcBorders>
                  <w:shd w:val="clear" w:color="auto" w:fill="auto"/>
                  <w:vAlign w:val="center"/>
                </w:tcPr>
                <w:p w14:paraId="6739F370">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2</w:t>
                  </w:r>
                </w:p>
              </w:tc>
              <w:tc>
                <w:tcPr>
                  <w:tcW w:w="994" w:type="pct"/>
                  <w:tcBorders>
                    <w:tl2br w:val="nil"/>
                    <w:tr2bl w:val="nil"/>
                  </w:tcBorders>
                  <w:shd w:val="clear" w:color="auto" w:fill="auto"/>
                  <w:vAlign w:val="center"/>
                </w:tcPr>
                <w:p w14:paraId="353D0B3F">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废气处理风机2</w:t>
                  </w:r>
                </w:p>
              </w:tc>
              <w:tc>
                <w:tcPr>
                  <w:tcW w:w="431" w:type="pct"/>
                  <w:tcBorders>
                    <w:tl2br w:val="nil"/>
                    <w:tr2bl w:val="nil"/>
                  </w:tcBorders>
                  <w:shd w:val="clear" w:color="auto" w:fill="auto"/>
                  <w:vAlign w:val="center"/>
                </w:tcPr>
                <w:p w14:paraId="01E53786">
                  <w:pPr>
                    <w:pStyle w:val="167"/>
                    <w:ind w:firstLine="0" w:firstLineChars="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140</w:t>
                  </w:r>
                </w:p>
              </w:tc>
              <w:tc>
                <w:tcPr>
                  <w:tcW w:w="409" w:type="pct"/>
                  <w:tcBorders>
                    <w:tl2br w:val="nil"/>
                    <w:tr2bl w:val="nil"/>
                  </w:tcBorders>
                  <w:shd w:val="clear" w:color="auto" w:fill="auto"/>
                  <w:vAlign w:val="center"/>
                </w:tcPr>
                <w:p w14:paraId="518FB5AB">
                  <w:pPr>
                    <w:pStyle w:val="167"/>
                    <w:ind w:firstLine="0" w:firstLineChars="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170</w:t>
                  </w:r>
                </w:p>
              </w:tc>
              <w:tc>
                <w:tcPr>
                  <w:tcW w:w="342" w:type="pct"/>
                  <w:tcBorders>
                    <w:tl2br w:val="nil"/>
                    <w:tr2bl w:val="nil"/>
                  </w:tcBorders>
                  <w:shd w:val="clear" w:color="auto" w:fill="auto"/>
                  <w:vAlign w:val="center"/>
                </w:tcPr>
                <w:p w14:paraId="11393E7D">
                  <w:pPr>
                    <w:pStyle w:val="167"/>
                    <w:ind w:firstLine="0" w:firstLineChars="0"/>
                    <w:rPr>
                      <w:rFonts w:ascii="Times New Roman" w:hAnsi="Times New Roman" w:eastAsia="宋体" w:cs="Times New Roman"/>
                      <w:color w:val="000000" w:themeColor="text1"/>
                      <w:sz w:val="21"/>
                      <w14:textFill>
                        <w14:solidFill>
                          <w14:schemeClr w14:val="tx1"/>
                        </w14:solidFill>
                      </w14:textFill>
                    </w:rPr>
                  </w:pPr>
                  <w:r>
                    <w:rPr>
                      <w:rFonts w:ascii="Times New Roman" w:hAnsi="Times New Roman" w:eastAsia="宋体" w:cs="Times New Roman"/>
                      <w:color w:val="000000" w:themeColor="text1"/>
                      <w:sz w:val="21"/>
                      <w14:textFill>
                        <w14:solidFill>
                          <w14:schemeClr w14:val="tx1"/>
                        </w14:solidFill>
                      </w14:textFill>
                    </w:rPr>
                    <w:t>1.2</w:t>
                  </w:r>
                </w:p>
              </w:tc>
              <w:tc>
                <w:tcPr>
                  <w:tcW w:w="1016" w:type="pct"/>
                  <w:tcBorders>
                    <w:tl2br w:val="nil"/>
                    <w:tr2bl w:val="nil"/>
                  </w:tcBorders>
                  <w:shd w:val="clear" w:color="auto" w:fill="auto"/>
                  <w:vAlign w:val="center"/>
                </w:tcPr>
                <w:p w14:paraId="5C1EF1F6">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85</w:t>
                  </w:r>
                </w:p>
              </w:tc>
              <w:tc>
                <w:tcPr>
                  <w:tcW w:w="836" w:type="pct"/>
                  <w:tcBorders>
                    <w:tl2br w:val="nil"/>
                    <w:tr2bl w:val="nil"/>
                  </w:tcBorders>
                  <w:shd w:val="clear" w:color="auto" w:fill="auto"/>
                  <w:vAlign w:val="center"/>
                </w:tcPr>
                <w:p w14:paraId="2A355F2F">
                  <w:pPr>
                    <w:pStyle w:val="68"/>
                    <w:spacing w:before="24" w:after="24"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隔声、消声器</w:t>
                  </w:r>
                </w:p>
              </w:tc>
              <w:tc>
                <w:tcPr>
                  <w:tcW w:w="616" w:type="pct"/>
                  <w:tcBorders>
                    <w:tl2br w:val="nil"/>
                    <w:tr2bl w:val="nil"/>
                  </w:tcBorders>
                  <w:shd w:val="clear" w:color="auto" w:fill="auto"/>
                  <w:vAlign w:val="center"/>
                </w:tcPr>
                <w:p w14:paraId="5C91485E">
                  <w:pPr>
                    <w:widowControl/>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昼夜</w:t>
                  </w:r>
                </w:p>
              </w:tc>
            </w:tr>
            <w:tr w14:paraId="65078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 w:type="pct"/>
                  <w:gridSpan w:val="8"/>
                  <w:tcBorders>
                    <w:tl2br w:val="nil"/>
                    <w:tr2bl w:val="nil"/>
                  </w:tcBorders>
                  <w:shd w:val="clear" w:color="auto" w:fill="auto"/>
                  <w:vAlign w:val="center"/>
                </w:tcPr>
                <w:p w14:paraId="79C3BBC6">
                  <w:pPr>
                    <w:widowControl/>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注：原点坐标为厂界西南角拐点</w:t>
                  </w:r>
                </w:p>
              </w:tc>
            </w:tr>
          </w:tbl>
          <w:p w14:paraId="1D80C1A2">
            <w:pPr>
              <w:ind w:firstLine="480" w:firstLineChars="200"/>
              <w:rPr>
                <w:rFonts w:eastAsia="宋体"/>
                <w:color w:val="000000" w:themeColor="text1"/>
                <w14:textFill>
                  <w14:solidFill>
                    <w14:schemeClr w14:val="tx1"/>
                  </w14:solidFill>
                </w14:textFill>
              </w:rPr>
            </w:pPr>
          </w:p>
          <w:p w14:paraId="6F912DCE">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表4-6   工业企业噪声源强调查清单（室内声源）（石灰石生产厂房）</w:t>
            </w:r>
          </w:p>
          <w:tbl>
            <w:tblPr>
              <w:tblStyle w:val="36"/>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29"/>
              <w:gridCol w:w="331"/>
              <w:gridCol w:w="712"/>
              <w:gridCol w:w="770"/>
              <w:gridCol w:w="877"/>
              <w:gridCol w:w="515"/>
              <w:gridCol w:w="437"/>
              <w:gridCol w:w="416"/>
              <w:gridCol w:w="633"/>
              <w:gridCol w:w="722"/>
              <w:gridCol w:w="611"/>
              <w:gridCol w:w="771"/>
              <w:gridCol w:w="698"/>
              <w:gridCol w:w="711"/>
            </w:tblGrid>
            <w:tr w14:paraId="0F469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vMerge w:val="restart"/>
                  <w:tcBorders>
                    <w:tl2br w:val="nil"/>
                    <w:tr2bl w:val="nil"/>
                  </w:tcBorders>
                  <w:vAlign w:val="center"/>
                </w:tcPr>
                <w:p w14:paraId="2F971C64">
                  <w:pPr>
                    <w:jc w:val="center"/>
                    <w:rPr>
                      <w:rFonts w:eastAsia="宋体"/>
                      <w:color w:val="000000" w:themeColor="text1"/>
                      <w:sz w:val="21"/>
                      <w:szCs w:val="21"/>
                      <w14:textFill>
                        <w14:solidFill>
                          <w14:schemeClr w14:val="tx1"/>
                        </w14:solidFill>
                      </w14:textFill>
                    </w:rPr>
                  </w:pPr>
                  <w:bookmarkStart w:id="12" w:name="PT_6"/>
                  <w:r>
                    <w:rPr>
                      <w:rFonts w:eastAsia="宋体"/>
                      <w:color w:val="000000" w:themeColor="text1"/>
                      <w:sz w:val="21"/>
                      <w:szCs w:val="21"/>
                      <w14:textFill>
                        <w14:solidFill>
                          <w14:schemeClr w14:val="tx1"/>
                        </w14:solidFill>
                      </w14:textFill>
                    </w:rPr>
                    <w:t>序号</w:t>
                  </w:r>
                </w:p>
              </w:tc>
              <w:tc>
                <w:tcPr>
                  <w:tcW w:w="194" w:type="pct"/>
                  <w:vMerge w:val="restart"/>
                  <w:tcBorders>
                    <w:tl2br w:val="nil"/>
                    <w:tr2bl w:val="nil"/>
                  </w:tcBorders>
                  <w:vAlign w:val="center"/>
                </w:tcPr>
                <w:p w14:paraId="5328F92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建筑物名称</w:t>
                  </w:r>
                </w:p>
              </w:tc>
              <w:tc>
                <w:tcPr>
                  <w:tcW w:w="417" w:type="pct"/>
                  <w:vMerge w:val="restart"/>
                  <w:tcBorders>
                    <w:tl2br w:val="nil"/>
                    <w:tr2bl w:val="nil"/>
                  </w:tcBorders>
                  <w:vAlign w:val="center"/>
                </w:tcPr>
                <w:p w14:paraId="65EC0CC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声源名称</w:t>
                  </w:r>
                </w:p>
              </w:tc>
              <w:tc>
                <w:tcPr>
                  <w:tcW w:w="451" w:type="pct"/>
                  <w:tcBorders>
                    <w:tl2br w:val="nil"/>
                    <w:tr2bl w:val="nil"/>
                  </w:tcBorders>
                  <w:vAlign w:val="center"/>
                </w:tcPr>
                <w:p w14:paraId="2BB45CC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声源源强</w:t>
                  </w:r>
                </w:p>
              </w:tc>
              <w:tc>
                <w:tcPr>
                  <w:tcW w:w="514" w:type="pct"/>
                  <w:vMerge w:val="restart"/>
                  <w:tcBorders>
                    <w:tl2br w:val="nil"/>
                    <w:tr2bl w:val="nil"/>
                  </w:tcBorders>
                  <w:vAlign w:val="center"/>
                </w:tcPr>
                <w:p w14:paraId="4157461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声源控制措施厂房隔声</w:t>
                  </w:r>
                </w:p>
              </w:tc>
              <w:tc>
                <w:tcPr>
                  <w:tcW w:w="802" w:type="pct"/>
                  <w:gridSpan w:val="3"/>
                  <w:tcBorders>
                    <w:tl2br w:val="nil"/>
                    <w:tr2bl w:val="nil"/>
                  </w:tcBorders>
                  <w:vAlign w:val="center"/>
                </w:tcPr>
                <w:p w14:paraId="4C296C8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空间相对位置/m</w:t>
                  </w:r>
                </w:p>
              </w:tc>
              <w:tc>
                <w:tcPr>
                  <w:tcW w:w="371" w:type="pct"/>
                  <w:vMerge w:val="restart"/>
                  <w:tcBorders>
                    <w:tl2br w:val="nil"/>
                    <w:tr2bl w:val="nil"/>
                  </w:tcBorders>
                  <w:vAlign w:val="center"/>
                </w:tcPr>
                <w:p w14:paraId="6C352E0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距室内边界距离/m</w:t>
                  </w:r>
                </w:p>
              </w:tc>
              <w:tc>
                <w:tcPr>
                  <w:tcW w:w="423" w:type="pct"/>
                  <w:vMerge w:val="restart"/>
                  <w:tcBorders>
                    <w:tl2br w:val="nil"/>
                    <w:tr2bl w:val="nil"/>
                  </w:tcBorders>
                  <w:vAlign w:val="center"/>
                </w:tcPr>
                <w:p w14:paraId="4F341BE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室内边界声级/dB(A)</w:t>
                  </w:r>
                </w:p>
              </w:tc>
              <w:tc>
                <w:tcPr>
                  <w:tcW w:w="358" w:type="pct"/>
                  <w:vMerge w:val="restart"/>
                  <w:tcBorders>
                    <w:tl2br w:val="nil"/>
                    <w:tr2bl w:val="nil"/>
                  </w:tcBorders>
                  <w:vAlign w:val="center"/>
                </w:tcPr>
                <w:p w14:paraId="1D1F913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运行时段</w:t>
                  </w:r>
                </w:p>
              </w:tc>
              <w:tc>
                <w:tcPr>
                  <w:tcW w:w="452" w:type="pct"/>
                  <w:vMerge w:val="restart"/>
                  <w:tcBorders>
                    <w:tl2br w:val="nil"/>
                    <w:tr2bl w:val="nil"/>
                  </w:tcBorders>
                  <w:vAlign w:val="center"/>
                </w:tcPr>
                <w:p w14:paraId="5F13919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建筑物插入损失/dB(A)</w:t>
                  </w:r>
                  <w:bookmarkStart w:id="13" w:name="PT_10"/>
                  <w:bookmarkEnd w:id="13"/>
                </w:p>
              </w:tc>
              <w:tc>
                <w:tcPr>
                  <w:tcW w:w="825" w:type="pct"/>
                  <w:gridSpan w:val="2"/>
                  <w:tcBorders>
                    <w:tl2br w:val="nil"/>
                    <w:tr2bl w:val="nil"/>
                  </w:tcBorders>
                  <w:vAlign w:val="center"/>
                </w:tcPr>
                <w:p w14:paraId="0CC57C8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建筑物外噪声声压级</w:t>
                  </w:r>
                </w:p>
              </w:tc>
            </w:tr>
            <w:tr w14:paraId="4AB06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vMerge w:val="continue"/>
                  <w:tcBorders>
                    <w:tl2br w:val="nil"/>
                    <w:tr2bl w:val="nil"/>
                  </w:tcBorders>
                  <w:vAlign w:val="center"/>
                </w:tcPr>
                <w:p w14:paraId="22195DDD">
                  <w:pPr>
                    <w:jc w:val="center"/>
                    <w:rPr>
                      <w:rFonts w:eastAsia="宋体"/>
                      <w:color w:val="000000" w:themeColor="text1"/>
                      <w:sz w:val="21"/>
                      <w:szCs w:val="21"/>
                      <w14:textFill>
                        <w14:solidFill>
                          <w14:schemeClr w14:val="tx1"/>
                        </w14:solidFill>
                      </w14:textFill>
                    </w:rPr>
                  </w:pPr>
                </w:p>
              </w:tc>
              <w:tc>
                <w:tcPr>
                  <w:tcW w:w="194" w:type="pct"/>
                  <w:vMerge w:val="continue"/>
                  <w:tcBorders>
                    <w:tl2br w:val="nil"/>
                    <w:tr2bl w:val="nil"/>
                  </w:tcBorders>
                  <w:vAlign w:val="center"/>
                </w:tcPr>
                <w:p w14:paraId="4232B79C">
                  <w:pPr>
                    <w:jc w:val="center"/>
                    <w:rPr>
                      <w:rFonts w:eastAsia="宋体"/>
                      <w:color w:val="000000" w:themeColor="text1"/>
                      <w:sz w:val="21"/>
                      <w:szCs w:val="21"/>
                      <w14:textFill>
                        <w14:solidFill>
                          <w14:schemeClr w14:val="tx1"/>
                        </w14:solidFill>
                      </w14:textFill>
                    </w:rPr>
                  </w:pPr>
                </w:p>
              </w:tc>
              <w:tc>
                <w:tcPr>
                  <w:tcW w:w="417" w:type="pct"/>
                  <w:vMerge w:val="continue"/>
                  <w:tcBorders>
                    <w:tl2br w:val="nil"/>
                    <w:tr2bl w:val="nil"/>
                  </w:tcBorders>
                  <w:vAlign w:val="center"/>
                </w:tcPr>
                <w:p w14:paraId="2EBAAAB9">
                  <w:pPr>
                    <w:jc w:val="center"/>
                    <w:rPr>
                      <w:rFonts w:eastAsia="宋体"/>
                      <w:color w:val="000000" w:themeColor="text1"/>
                      <w:sz w:val="21"/>
                      <w:szCs w:val="21"/>
                      <w14:textFill>
                        <w14:solidFill>
                          <w14:schemeClr w14:val="tx1"/>
                        </w14:solidFill>
                      </w14:textFill>
                    </w:rPr>
                  </w:pPr>
                </w:p>
              </w:tc>
              <w:tc>
                <w:tcPr>
                  <w:tcW w:w="451" w:type="pct"/>
                  <w:tcBorders>
                    <w:tl2br w:val="nil"/>
                    <w:tr2bl w:val="nil"/>
                  </w:tcBorders>
                  <w:vAlign w:val="center"/>
                </w:tcPr>
                <w:p w14:paraId="4A3446E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声功率级/dB(A)</w:t>
                  </w:r>
                </w:p>
              </w:tc>
              <w:tc>
                <w:tcPr>
                  <w:tcW w:w="514" w:type="pct"/>
                  <w:vMerge w:val="continue"/>
                  <w:tcBorders>
                    <w:tl2br w:val="nil"/>
                    <w:tr2bl w:val="nil"/>
                  </w:tcBorders>
                  <w:vAlign w:val="center"/>
                </w:tcPr>
                <w:p w14:paraId="52903779">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01AD01F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X</w:t>
                  </w:r>
                </w:p>
              </w:tc>
              <w:tc>
                <w:tcPr>
                  <w:tcW w:w="256" w:type="pct"/>
                  <w:tcBorders>
                    <w:tl2br w:val="nil"/>
                    <w:tr2bl w:val="nil"/>
                  </w:tcBorders>
                  <w:vAlign w:val="center"/>
                </w:tcPr>
                <w:p w14:paraId="65310E8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Y</w:t>
                  </w:r>
                </w:p>
              </w:tc>
              <w:tc>
                <w:tcPr>
                  <w:tcW w:w="244" w:type="pct"/>
                  <w:tcBorders>
                    <w:tl2br w:val="nil"/>
                    <w:tr2bl w:val="nil"/>
                  </w:tcBorders>
                  <w:vAlign w:val="center"/>
                </w:tcPr>
                <w:p w14:paraId="260690C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Z</w:t>
                  </w:r>
                </w:p>
              </w:tc>
              <w:tc>
                <w:tcPr>
                  <w:tcW w:w="371" w:type="pct"/>
                  <w:vMerge w:val="continue"/>
                  <w:tcBorders>
                    <w:tl2br w:val="nil"/>
                    <w:tr2bl w:val="nil"/>
                  </w:tcBorders>
                  <w:vAlign w:val="center"/>
                </w:tcPr>
                <w:p w14:paraId="64EC32CC">
                  <w:pPr>
                    <w:jc w:val="center"/>
                    <w:rPr>
                      <w:rFonts w:eastAsia="宋体"/>
                      <w:color w:val="000000" w:themeColor="text1"/>
                      <w:sz w:val="21"/>
                      <w:szCs w:val="21"/>
                      <w14:textFill>
                        <w14:solidFill>
                          <w14:schemeClr w14:val="tx1"/>
                        </w14:solidFill>
                      </w14:textFill>
                    </w:rPr>
                  </w:pPr>
                </w:p>
              </w:tc>
              <w:tc>
                <w:tcPr>
                  <w:tcW w:w="423" w:type="pct"/>
                  <w:vMerge w:val="continue"/>
                  <w:tcBorders>
                    <w:tl2br w:val="nil"/>
                    <w:tr2bl w:val="nil"/>
                  </w:tcBorders>
                  <w:vAlign w:val="center"/>
                </w:tcPr>
                <w:p w14:paraId="5465B185">
                  <w:pPr>
                    <w:jc w:val="center"/>
                    <w:rPr>
                      <w:rFonts w:eastAsia="宋体"/>
                      <w:color w:val="000000" w:themeColor="text1"/>
                      <w:sz w:val="21"/>
                      <w:szCs w:val="21"/>
                      <w14:textFill>
                        <w14:solidFill>
                          <w14:schemeClr w14:val="tx1"/>
                        </w14:solidFill>
                      </w14:textFill>
                    </w:rPr>
                  </w:pPr>
                </w:p>
              </w:tc>
              <w:tc>
                <w:tcPr>
                  <w:tcW w:w="358" w:type="pct"/>
                  <w:vMerge w:val="continue"/>
                  <w:tcBorders>
                    <w:tl2br w:val="nil"/>
                    <w:tr2bl w:val="nil"/>
                  </w:tcBorders>
                  <w:vAlign w:val="center"/>
                </w:tcPr>
                <w:p w14:paraId="5C582D5B">
                  <w:pPr>
                    <w:jc w:val="center"/>
                    <w:rPr>
                      <w:rFonts w:eastAsia="宋体"/>
                      <w:color w:val="000000" w:themeColor="text1"/>
                      <w:sz w:val="21"/>
                      <w:szCs w:val="21"/>
                      <w14:textFill>
                        <w14:solidFill>
                          <w14:schemeClr w14:val="tx1"/>
                        </w14:solidFill>
                      </w14:textFill>
                    </w:rPr>
                  </w:pPr>
                </w:p>
              </w:tc>
              <w:tc>
                <w:tcPr>
                  <w:tcW w:w="452" w:type="pct"/>
                  <w:vMerge w:val="continue"/>
                  <w:tcBorders>
                    <w:tl2br w:val="nil"/>
                    <w:tr2bl w:val="nil"/>
                  </w:tcBorders>
                  <w:vAlign w:val="center"/>
                </w:tcPr>
                <w:p w14:paraId="3DD0E76E">
                  <w:pPr>
                    <w:jc w:val="center"/>
                    <w:rPr>
                      <w:rFonts w:eastAsia="宋体"/>
                      <w:color w:val="000000" w:themeColor="text1"/>
                      <w:sz w:val="21"/>
                      <w:szCs w:val="21"/>
                      <w14:textFill>
                        <w14:solidFill>
                          <w14:schemeClr w14:val="tx1"/>
                        </w14:solidFill>
                      </w14:textFill>
                    </w:rPr>
                  </w:pPr>
                </w:p>
              </w:tc>
              <w:tc>
                <w:tcPr>
                  <w:tcW w:w="409" w:type="pct"/>
                  <w:tcBorders>
                    <w:tl2br w:val="nil"/>
                    <w:tr2bl w:val="nil"/>
                  </w:tcBorders>
                  <w:vAlign w:val="center"/>
                </w:tcPr>
                <w:p w14:paraId="124B4BF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声压级/dB（A）</w:t>
                  </w:r>
                </w:p>
              </w:tc>
              <w:tc>
                <w:tcPr>
                  <w:tcW w:w="416" w:type="pct"/>
                  <w:tcBorders>
                    <w:tl2br w:val="nil"/>
                    <w:tr2bl w:val="nil"/>
                  </w:tcBorders>
                  <w:vAlign w:val="center"/>
                </w:tcPr>
                <w:p w14:paraId="6DAE16D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建筑物外距离（m）</w:t>
                  </w:r>
                </w:p>
              </w:tc>
            </w:tr>
            <w:tr w14:paraId="570E5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6CA755F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194" w:type="pct"/>
                  <w:vMerge w:val="restart"/>
                  <w:tcBorders>
                    <w:tl2br w:val="nil"/>
                    <w:tr2bl w:val="nil"/>
                  </w:tcBorders>
                  <w:vAlign w:val="center"/>
                </w:tcPr>
                <w:p w14:paraId="6A99CAC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石灰石加工车间</w:t>
                  </w:r>
                </w:p>
              </w:tc>
              <w:tc>
                <w:tcPr>
                  <w:tcW w:w="417" w:type="pct"/>
                  <w:tcBorders>
                    <w:tl2br w:val="nil"/>
                    <w:tr2bl w:val="nil"/>
                  </w:tcBorders>
                  <w:vAlign w:val="center"/>
                </w:tcPr>
                <w:p w14:paraId="290543C8">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欧版磨粉机1</w:t>
                  </w:r>
                </w:p>
              </w:tc>
              <w:tc>
                <w:tcPr>
                  <w:tcW w:w="451" w:type="pct"/>
                  <w:tcBorders>
                    <w:tl2br w:val="nil"/>
                    <w:tr2bl w:val="nil"/>
                  </w:tcBorders>
                  <w:vAlign w:val="center"/>
                </w:tcPr>
                <w:p w14:paraId="4A06236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85</w:t>
                  </w:r>
                </w:p>
              </w:tc>
              <w:tc>
                <w:tcPr>
                  <w:tcW w:w="514" w:type="pct"/>
                  <w:vMerge w:val="restart"/>
                  <w:tcBorders>
                    <w:tl2br w:val="nil"/>
                    <w:tr2bl w:val="nil"/>
                  </w:tcBorders>
                  <w:vAlign w:val="center"/>
                </w:tcPr>
                <w:p w14:paraId="6889E94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选用低噪声设备，采取隔声、减振等措施</w:t>
                  </w:r>
                </w:p>
              </w:tc>
              <w:tc>
                <w:tcPr>
                  <w:tcW w:w="302" w:type="pct"/>
                  <w:tcBorders>
                    <w:tl2br w:val="nil"/>
                    <w:tr2bl w:val="nil"/>
                  </w:tcBorders>
                  <w:vAlign w:val="center"/>
                </w:tcPr>
                <w:p w14:paraId="0DC7637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140</w:t>
                  </w:r>
                </w:p>
              </w:tc>
              <w:tc>
                <w:tcPr>
                  <w:tcW w:w="256" w:type="pct"/>
                  <w:tcBorders>
                    <w:tl2br w:val="nil"/>
                    <w:tr2bl w:val="nil"/>
                  </w:tcBorders>
                  <w:vAlign w:val="center"/>
                </w:tcPr>
                <w:p w14:paraId="353EE2A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165</w:t>
                  </w:r>
                </w:p>
              </w:tc>
              <w:tc>
                <w:tcPr>
                  <w:tcW w:w="244" w:type="pct"/>
                  <w:tcBorders>
                    <w:tl2br w:val="nil"/>
                    <w:tr2bl w:val="nil"/>
                  </w:tcBorders>
                  <w:vAlign w:val="center"/>
                </w:tcPr>
                <w:p w14:paraId="488A237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1.2</w:t>
                  </w:r>
                </w:p>
              </w:tc>
              <w:tc>
                <w:tcPr>
                  <w:tcW w:w="371" w:type="pct"/>
                  <w:tcBorders>
                    <w:tl2br w:val="nil"/>
                    <w:tr2bl w:val="nil"/>
                  </w:tcBorders>
                  <w:vAlign w:val="center"/>
                </w:tcPr>
                <w:p w14:paraId="7680782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423" w:type="pct"/>
                  <w:tcBorders>
                    <w:tl2br w:val="nil"/>
                    <w:tr2bl w:val="nil"/>
                  </w:tcBorders>
                  <w:vAlign w:val="center"/>
                </w:tcPr>
                <w:p w14:paraId="398E792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71</w:t>
                  </w:r>
                </w:p>
              </w:tc>
              <w:tc>
                <w:tcPr>
                  <w:tcW w:w="358" w:type="pct"/>
                  <w:tcBorders>
                    <w:tl2br w:val="nil"/>
                    <w:tr2bl w:val="nil"/>
                  </w:tcBorders>
                  <w:vAlign w:val="center"/>
                </w:tcPr>
                <w:p w14:paraId="29CA0F0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52" w:type="pct"/>
                  <w:tcBorders>
                    <w:tl2br w:val="nil"/>
                    <w:tr2bl w:val="nil"/>
                  </w:tcBorders>
                  <w:vAlign w:val="center"/>
                </w:tcPr>
                <w:p w14:paraId="47B04FA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09" w:type="pct"/>
                  <w:tcBorders>
                    <w:tl2br w:val="nil"/>
                    <w:tr2bl w:val="nil"/>
                  </w:tcBorders>
                  <w:vAlign w:val="center"/>
                </w:tcPr>
                <w:p w14:paraId="51ED4D2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46</w:t>
                  </w:r>
                </w:p>
              </w:tc>
              <w:tc>
                <w:tcPr>
                  <w:tcW w:w="416" w:type="pct"/>
                  <w:tcBorders>
                    <w:tl2br w:val="nil"/>
                    <w:tr2bl w:val="nil"/>
                  </w:tcBorders>
                  <w:vAlign w:val="center"/>
                </w:tcPr>
                <w:p w14:paraId="17B6B36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7C374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4158AD5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194" w:type="pct"/>
                  <w:vMerge w:val="continue"/>
                  <w:tcBorders>
                    <w:tl2br w:val="nil"/>
                    <w:tr2bl w:val="nil"/>
                  </w:tcBorders>
                  <w:vAlign w:val="center"/>
                </w:tcPr>
                <w:p w14:paraId="01FFF56D">
                  <w:pPr>
                    <w:jc w:val="center"/>
                    <w:rPr>
                      <w:rFonts w:eastAsia="宋体"/>
                      <w:color w:val="000000" w:themeColor="text1"/>
                      <w:sz w:val="21"/>
                      <w:szCs w:val="21"/>
                      <w14:textFill>
                        <w14:solidFill>
                          <w14:schemeClr w14:val="tx1"/>
                        </w14:solidFill>
                      </w14:textFill>
                    </w:rPr>
                  </w:pPr>
                </w:p>
              </w:tc>
              <w:tc>
                <w:tcPr>
                  <w:tcW w:w="417" w:type="pct"/>
                  <w:tcBorders>
                    <w:tl2br w:val="nil"/>
                    <w:tr2bl w:val="nil"/>
                  </w:tcBorders>
                  <w:vAlign w:val="center"/>
                </w:tcPr>
                <w:p w14:paraId="5376F6E4">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欧版磨粉机2</w:t>
                  </w:r>
                </w:p>
              </w:tc>
              <w:tc>
                <w:tcPr>
                  <w:tcW w:w="451" w:type="pct"/>
                  <w:tcBorders>
                    <w:tl2br w:val="nil"/>
                    <w:tr2bl w:val="nil"/>
                  </w:tcBorders>
                  <w:vAlign w:val="center"/>
                </w:tcPr>
                <w:p w14:paraId="15EA6DB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85</w:t>
                  </w:r>
                </w:p>
              </w:tc>
              <w:tc>
                <w:tcPr>
                  <w:tcW w:w="514" w:type="pct"/>
                  <w:vMerge w:val="continue"/>
                  <w:tcBorders>
                    <w:tl2br w:val="nil"/>
                    <w:tr2bl w:val="nil"/>
                  </w:tcBorders>
                  <w:vAlign w:val="center"/>
                </w:tcPr>
                <w:p w14:paraId="5D7EAFC9">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602A8A5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142</w:t>
                  </w:r>
                </w:p>
              </w:tc>
              <w:tc>
                <w:tcPr>
                  <w:tcW w:w="256" w:type="pct"/>
                  <w:tcBorders>
                    <w:tl2br w:val="nil"/>
                    <w:tr2bl w:val="nil"/>
                  </w:tcBorders>
                  <w:vAlign w:val="center"/>
                </w:tcPr>
                <w:p w14:paraId="5B0ACB2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167</w:t>
                  </w:r>
                </w:p>
              </w:tc>
              <w:tc>
                <w:tcPr>
                  <w:tcW w:w="244" w:type="pct"/>
                  <w:tcBorders>
                    <w:tl2br w:val="nil"/>
                    <w:tr2bl w:val="nil"/>
                  </w:tcBorders>
                  <w:vAlign w:val="center"/>
                </w:tcPr>
                <w:p w14:paraId="482182C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1.2</w:t>
                  </w:r>
                </w:p>
              </w:tc>
              <w:tc>
                <w:tcPr>
                  <w:tcW w:w="371" w:type="pct"/>
                  <w:tcBorders>
                    <w:tl2br w:val="nil"/>
                    <w:tr2bl w:val="nil"/>
                  </w:tcBorders>
                  <w:vAlign w:val="center"/>
                </w:tcPr>
                <w:p w14:paraId="48A392D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7</w:t>
                  </w:r>
                </w:p>
              </w:tc>
              <w:tc>
                <w:tcPr>
                  <w:tcW w:w="423" w:type="pct"/>
                  <w:tcBorders>
                    <w:tl2br w:val="nil"/>
                    <w:tr2bl w:val="nil"/>
                  </w:tcBorders>
                  <w:vAlign w:val="center"/>
                </w:tcPr>
                <w:p w14:paraId="46452DE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68</w:t>
                  </w:r>
                </w:p>
              </w:tc>
              <w:tc>
                <w:tcPr>
                  <w:tcW w:w="358" w:type="pct"/>
                  <w:tcBorders>
                    <w:tl2br w:val="nil"/>
                    <w:tr2bl w:val="nil"/>
                  </w:tcBorders>
                  <w:vAlign w:val="center"/>
                </w:tcPr>
                <w:p w14:paraId="66FFC58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52" w:type="pct"/>
                  <w:tcBorders>
                    <w:tl2br w:val="nil"/>
                    <w:tr2bl w:val="nil"/>
                  </w:tcBorders>
                  <w:vAlign w:val="center"/>
                </w:tcPr>
                <w:p w14:paraId="7D4A6DA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09" w:type="pct"/>
                  <w:tcBorders>
                    <w:tl2br w:val="nil"/>
                    <w:tr2bl w:val="nil"/>
                  </w:tcBorders>
                  <w:vAlign w:val="center"/>
                </w:tcPr>
                <w:p w14:paraId="2B5D07F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43</w:t>
                  </w:r>
                </w:p>
              </w:tc>
              <w:tc>
                <w:tcPr>
                  <w:tcW w:w="416" w:type="pct"/>
                  <w:tcBorders>
                    <w:tl2br w:val="nil"/>
                    <w:tr2bl w:val="nil"/>
                  </w:tcBorders>
                  <w:vAlign w:val="center"/>
                </w:tcPr>
                <w:p w14:paraId="2B0865D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08969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5CE421F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3</w:t>
                  </w:r>
                </w:p>
              </w:tc>
              <w:tc>
                <w:tcPr>
                  <w:tcW w:w="194" w:type="pct"/>
                  <w:vMerge w:val="continue"/>
                  <w:tcBorders>
                    <w:tl2br w:val="nil"/>
                    <w:tr2bl w:val="nil"/>
                  </w:tcBorders>
                  <w:vAlign w:val="center"/>
                </w:tcPr>
                <w:p w14:paraId="36F74CCE">
                  <w:pPr>
                    <w:jc w:val="center"/>
                    <w:rPr>
                      <w:rFonts w:eastAsia="宋体"/>
                      <w:color w:val="000000" w:themeColor="text1"/>
                      <w:sz w:val="21"/>
                      <w:szCs w:val="21"/>
                      <w14:textFill>
                        <w14:solidFill>
                          <w14:schemeClr w14:val="tx1"/>
                        </w14:solidFill>
                      </w14:textFill>
                    </w:rPr>
                  </w:pPr>
                </w:p>
              </w:tc>
              <w:tc>
                <w:tcPr>
                  <w:tcW w:w="417" w:type="pct"/>
                  <w:tcBorders>
                    <w:tl2br w:val="nil"/>
                    <w:tr2bl w:val="nil"/>
                  </w:tcBorders>
                  <w:vAlign w:val="center"/>
                </w:tcPr>
                <w:p w14:paraId="484A5965">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欧版磨粉机3</w:t>
                  </w:r>
                </w:p>
              </w:tc>
              <w:tc>
                <w:tcPr>
                  <w:tcW w:w="451" w:type="pct"/>
                  <w:tcBorders>
                    <w:tl2br w:val="nil"/>
                    <w:tr2bl w:val="nil"/>
                  </w:tcBorders>
                  <w:vAlign w:val="center"/>
                </w:tcPr>
                <w:p w14:paraId="67545A5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85</w:t>
                  </w:r>
                </w:p>
              </w:tc>
              <w:tc>
                <w:tcPr>
                  <w:tcW w:w="514" w:type="pct"/>
                  <w:vMerge w:val="continue"/>
                  <w:tcBorders>
                    <w:tl2br w:val="nil"/>
                    <w:tr2bl w:val="nil"/>
                  </w:tcBorders>
                  <w:vAlign w:val="center"/>
                </w:tcPr>
                <w:p w14:paraId="2A1BD0D2">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0826C7C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144</w:t>
                  </w:r>
                </w:p>
              </w:tc>
              <w:tc>
                <w:tcPr>
                  <w:tcW w:w="256" w:type="pct"/>
                  <w:tcBorders>
                    <w:tl2br w:val="nil"/>
                    <w:tr2bl w:val="nil"/>
                  </w:tcBorders>
                  <w:vAlign w:val="center"/>
                </w:tcPr>
                <w:p w14:paraId="52CA0B2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169</w:t>
                  </w:r>
                </w:p>
              </w:tc>
              <w:tc>
                <w:tcPr>
                  <w:tcW w:w="244" w:type="pct"/>
                  <w:tcBorders>
                    <w:tl2br w:val="nil"/>
                    <w:tr2bl w:val="nil"/>
                  </w:tcBorders>
                  <w:vAlign w:val="center"/>
                </w:tcPr>
                <w:p w14:paraId="2C1BDC4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1.2</w:t>
                  </w:r>
                </w:p>
              </w:tc>
              <w:tc>
                <w:tcPr>
                  <w:tcW w:w="371" w:type="pct"/>
                  <w:tcBorders>
                    <w:tl2br w:val="nil"/>
                    <w:tr2bl w:val="nil"/>
                  </w:tcBorders>
                  <w:vAlign w:val="center"/>
                </w:tcPr>
                <w:p w14:paraId="43DE26D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w:t>
                  </w:r>
                </w:p>
              </w:tc>
              <w:tc>
                <w:tcPr>
                  <w:tcW w:w="423" w:type="pct"/>
                  <w:tcBorders>
                    <w:tl2br w:val="nil"/>
                    <w:tr2bl w:val="nil"/>
                  </w:tcBorders>
                  <w:vAlign w:val="center"/>
                </w:tcPr>
                <w:p w14:paraId="3C8610C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66</w:t>
                  </w:r>
                </w:p>
              </w:tc>
              <w:tc>
                <w:tcPr>
                  <w:tcW w:w="358" w:type="pct"/>
                  <w:tcBorders>
                    <w:tl2br w:val="nil"/>
                    <w:tr2bl w:val="nil"/>
                  </w:tcBorders>
                  <w:vAlign w:val="center"/>
                </w:tcPr>
                <w:p w14:paraId="7E3D8A7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52" w:type="pct"/>
                  <w:tcBorders>
                    <w:tl2br w:val="nil"/>
                    <w:tr2bl w:val="nil"/>
                  </w:tcBorders>
                  <w:vAlign w:val="center"/>
                </w:tcPr>
                <w:p w14:paraId="19F6B71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09" w:type="pct"/>
                  <w:tcBorders>
                    <w:tl2br w:val="nil"/>
                    <w:tr2bl w:val="nil"/>
                  </w:tcBorders>
                  <w:vAlign w:val="center"/>
                </w:tcPr>
                <w:p w14:paraId="28DB244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41</w:t>
                  </w:r>
                </w:p>
              </w:tc>
              <w:tc>
                <w:tcPr>
                  <w:tcW w:w="416" w:type="pct"/>
                  <w:tcBorders>
                    <w:tl2br w:val="nil"/>
                    <w:tr2bl w:val="nil"/>
                  </w:tcBorders>
                  <w:vAlign w:val="center"/>
                </w:tcPr>
                <w:p w14:paraId="7A0ABA3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36C62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5BE0039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w:t>
                  </w:r>
                </w:p>
              </w:tc>
              <w:tc>
                <w:tcPr>
                  <w:tcW w:w="194" w:type="pct"/>
                  <w:vMerge w:val="continue"/>
                  <w:tcBorders>
                    <w:tl2br w:val="nil"/>
                    <w:tr2bl w:val="nil"/>
                  </w:tcBorders>
                  <w:vAlign w:val="center"/>
                </w:tcPr>
                <w:p w14:paraId="3BF6BE34">
                  <w:pPr>
                    <w:jc w:val="center"/>
                    <w:rPr>
                      <w:rFonts w:eastAsia="宋体"/>
                      <w:color w:val="000000" w:themeColor="text1"/>
                      <w:sz w:val="21"/>
                      <w:szCs w:val="21"/>
                      <w14:textFill>
                        <w14:solidFill>
                          <w14:schemeClr w14:val="tx1"/>
                        </w14:solidFill>
                      </w14:textFill>
                    </w:rPr>
                  </w:pPr>
                </w:p>
              </w:tc>
              <w:tc>
                <w:tcPr>
                  <w:tcW w:w="417" w:type="pct"/>
                  <w:tcBorders>
                    <w:tl2br w:val="nil"/>
                    <w:tr2bl w:val="nil"/>
                  </w:tcBorders>
                  <w:vAlign w:val="center"/>
                </w:tcPr>
                <w:p w14:paraId="03EB9E85">
                  <w:pPr>
                    <w:spacing w:line="228" w:lineRule="auto"/>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刮板输送机</w:t>
                  </w:r>
                </w:p>
              </w:tc>
              <w:tc>
                <w:tcPr>
                  <w:tcW w:w="451" w:type="pct"/>
                  <w:tcBorders>
                    <w:tl2br w:val="nil"/>
                    <w:tr2bl w:val="nil"/>
                  </w:tcBorders>
                  <w:vAlign w:val="center"/>
                </w:tcPr>
                <w:p w14:paraId="012D0EB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80</w:t>
                  </w:r>
                </w:p>
              </w:tc>
              <w:tc>
                <w:tcPr>
                  <w:tcW w:w="514" w:type="pct"/>
                  <w:vMerge w:val="continue"/>
                  <w:tcBorders>
                    <w:tl2br w:val="nil"/>
                    <w:tr2bl w:val="nil"/>
                  </w:tcBorders>
                  <w:vAlign w:val="center"/>
                </w:tcPr>
                <w:p w14:paraId="38993C85">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69B3983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135</w:t>
                  </w:r>
                </w:p>
              </w:tc>
              <w:tc>
                <w:tcPr>
                  <w:tcW w:w="256" w:type="pct"/>
                  <w:tcBorders>
                    <w:tl2br w:val="nil"/>
                    <w:tr2bl w:val="nil"/>
                  </w:tcBorders>
                  <w:vAlign w:val="center"/>
                </w:tcPr>
                <w:p w14:paraId="29E2D8A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165</w:t>
                  </w:r>
                </w:p>
              </w:tc>
              <w:tc>
                <w:tcPr>
                  <w:tcW w:w="244" w:type="pct"/>
                  <w:tcBorders>
                    <w:tl2br w:val="nil"/>
                    <w:tr2bl w:val="nil"/>
                  </w:tcBorders>
                  <w:vAlign w:val="center"/>
                </w:tcPr>
                <w:p w14:paraId="7E9F8A9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0.5</w:t>
                  </w:r>
                </w:p>
              </w:tc>
              <w:tc>
                <w:tcPr>
                  <w:tcW w:w="371" w:type="pct"/>
                  <w:tcBorders>
                    <w:tl2br w:val="nil"/>
                    <w:tr2bl w:val="nil"/>
                  </w:tcBorders>
                  <w:vAlign w:val="center"/>
                </w:tcPr>
                <w:p w14:paraId="4994949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423" w:type="pct"/>
                  <w:tcBorders>
                    <w:tl2br w:val="nil"/>
                    <w:tr2bl w:val="nil"/>
                  </w:tcBorders>
                  <w:vAlign w:val="center"/>
                </w:tcPr>
                <w:p w14:paraId="6415B86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66</w:t>
                  </w:r>
                </w:p>
              </w:tc>
              <w:tc>
                <w:tcPr>
                  <w:tcW w:w="358" w:type="pct"/>
                  <w:tcBorders>
                    <w:tl2br w:val="nil"/>
                    <w:tr2bl w:val="nil"/>
                  </w:tcBorders>
                  <w:vAlign w:val="center"/>
                </w:tcPr>
                <w:p w14:paraId="304F325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52" w:type="pct"/>
                  <w:tcBorders>
                    <w:tl2br w:val="nil"/>
                    <w:tr2bl w:val="nil"/>
                  </w:tcBorders>
                  <w:vAlign w:val="center"/>
                </w:tcPr>
                <w:p w14:paraId="6949EF1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09" w:type="pct"/>
                  <w:tcBorders>
                    <w:tl2br w:val="nil"/>
                    <w:tr2bl w:val="nil"/>
                  </w:tcBorders>
                  <w:vAlign w:val="center"/>
                </w:tcPr>
                <w:p w14:paraId="54654E5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41</w:t>
                  </w:r>
                </w:p>
              </w:tc>
              <w:tc>
                <w:tcPr>
                  <w:tcW w:w="416" w:type="pct"/>
                  <w:tcBorders>
                    <w:tl2br w:val="nil"/>
                    <w:tr2bl w:val="nil"/>
                  </w:tcBorders>
                  <w:vAlign w:val="center"/>
                </w:tcPr>
                <w:p w14:paraId="4D7C5B4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1AA52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6AF3C27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194" w:type="pct"/>
                  <w:vMerge w:val="continue"/>
                  <w:tcBorders>
                    <w:tl2br w:val="nil"/>
                    <w:tr2bl w:val="nil"/>
                  </w:tcBorders>
                  <w:vAlign w:val="center"/>
                </w:tcPr>
                <w:p w14:paraId="24783B21">
                  <w:pPr>
                    <w:jc w:val="center"/>
                    <w:rPr>
                      <w:rFonts w:eastAsia="宋体"/>
                      <w:color w:val="000000" w:themeColor="text1"/>
                      <w:sz w:val="21"/>
                      <w:szCs w:val="21"/>
                      <w14:textFill>
                        <w14:solidFill>
                          <w14:schemeClr w14:val="tx1"/>
                        </w14:solidFill>
                      </w14:textFill>
                    </w:rPr>
                  </w:pPr>
                </w:p>
              </w:tc>
              <w:tc>
                <w:tcPr>
                  <w:tcW w:w="417" w:type="pct"/>
                  <w:tcBorders>
                    <w:tl2br w:val="nil"/>
                    <w:tr2bl w:val="nil"/>
                  </w:tcBorders>
                  <w:vAlign w:val="center"/>
                </w:tcPr>
                <w:p w14:paraId="33812A0B">
                  <w:pPr>
                    <w:spacing w:line="227" w:lineRule="auto"/>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板链提升机</w:t>
                  </w:r>
                </w:p>
              </w:tc>
              <w:tc>
                <w:tcPr>
                  <w:tcW w:w="451" w:type="pct"/>
                  <w:tcBorders>
                    <w:tl2br w:val="nil"/>
                    <w:tr2bl w:val="nil"/>
                  </w:tcBorders>
                  <w:vAlign w:val="center"/>
                </w:tcPr>
                <w:p w14:paraId="7D36C5A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80</w:t>
                  </w:r>
                </w:p>
              </w:tc>
              <w:tc>
                <w:tcPr>
                  <w:tcW w:w="514" w:type="pct"/>
                  <w:vMerge w:val="continue"/>
                  <w:tcBorders>
                    <w:tl2br w:val="nil"/>
                    <w:tr2bl w:val="nil"/>
                  </w:tcBorders>
                  <w:vAlign w:val="center"/>
                </w:tcPr>
                <w:p w14:paraId="394999D2">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579ED46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130</w:t>
                  </w:r>
                </w:p>
              </w:tc>
              <w:tc>
                <w:tcPr>
                  <w:tcW w:w="256" w:type="pct"/>
                  <w:tcBorders>
                    <w:tl2br w:val="nil"/>
                    <w:tr2bl w:val="nil"/>
                  </w:tcBorders>
                  <w:vAlign w:val="center"/>
                </w:tcPr>
                <w:p w14:paraId="03470EF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170</w:t>
                  </w:r>
                </w:p>
              </w:tc>
              <w:tc>
                <w:tcPr>
                  <w:tcW w:w="244" w:type="pct"/>
                  <w:tcBorders>
                    <w:tl2br w:val="nil"/>
                    <w:tr2bl w:val="nil"/>
                  </w:tcBorders>
                  <w:vAlign w:val="center"/>
                </w:tcPr>
                <w:p w14:paraId="5816FA1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0.5</w:t>
                  </w:r>
                </w:p>
              </w:tc>
              <w:tc>
                <w:tcPr>
                  <w:tcW w:w="371" w:type="pct"/>
                  <w:tcBorders>
                    <w:tl2br w:val="nil"/>
                    <w:tr2bl w:val="nil"/>
                  </w:tcBorders>
                  <w:vAlign w:val="center"/>
                </w:tcPr>
                <w:p w14:paraId="0486348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423" w:type="pct"/>
                  <w:tcBorders>
                    <w:tl2br w:val="nil"/>
                    <w:tr2bl w:val="nil"/>
                  </w:tcBorders>
                  <w:vAlign w:val="center"/>
                </w:tcPr>
                <w:p w14:paraId="2B9B0C6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66</w:t>
                  </w:r>
                </w:p>
              </w:tc>
              <w:tc>
                <w:tcPr>
                  <w:tcW w:w="358" w:type="pct"/>
                  <w:tcBorders>
                    <w:tl2br w:val="nil"/>
                    <w:tr2bl w:val="nil"/>
                  </w:tcBorders>
                  <w:vAlign w:val="center"/>
                </w:tcPr>
                <w:p w14:paraId="76374C3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52" w:type="pct"/>
                  <w:tcBorders>
                    <w:tl2br w:val="nil"/>
                    <w:tr2bl w:val="nil"/>
                  </w:tcBorders>
                  <w:vAlign w:val="center"/>
                </w:tcPr>
                <w:p w14:paraId="4274C04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09" w:type="pct"/>
                  <w:tcBorders>
                    <w:tl2br w:val="nil"/>
                    <w:tr2bl w:val="nil"/>
                  </w:tcBorders>
                  <w:vAlign w:val="center"/>
                </w:tcPr>
                <w:p w14:paraId="1401A1B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41</w:t>
                  </w:r>
                </w:p>
              </w:tc>
              <w:tc>
                <w:tcPr>
                  <w:tcW w:w="416" w:type="pct"/>
                  <w:tcBorders>
                    <w:tl2br w:val="nil"/>
                    <w:tr2bl w:val="nil"/>
                  </w:tcBorders>
                  <w:vAlign w:val="center"/>
                </w:tcPr>
                <w:p w14:paraId="1DA694B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188B7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14"/>
                  <w:tcBorders>
                    <w:tl2br w:val="nil"/>
                    <w:tr2bl w:val="nil"/>
                  </w:tcBorders>
                  <w:vAlign w:val="center"/>
                </w:tcPr>
                <w:p w14:paraId="518FE686">
                  <w:pP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注：原点坐标为厂界西南角拐点</w:t>
                  </w:r>
                </w:p>
              </w:tc>
            </w:tr>
            <w:bookmarkEnd w:id="12"/>
          </w:tbl>
          <w:p w14:paraId="4D228EA9">
            <w:pPr>
              <w:widowControl/>
              <w:jc w:val="center"/>
              <w:rPr>
                <w:rFonts w:eastAsia="宋体"/>
                <w:b/>
                <w:bCs/>
                <w:color w:val="000000" w:themeColor="text1"/>
                <w:kern w:val="0"/>
                <w:lang w:bidi="ar"/>
                <w14:textFill>
                  <w14:solidFill>
                    <w14:schemeClr w14:val="tx1"/>
                  </w14:solidFill>
                </w14:textFill>
              </w:rPr>
            </w:pPr>
          </w:p>
          <w:p w14:paraId="41C7C2EF">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表4-7   工业企业噪声源强调查清单（室内声源）（建筑垃圾生产厂房）</w:t>
            </w:r>
          </w:p>
          <w:tbl>
            <w:tblPr>
              <w:tblStyle w:val="36"/>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329"/>
              <w:gridCol w:w="399"/>
              <w:gridCol w:w="638"/>
              <w:gridCol w:w="768"/>
              <w:gridCol w:w="875"/>
              <w:gridCol w:w="515"/>
              <w:gridCol w:w="437"/>
              <w:gridCol w:w="418"/>
              <w:gridCol w:w="674"/>
              <w:gridCol w:w="722"/>
              <w:gridCol w:w="575"/>
              <w:gridCol w:w="722"/>
              <w:gridCol w:w="748"/>
              <w:gridCol w:w="713"/>
            </w:tblGrid>
            <w:tr w14:paraId="5DC90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vMerge w:val="restart"/>
                  <w:tcBorders>
                    <w:tl2br w:val="nil"/>
                    <w:tr2bl w:val="nil"/>
                  </w:tcBorders>
                  <w:vAlign w:val="center"/>
                </w:tcPr>
                <w:p w14:paraId="278E26F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序号</w:t>
                  </w:r>
                </w:p>
              </w:tc>
              <w:tc>
                <w:tcPr>
                  <w:tcW w:w="234" w:type="pct"/>
                  <w:vMerge w:val="restart"/>
                  <w:tcBorders>
                    <w:tl2br w:val="nil"/>
                    <w:tr2bl w:val="nil"/>
                  </w:tcBorders>
                  <w:vAlign w:val="center"/>
                </w:tcPr>
                <w:p w14:paraId="137A7B6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建筑物名称</w:t>
                  </w:r>
                </w:p>
              </w:tc>
              <w:tc>
                <w:tcPr>
                  <w:tcW w:w="374" w:type="pct"/>
                  <w:vMerge w:val="restart"/>
                  <w:tcBorders>
                    <w:tl2br w:val="nil"/>
                    <w:tr2bl w:val="nil"/>
                  </w:tcBorders>
                  <w:vAlign w:val="center"/>
                </w:tcPr>
                <w:p w14:paraId="5CDDAAF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声源名称</w:t>
                  </w:r>
                </w:p>
              </w:tc>
              <w:tc>
                <w:tcPr>
                  <w:tcW w:w="450" w:type="pct"/>
                  <w:tcBorders>
                    <w:tl2br w:val="nil"/>
                    <w:tr2bl w:val="nil"/>
                  </w:tcBorders>
                  <w:vAlign w:val="center"/>
                </w:tcPr>
                <w:p w14:paraId="3EF4793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声源源强</w:t>
                  </w:r>
                </w:p>
              </w:tc>
              <w:tc>
                <w:tcPr>
                  <w:tcW w:w="513" w:type="pct"/>
                  <w:vMerge w:val="restart"/>
                  <w:tcBorders>
                    <w:tl2br w:val="nil"/>
                    <w:tr2bl w:val="nil"/>
                  </w:tcBorders>
                  <w:vAlign w:val="center"/>
                </w:tcPr>
                <w:p w14:paraId="43DAB7E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声源控制措施厂房隔声</w:t>
                  </w:r>
                </w:p>
              </w:tc>
              <w:tc>
                <w:tcPr>
                  <w:tcW w:w="803" w:type="pct"/>
                  <w:gridSpan w:val="3"/>
                  <w:tcBorders>
                    <w:tl2br w:val="nil"/>
                    <w:tr2bl w:val="nil"/>
                  </w:tcBorders>
                  <w:vAlign w:val="center"/>
                </w:tcPr>
                <w:p w14:paraId="38CED87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空间相对位置/m</w:t>
                  </w:r>
                </w:p>
              </w:tc>
              <w:tc>
                <w:tcPr>
                  <w:tcW w:w="395" w:type="pct"/>
                  <w:vMerge w:val="restart"/>
                  <w:tcBorders>
                    <w:tl2br w:val="nil"/>
                    <w:tr2bl w:val="nil"/>
                  </w:tcBorders>
                  <w:vAlign w:val="center"/>
                </w:tcPr>
                <w:p w14:paraId="725401A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距室内边界距离/m</w:t>
                  </w:r>
                </w:p>
              </w:tc>
              <w:tc>
                <w:tcPr>
                  <w:tcW w:w="423" w:type="pct"/>
                  <w:vMerge w:val="restart"/>
                  <w:tcBorders>
                    <w:tl2br w:val="nil"/>
                    <w:tr2bl w:val="nil"/>
                  </w:tcBorders>
                  <w:vAlign w:val="center"/>
                </w:tcPr>
                <w:p w14:paraId="1BCF95F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室内边界声级/dB(A)</w:t>
                  </w:r>
                </w:p>
              </w:tc>
              <w:tc>
                <w:tcPr>
                  <w:tcW w:w="337" w:type="pct"/>
                  <w:vMerge w:val="restart"/>
                  <w:tcBorders>
                    <w:tl2br w:val="nil"/>
                    <w:tr2bl w:val="nil"/>
                  </w:tcBorders>
                  <w:vAlign w:val="center"/>
                </w:tcPr>
                <w:p w14:paraId="05B9172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运行时段</w:t>
                  </w:r>
                </w:p>
              </w:tc>
              <w:tc>
                <w:tcPr>
                  <w:tcW w:w="423" w:type="pct"/>
                  <w:vMerge w:val="restart"/>
                  <w:tcBorders>
                    <w:tl2br w:val="nil"/>
                    <w:tr2bl w:val="nil"/>
                  </w:tcBorders>
                  <w:vAlign w:val="center"/>
                </w:tcPr>
                <w:p w14:paraId="28B9CE4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建筑物插入损失/dB(A)</w:t>
                  </w:r>
                </w:p>
              </w:tc>
              <w:tc>
                <w:tcPr>
                  <w:tcW w:w="854" w:type="pct"/>
                  <w:gridSpan w:val="2"/>
                  <w:tcBorders>
                    <w:tl2br w:val="nil"/>
                    <w:tr2bl w:val="nil"/>
                  </w:tcBorders>
                  <w:vAlign w:val="center"/>
                </w:tcPr>
                <w:p w14:paraId="7B2BE3A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建筑物外噪声声压级</w:t>
                  </w:r>
                </w:p>
              </w:tc>
            </w:tr>
            <w:tr w14:paraId="2A11A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vMerge w:val="continue"/>
                  <w:tcBorders>
                    <w:tl2br w:val="nil"/>
                    <w:tr2bl w:val="nil"/>
                  </w:tcBorders>
                  <w:vAlign w:val="center"/>
                </w:tcPr>
                <w:p w14:paraId="041CD2ED">
                  <w:pPr>
                    <w:jc w:val="center"/>
                    <w:rPr>
                      <w:rFonts w:eastAsia="宋体"/>
                      <w:color w:val="000000" w:themeColor="text1"/>
                      <w:sz w:val="21"/>
                      <w:szCs w:val="21"/>
                      <w14:textFill>
                        <w14:solidFill>
                          <w14:schemeClr w14:val="tx1"/>
                        </w14:solidFill>
                      </w14:textFill>
                    </w:rPr>
                  </w:pPr>
                </w:p>
              </w:tc>
              <w:tc>
                <w:tcPr>
                  <w:tcW w:w="234" w:type="pct"/>
                  <w:vMerge w:val="continue"/>
                  <w:tcBorders>
                    <w:tl2br w:val="nil"/>
                    <w:tr2bl w:val="nil"/>
                  </w:tcBorders>
                  <w:vAlign w:val="center"/>
                </w:tcPr>
                <w:p w14:paraId="60D4937B">
                  <w:pPr>
                    <w:jc w:val="center"/>
                    <w:rPr>
                      <w:rFonts w:eastAsia="宋体"/>
                      <w:color w:val="000000" w:themeColor="text1"/>
                      <w:sz w:val="21"/>
                      <w:szCs w:val="21"/>
                      <w14:textFill>
                        <w14:solidFill>
                          <w14:schemeClr w14:val="tx1"/>
                        </w14:solidFill>
                      </w14:textFill>
                    </w:rPr>
                  </w:pPr>
                </w:p>
              </w:tc>
              <w:tc>
                <w:tcPr>
                  <w:tcW w:w="374" w:type="pct"/>
                  <w:vMerge w:val="continue"/>
                  <w:tcBorders>
                    <w:tl2br w:val="nil"/>
                    <w:tr2bl w:val="nil"/>
                  </w:tcBorders>
                  <w:vAlign w:val="center"/>
                </w:tcPr>
                <w:p w14:paraId="562AB72A">
                  <w:pPr>
                    <w:jc w:val="center"/>
                    <w:rPr>
                      <w:rFonts w:eastAsia="宋体"/>
                      <w:color w:val="000000" w:themeColor="text1"/>
                      <w:sz w:val="21"/>
                      <w:szCs w:val="21"/>
                      <w14:textFill>
                        <w14:solidFill>
                          <w14:schemeClr w14:val="tx1"/>
                        </w14:solidFill>
                      </w14:textFill>
                    </w:rPr>
                  </w:pPr>
                </w:p>
              </w:tc>
              <w:tc>
                <w:tcPr>
                  <w:tcW w:w="450" w:type="pct"/>
                  <w:tcBorders>
                    <w:tl2br w:val="nil"/>
                    <w:tr2bl w:val="nil"/>
                  </w:tcBorders>
                  <w:vAlign w:val="center"/>
                </w:tcPr>
                <w:p w14:paraId="3FC1AC2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声功率级/dB(A)</w:t>
                  </w:r>
                </w:p>
              </w:tc>
              <w:tc>
                <w:tcPr>
                  <w:tcW w:w="513" w:type="pct"/>
                  <w:vMerge w:val="continue"/>
                  <w:tcBorders>
                    <w:tl2br w:val="nil"/>
                    <w:tr2bl w:val="nil"/>
                  </w:tcBorders>
                  <w:vAlign w:val="center"/>
                </w:tcPr>
                <w:p w14:paraId="03F67BF0">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21FD4DE7">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X</w:t>
                  </w:r>
                </w:p>
              </w:tc>
              <w:tc>
                <w:tcPr>
                  <w:tcW w:w="256" w:type="pct"/>
                  <w:tcBorders>
                    <w:tl2br w:val="nil"/>
                    <w:tr2bl w:val="nil"/>
                  </w:tcBorders>
                  <w:vAlign w:val="center"/>
                </w:tcPr>
                <w:p w14:paraId="0DA254B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Y</w:t>
                  </w:r>
                </w:p>
              </w:tc>
              <w:tc>
                <w:tcPr>
                  <w:tcW w:w="245" w:type="pct"/>
                  <w:tcBorders>
                    <w:tl2br w:val="nil"/>
                    <w:tr2bl w:val="nil"/>
                  </w:tcBorders>
                  <w:vAlign w:val="center"/>
                </w:tcPr>
                <w:p w14:paraId="2799848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Z</w:t>
                  </w:r>
                </w:p>
              </w:tc>
              <w:tc>
                <w:tcPr>
                  <w:tcW w:w="395" w:type="pct"/>
                  <w:vMerge w:val="continue"/>
                  <w:tcBorders>
                    <w:tl2br w:val="nil"/>
                    <w:tr2bl w:val="nil"/>
                  </w:tcBorders>
                  <w:vAlign w:val="center"/>
                </w:tcPr>
                <w:p w14:paraId="477D9C16">
                  <w:pPr>
                    <w:jc w:val="center"/>
                    <w:rPr>
                      <w:rFonts w:eastAsia="宋体"/>
                      <w:color w:val="000000" w:themeColor="text1"/>
                      <w:sz w:val="21"/>
                      <w:szCs w:val="21"/>
                      <w14:textFill>
                        <w14:solidFill>
                          <w14:schemeClr w14:val="tx1"/>
                        </w14:solidFill>
                      </w14:textFill>
                    </w:rPr>
                  </w:pPr>
                </w:p>
              </w:tc>
              <w:tc>
                <w:tcPr>
                  <w:tcW w:w="423" w:type="pct"/>
                  <w:vMerge w:val="continue"/>
                  <w:tcBorders>
                    <w:tl2br w:val="nil"/>
                    <w:tr2bl w:val="nil"/>
                  </w:tcBorders>
                  <w:vAlign w:val="center"/>
                </w:tcPr>
                <w:p w14:paraId="38D9D38E">
                  <w:pPr>
                    <w:jc w:val="center"/>
                    <w:rPr>
                      <w:rFonts w:eastAsia="宋体"/>
                      <w:color w:val="000000" w:themeColor="text1"/>
                      <w:sz w:val="21"/>
                      <w:szCs w:val="21"/>
                      <w14:textFill>
                        <w14:solidFill>
                          <w14:schemeClr w14:val="tx1"/>
                        </w14:solidFill>
                      </w14:textFill>
                    </w:rPr>
                  </w:pPr>
                </w:p>
              </w:tc>
              <w:tc>
                <w:tcPr>
                  <w:tcW w:w="337" w:type="pct"/>
                  <w:vMerge w:val="continue"/>
                  <w:tcBorders>
                    <w:tl2br w:val="nil"/>
                    <w:tr2bl w:val="nil"/>
                  </w:tcBorders>
                  <w:vAlign w:val="center"/>
                </w:tcPr>
                <w:p w14:paraId="1795C714">
                  <w:pPr>
                    <w:jc w:val="center"/>
                    <w:rPr>
                      <w:rFonts w:eastAsia="宋体"/>
                      <w:color w:val="000000" w:themeColor="text1"/>
                      <w:sz w:val="21"/>
                      <w:szCs w:val="21"/>
                      <w14:textFill>
                        <w14:solidFill>
                          <w14:schemeClr w14:val="tx1"/>
                        </w14:solidFill>
                      </w14:textFill>
                    </w:rPr>
                  </w:pPr>
                </w:p>
              </w:tc>
              <w:tc>
                <w:tcPr>
                  <w:tcW w:w="423" w:type="pct"/>
                  <w:vMerge w:val="continue"/>
                  <w:tcBorders>
                    <w:tl2br w:val="nil"/>
                    <w:tr2bl w:val="nil"/>
                  </w:tcBorders>
                  <w:vAlign w:val="center"/>
                </w:tcPr>
                <w:p w14:paraId="68031198">
                  <w:pPr>
                    <w:jc w:val="center"/>
                    <w:rPr>
                      <w:rFonts w:eastAsia="宋体"/>
                      <w:color w:val="000000" w:themeColor="text1"/>
                      <w:sz w:val="21"/>
                      <w:szCs w:val="21"/>
                      <w14:textFill>
                        <w14:solidFill>
                          <w14:schemeClr w14:val="tx1"/>
                        </w14:solidFill>
                      </w14:textFill>
                    </w:rPr>
                  </w:pPr>
                </w:p>
              </w:tc>
              <w:tc>
                <w:tcPr>
                  <w:tcW w:w="438" w:type="pct"/>
                  <w:tcBorders>
                    <w:tl2br w:val="nil"/>
                    <w:tr2bl w:val="nil"/>
                  </w:tcBorders>
                  <w:vAlign w:val="center"/>
                </w:tcPr>
                <w:p w14:paraId="58C6F16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声压级/dB（A）</w:t>
                  </w:r>
                </w:p>
              </w:tc>
              <w:tc>
                <w:tcPr>
                  <w:tcW w:w="416" w:type="pct"/>
                  <w:tcBorders>
                    <w:tl2br w:val="nil"/>
                    <w:tr2bl w:val="nil"/>
                  </w:tcBorders>
                  <w:vAlign w:val="center"/>
                </w:tcPr>
                <w:p w14:paraId="6328AA14">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建筑物外距离（m）</w:t>
                  </w:r>
                </w:p>
              </w:tc>
            </w:tr>
            <w:tr w14:paraId="23656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021BD99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c>
                <w:tcPr>
                  <w:tcW w:w="234" w:type="pct"/>
                  <w:vMerge w:val="restart"/>
                  <w:tcBorders>
                    <w:tl2br w:val="nil"/>
                    <w:tr2bl w:val="nil"/>
                  </w:tcBorders>
                  <w:vAlign w:val="center"/>
                </w:tcPr>
                <w:p w14:paraId="0177A81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建筑垃圾加工车间</w:t>
                  </w:r>
                </w:p>
              </w:tc>
              <w:tc>
                <w:tcPr>
                  <w:tcW w:w="374" w:type="pct"/>
                  <w:tcBorders>
                    <w:tl2br w:val="nil"/>
                    <w:tr2bl w:val="nil"/>
                  </w:tcBorders>
                  <w:vAlign w:val="center"/>
                </w:tcPr>
                <w:p w14:paraId="667918BB">
                  <w:pPr>
                    <w:spacing w:line="227"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破碎机</w:t>
                  </w:r>
                </w:p>
              </w:tc>
              <w:tc>
                <w:tcPr>
                  <w:tcW w:w="450" w:type="pct"/>
                  <w:tcBorders>
                    <w:tl2br w:val="nil"/>
                    <w:tr2bl w:val="nil"/>
                  </w:tcBorders>
                  <w:vAlign w:val="center"/>
                </w:tcPr>
                <w:p w14:paraId="4EB6B79C">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90</w:t>
                  </w:r>
                </w:p>
              </w:tc>
              <w:tc>
                <w:tcPr>
                  <w:tcW w:w="513" w:type="pct"/>
                  <w:vMerge w:val="restart"/>
                  <w:tcBorders>
                    <w:tl2br w:val="nil"/>
                    <w:tr2bl w:val="nil"/>
                  </w:tcBorders>
                  <w:vAlign w:val="center"/>
                </w:tcPr>
                <w:p w14:paraId="52AEC82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选用低噪声设备，采取隔声、减振等措施</w:t>
                  </w:r>
                </w:p>
              </w:tc>
              <w:tc>
                <w:tcPr>
                  <w:tcW w:w="302" w:type="pct"/>
                  <w:tcBorders>
                    <w:tl2br w:val="nil"/>
                    <w:tr2bl w:val="nil"/>
                  </w:tcBorders>
                  <w:vAlign w:val="center"/>
                </w:tcPr>
                <w:p w14:paraId="1641F410">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60</w:t>
                  </w:r>
                </w:p>
              </w:tc>
              <w:tc>
                <w:tcPr>
                  <w:tcW w:w="256" w:type="pct"/>
                  <w:tcBorders>
                    <w:tl2br w:val="nil"/>
                    <w:tr2bl w:val="nil"/>
                  </w:tcBorders>
                  <w:vAlign w:val="center"/>
                </w:tcPr>
                <w:p w14:paraId="7B3CC680">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190</w:t>
                  </w:r>
                </w:p>
              </w:tc>
              <w:tc>
                <w:tcPr>
                  <w:tcW w:w="245" w:type="pct"/>
                  <w:tcBorders>
                    <w:tl2br w:val="nil"/>
                    <w:tr2bl w:val="nil"/>
                  </w:tcBorders>
                  <w:vAlign w:val="center"/>
                </w:tcPr>
                <w:p w14:paraId="659821A5">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1.2</w:t>
                  </w:r>
                </w:p>
              </w:tc>
              <w:tc>
                <w:tcPr>
                  <w:tcW w:w="395" w:type="pct"/>
                  <w:tcBorders>
                    <w:tl2br w:val="nil"/>
                    <w:tr2bl w:val="nil"/>
                  </w:tcBorders>
                  <w:vAlign w:val="center"/>
                </w:tcPr>
                <w:p w14:paraId="184FAE9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w:t>
                  </w:r>
                </w:p>
              </w:tc>
              <w:tc>
                <w:tcPr>
                  <w:tcW w:w="423" w:type="pct"/>
                  <w:tcBorders>
                    <w:tl2br w:val="nil"/>
                    <w:tr2bl w:val="nil"/>
                  </w:tcBorders>
                  <w:vAlign w:val="center"/>
                </w:tcPr>
                <w:p w14:paraId="43EA26D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72</w:t>
                  </w:r>
                </w:p>
              </w:tc>
              <w:tc>
                <w:tcPr>
                  <w:tcW w:w="337" w:type="pct"/>
                  <w:tcBorders>
                    <w:tl2br w:val="nil"/>
                    <w:tr2bl w:val="nil"/>
                  </w:tcBorders>
                  <w:vAlign w:val="center"/>
                </w:tcPr>
                <w:p w14:paraId="08E1826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23" w:type="pct"/>
                  <w:tcBorders>
                    <w:tl2br w:val="nil"/>
                    <w:tr2bl w:val="nil"/>
                  </w:tcBorders>
                  <w:vAlign w:val="center"/>
                </w:tcPr>
                <w:p w14:paraId="4E54003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38" w:type="pct"/>
                  <w:tcBorders>
                    <w:tl2br w:val="nil"/>
                    <w:tr2bl w:val="nil"/>
                  </w:tcBorders>
                  <w:vAlign w:val="center"/>
                </w:tcPr>
                <w:p w14:paraId="0798CED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47</w:t>
                  </w:r>
                </w:p>
              </w:tc>
              <w:tc>
                <w:tcPr>
                  <w:tcW w:w="416" w:type="pct"/>
                  <w:tcBorders>
                    <w:tl2br w:val="nil"/>
                    <w:tr2bl w:val="nil"/>
                  </w:tcBorders>
                  <w:vAlign w:val="center"/>
                </w:tcPr>
                <w:p w14:paraId="0C43E2E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746F7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04839D36">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w:t>
                  </w:r>
                </w:p>
              </w:tc>
              <w:tc>
                <w:tcPr>
                  <w:tcW w:w="234" w:type="pct"/>
                  <w:vMerge w:val="continue"/>
                  <w:tcBorders>
                    <w:tl2br w:val="nil"/>
                    <w:tr2bl w:val="nil"/>
                  </w:tcBorders>
                  <w:vAlign w:val="center"/>
                </w:tcPr>
                <w:p w14:paraId="4832D5BE">
                  <w:pPr>
                    <w:jc w:val="center"/>
                    <w:rPr>
                      <w:rFonts w:eastAsia="宋体"/>
                      <w:color w:val="000000" w:themeColor="text1"/>
                      <w:sz w:val="21"/>
                      <w:szCs w:val="21"/>
                      <w14:textFill>
                        <w14:solidFill>
                          <w14:schemeClr w14:val="tx1"/>
                        </w14:solidFill>
                      </w14:textFill>
                    </w:rPr>
                  </w:pPr>
                </w:p>
              </w:tc>
              <w:tc>
                <w:tcPr>
                  <w:tcW w:w="374" w:type="pct"/>
                  <w:tcBorders>
                    <w:tl2br w:val="nil"/>
                    <w:tr2bl w:val="nil"/>
                  </w:tcBorders>
                  <w:vAlign w:val="center"/>
                </w:tcPr>
                <w:p w14:paraId="613EAB8B">
                  <w:pPr>
                    <w:spacing w:line="228"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给料机</w:t>
                  </w:r>
                </w:p>
              </w:tc>
              <w:tc>
                <w:tcPr>
                  <w:tcW w:w="450" w:type="pct"/>
                  <w:tcBorders>
                    <w:tl2br w:val="nil"/>
                    <w:tr2bl w:val="nil"/>
                  </w:tcBorders>
                  <w:vAlign w:val="center"/>
                </w:tcPr>
                <w:p w14:paraId="3C47E55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80</w:t>
                  </w:r>
                </w:p>
              </w:tc>
              <w:tc>
                <w:tcPr>
                  <w:tcW w:w="513" w:type="pct"/>
                  <w:vMerge w:val="continue"/>
                  <w:tcBorders>
                    <w:tl2br w:val="nil"/>
                    <w:tr2bl w:val="nil"/>
                  </w:tcBorders>
                  <w:vAlign w:val="center"/>
                </w:tcPr>
                <w:p w14:paraId="2D350488">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65FBA068">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70</w:t>
                  </w:r>
                </w:p>
              </w:tc>
              <w:tc>
                <w:tcPr>
                  <w:tcW w:w="256" w:type="pct"/>
                  <w:tcBorders>
                    <w:tl2br w:val="nil"/>
                    <w:tr2bl w:val="nil"/>
                  </w:tcBorders>
                  <w:vAlign w:val="center"/>
                </w:tcPr>
                <w:p w14:paraId="0145AF2B">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180</w:t>
                  </w:r>
                </w:p>
              </w:tc>
              <w:tc>
                <w:tcPr>
                  <w:tcW w:w="245" w:type="pct"/>
                  <w:tcBorders>
                    <w:tl2br w:val="nil"/>
                    <w:tr2bl w:val="nil"/>
                  </w:tcBorders>
                  <w:vAlign w:val="center"/>
                </w:tcPr>
                <w:p w14:paraId="695DC1FC">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1.2</w:t>
                  </w:r>
                </w:p>
              </w:tc>
              <w:tc>
                <w:tcPr>
                  <w:tcW w:w="395" w:type="pct"/>
                  <w:tcBorders>
                    <w:tl2br w:val="nil"/>
                    <w:tr2bl w:val="nil"/>
                  </w:tcBorders>
                  <w:vAlign w:val="center"/>
                </w:tcPr>
                <w:p w14:paraId="4CE7D7A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423" w:type="pct"/>
                  <w:tcBorders>
                    <w:tl2br w:val="nil"/>
                    <w:tr2bl w:val="nil"/>
                  </w:tcBorders>
                  <w:vAlign w:val="center"/>
                </w:tcPr>
                <w:p w14:paraId="754A3288">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66</w:t>
                  </w:r>
                </w:p>
              </w:tc>
              <w:tc>
                <w:tcPr>
                  <w:tcW w:w="337" w:type="pct"/>
                  <w:tcBorders>
                    <w:tl2br w:val="nil"/>
                    <w:tr2bl w:val="nil"/>
                  </w:tcBorders>
                  <w:vAlign w:val="center"/>
                </w:tcPr>
                <w:p w14:paraId="3A818311">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23" w:type="pct"/>
                  <w:tcBorders>
                    <w:tl2br w:val="nil"/>
                    <w:tr2bl w:val="nil"/>
                  </w:tcBorders>
                  <w:vAlign w:val="center"/>
                </w:tcPr>
                <w:p w14:paraId="158E002A">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38" w:type="pct"/>
                  <w:tcBorders>
                    <w:tl2br w:val="nil"/>
                    <w:tr2bl w:val="nil"/>
                  </w:tcBorders>
                  <w:vAlign w:val="center"/>
                </w:tcPr>
                <w:p w14:paraId="03A90EB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41</w:t>
                  </w:r>
                </w:p>
              </w:tc>
              <w:tc>
                <w:tcPr>
                  <w:tcW w:w="416" w:type="pct"/>
                  <w:tcBorders>
                    <w:tl2br w:val="nil"/>
                    <w:tr2bl w:val="nil"/>
                  </w:tcBorders>
                  <w:vAlign w:val="center"/>
                </w:tcPr>
                <w:p w14:paraId="07A5886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12DAC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93" w:type="pct"/>
                  <w:tcBorders>
                    <w:tl2br w:val="nil"/>
                    <w:tr2bl w:val="nil"/>
                  </w:tcBorders>
                  <w:vAlign w:val="center"/>
                </w:tcPr>
                <w:p w14:paraId="1DE580A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5</w:t>
                  </w:r>
                </w:p>
              </w:tc>
              <w:tc>
                <w:tcPr>
                  <w:tcW w:w="234" w:type="pct"/>
                  <w:vMerge w:val="continue"/>
                  <w:tcBorders>
                    <w:tl2br w:val="nil"/>
                    <w:tr2bl w:val="nil"/>
                  </w:tcBorders>
                  <w:vAlign w:val="center"/>
                </w:tcPr>
                <w:p w14:paraId="088650E1">
                  <w:pPr>
                    <w:jc w:val="center"/>
                    <w:rPr>
                      <w:rFonts w:eastAsia="宋体"/>
                      <w:color w:val="000000" w:themeColor="text1"/>
                      <w:sz w:val="21"/>
                      <w:szCs w:val="21"/>
                      <w14:textFill>
                        <w14:solidFill>
                          <w14:schemeClr w14:val="tx1"/>
                        </w14:solidFill>
                      </w14:textFill>
                    </w:rPr>
                  </w:pPr>
                </w:p>
              </w:tc>
              <w:tc>
                <w:tcPr>
                  <w:tcW w:w="374" w:type="pct"/>
                  <w:tcBorders>
                    <w:tl2br w:val="nil"/>
                    <w:tr2bl w:val="nil"/>
                  </w:tcBorders>
                  <w:vAlign w:val="center"/>
                </w:tcPr>
                <w:p w14:paraId="23D98E06">
                  <w:pPr>
                    <w:spacing w:line="228" w:lineRule="auto"/>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振动筛</w:t>
                  </w:r>
                </w:p>
              </w:tc>
              <w:tc>
                <w:tcPr>
                  <w:tcW w:w="450" w:type="pct"/>
                  <w:tcBorders>
                    <w:tl2br w:val="nil"/>
                    <w:tr2bl w:val="nil"/>
                  </w:tcBorders>
                  <w:vAlign w:val="center"/>
                </w:tcPr>
                <w:p w14:paraId="6C2A3E30">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85</w:t>
                  </w:r>
                </w:p>
              </w:tc>
              <w:tc>
                <w:tcPr>
                  <w:tcW w:w="513" w:type="pct"/>
                  <w:vMerge w:val="continue"/>
                  <w:tcBorders>
                    <w:tl2br w:val="nil"/>
                    <w:tr2bl w:val="nil"/>
                  </w:tcBorders>
                  <w:vAlign w:val="center"/>
                </w:tcPr>
                <w:p w14:paraId="2BA0B89E">
                  <w:pPr>
                    <w:jc w:val="center"/>
                    <w:rPr>
                      <w:rFonts w:eastAsia="宋体"/>
                      <w:color w:val="000000" w:themeColor="text1"/>
                      <w:sz w:val="21"/>
                      <w:szCs w:val="21"/>
                      <w14:textFill>
                        <w14:solidFill>
                          <w14:schemeClr w14:val="tx1"/>
                        </w14:solidFill>
                      </w14:textFill>
                    </w:rPr>
                  </w:pPr>
                </w:p>
              </w:tc>
              <w:tc>
                <w:tcPr>
                  <w:tcW w:w="302" w:type="pct"/>
                  <w:tcBorders>
                    <w:tl2br w:val="nil"/>
                    <w:tr2bl w:val="nil"/>
                  </w:tcBorders>
                  <w:vAlign w:val="center"/>
                </w:tcPr>
                <w:p w14:paraId="4FD73E91">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65</w:t>
                  </w:r>
                </w:p>
              </w:tc>
              <w:tc>
                <w:tcPr>
                  <w:tcW w:w="256" w:type="pct"/>
                  <w:tcBorders>
                    <w:tl2br w:val="nil"/>
                    <w:tr2bl w:val="nil"/>
                  </w:tcBorders>
                  <w:vAlign w:val="center"/>
                </w:tcPr>
                <w:p w14:paraId="0F883139">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190</w:t>
                  </w:r>
                </w:p>
              </w:tc>
              <w:tc>
                <w:tcPr>
                  <w:tcW w:w="245" w:type="pct"/>
                  <w:tcBorders>
                    <w:tl2br w:val="nil"/>
                    <w:tr2bl w:val="nil"/>
                  </w:tcBorders>
                  <w:vAlign w:val="center"/>
                </w:tcPr>
                <w:p w14:paraId="76D50470">
                  <w:pPr>
                    <w:jc w:val="center"/>
                    <w:rPr>
                      <w:rFonts w:eastAsia="宋体"/>
                      <w:color w:val="000000" w:themeColor="text1"/>
                      <w:sz w:val="21"/>
                      <w:szCs w:val="21"/>
                      <w14:textFill>
                        <w14:solidFill>
                          <w14:schemeClr w14:val="tx1"/>
                        </w14:solidFill>
                      </w14:textFill>
                    </w:rPr>
                  </w:pPr>
                  <w:r>
                    <w:rPr>
                      <w:rFonts w:eastAsia="宋体"/>
                      <w:color w:val="000000" w:themeColor="text1"/>
                      <w:sz w:val="21"/>
                      <w14:textFill>
                        <w14:solidFill>
                          <w14:schemeClr w14:val="tx1"/>
                        </w14:solidFill>
                      </w14:textFill>
                    </w:rPr>
                    <w:t>1.2</w:t>
                  </w:r>
                </w:p>
              </w:tc>
              <w:tc>
                <w:tcPr>
                  <w:tcW w:w="395" w:type="pct"/>
                  <w:tcBorders>
                    <w:tl2br w:val="nil"/>
                    <w:tr2bl w:val="nil"/>
                  </w:tcBorders>
                  <w:vAlign w:val="center"/>
                </w:tcPr>
                <w:p w14:paraId="65182762">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8</w:t>
                  </w:r>
                </w:p>
              </w:tc>
              <w:tc>
                <w:tcPr>
                  <w:tcW w:w="423" w:type="pct"/>
                  <w:tcBorders>
                    <w:tl2br w:val="nil"/>
                    <w:tr2bl w:val="nil"/>
                  </w:tcBorders>
                  <w:vAlign w:val="center"/>
                </w:tcPr>
                <w:p w14:paraId="6AABCD9D">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67</w:t>
                  </w:r>
                </w:p>
              </w:tc>
              <w:tc>
                <w:tcPr>
                  <w:tcW w:w="337" w:type="pct"/>
                  <w:tcBorders>
                    <w:tl2br w:val="nil"/>
                    <w:tr2bl w:val="nil"/>
                  </w:tcBorders>
                  <w:vAlign w:val="center"/>
                </w:tcPr>
                <w:p w14:paraId="5BFBF945">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昼、夜</w:t>
                  </w:r>
                </w:p>
              </w:tc>
              <w:tc>
                <w:tcPr>
                  <w:tcW w:w="423" w:type="pct"/>
                  <w:tcBorders>
                    <w:tl2br w:val="nil"/>
                    <w:tr2bl w:val="nil"/>
                  </w:tcBorders>
                  <w:vAlign w:val="center"/>
                </w:tcPr>
                <w:p w14:paraId="6C96A1DB">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25</w:t>
                  </w:r>
                </w:p>
              </w:tc>
              <w:tc>
                <w:tcPr>
                  <w:tcW w:w="438" w:type="pct"/>
                  <w:tcBorders>
                    <w:tl2br w:val="nil"/>
                    <w:tr2bl w:val="nil"/>
                  </w:tcBorders>
                  <w:vAlign w:val="center"/>
                </w:tcPr>
                <w:p w14:paraId="69CC4DE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42</w:t>
                  </w:r>
                </w:p>
              </w:tc>
              <w:tc>
                <w:tcPr>
                  <w:tcW w:w="416" w:type="pct"/>
                  <w:tcBorders>
                    <w:tl2br w:val="nil"/>
                    <w:tr2bl w:val="nil"/>
                  </w:tcBorders>
                  <w:vAlign w:val="center"/>
                </w:tcPr>
                <w:p w14:paraId="5DD6C1EF">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w:t>
                  </w:r>
                </w:p>
              </w:tc>
            </w:tr>
            <w:tr w14:paraId="53FA7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000" w:type="pct"/>
                  <w:gridSpan w:val="14"/>
                  <w:tcBorders>
                    <w:tl2br w:val="nil"/>
                    <w:tr2bl w:val="nil"/>
                  </w:tcBorders>
                  <w:vAlign w:val="center"/>
                </w:tcPr>
                <w:p w14:paraId="7FA765D4">
                  <w:pP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注：原点坐标为厂界西南角拐点</w:t>
                  </w:r>
                </w:p>
              </w:tc>
            </w:tr>
          </w:tbl>
          <w:p w14:paraId="5F3E24D9">
            <w:pPr>
              <w:pStyle w:val="17"/>
              <w:widowControl w:val="0"/>
              <w:snapToGrid/>
              <w:spacing w:before="0" w:after="0" w:line="360" w:lineRule="auto"/>
              <w:ind w:right="0" w:firstLine="482" w:firstLineChars="200"/>
              <w:rPr>
                <w:rFonts w:eastAsia="宋体"/>
                <w:b/>
                <w:color w:val="000000" w:themeColor="text1"/>
                <w:sz w:val="24"/>
                <w14:textFill>
                  <w14:solidFill>
                    <w14:schemeClr w14:val="tx1"/>
                  </w14:solidFill>
                </w14:textFill>
              </w:rPr>
            </w:pPr>
            <w:r>
              <w:rPr>
                <w:rFonts w:eastAsia="宋体"/>
                <w:b/>
                <w:color w:val="000000" w:themeColor="text1"/>
                <w:sz w:val="24"/>
                <w14:textFill>
                  <w14:solidFill>
                    <w14:schemeClr w14:val="tx1"/>
                  </w14:solidFill>
                </w14:textFill>
              </w:rPr>
              <w:t>2、噪声预测</w:t>
            </w:r>
          </w:p>
          <w:p w14:paraId="6E189356">
            <w:pPr>
              <w:spacing w:line="360" w:lineRule="auto"/>
              <w:ind w:firstLine="480"/>
              <w:jc w:val="left"/>
              <w:rPr>
                <w:rFonts w:eastAsia="宋体"/>
                <w:snapToGrid w:val="0"/>
                <w:color w:val="000000" w:themeColor="text1"/>
                <w:kern w:val="0"/>
                <w14:textFill>
                  <w14:solidFill>
                    <w14:schemeClr w14:val="tx1"/>
                  </w14:solidFill>
                </w14:textFill>
              </w:rPr>
            </w:pPr>
            <w:r>
              <w:rPr>
                <w:rFonts w:eastAsia="宋体"/>
                <w:snapToGrid w:val="0"/>
                <w:color w:val="000000" w:themeColor="text1"/>
                <w:kern w:val="0"/>
                <w14:textFill>
                  <w14:solidFill>
                    <w14:schemeClr w14:val="tx1"/>
                  </w14:solidFill>
                </w14:textFill>
              </w:rPr>
              <w:t>预测模式</w:t>
            </w:r>
          </w:p>
          <w:p w14:paraId="3FD949C5">
            <w:pPr>
              <w:spacing w:line="360" w:lineRule="auto"/>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根据《环境影响评价技术导则声环境》（HJ2.4-2021）的技术要求，本次评价采取导则上的推荐模式进行声环境影响预测。</w:t>
            </w:r>
          </w:p>
          <w:p w14:paraId="0DEFEA67">
            <w:pPr>
              <w:snapToGrid w:val="0"/>
              <w:spacing w:line="360" w:lineRule="auto"/>
              <w:ind w:firstLine="48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eastAsia="宋体"/>
                <w:color w:val="000000" w:themeColor="text1"/>
                <w14:textFill>
                  <w14:solidFill>
                    <w14:schemeClr w14:val="tx1"/>
                  </w14:solidFill>
                </w14:textFill>
              </w:rPr>
              <w:t>室内声源等效为室外声源</w:t>
            </w:r>
          </w:p>
          <w:p w14:paraId="4800311B">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Ⅰ、计算某一室内声源靠近围护结构处产生的倍频带声压级或A声级：</w:t>
            </w:r>
          </w:p>
          <w:p w14:paraId="4A68C1C8">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1647825" cy="419100"/>
                  <wp:effectExtent l="0" t="0" r="0" b="0"/>
                  <wp:docPr id="7"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647825" cy="419100"/>
                          </a:xfrm>
                          <a:prstGeom prst="rect">
                            <a:avLst/>
                          </a:prstGeom>
                          <a:noFill/>
                          <a:ln>
                            <a:noFill/>
                          </a:ln>
                        </pic:spPr>
                      </pic:pic>
                    </a:graphicData>
                  </a:graphic>
                </wp:inline>
              </w:drawing>
            </w:r>
          </w:p>
          <w:p w14:paraId="2FDF01DB">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式中：Q—指向性因数；通常对无指向性声源，当声源放在房间中心时，Q=1；当放在一面墙的中心时，Q=2；当放在两面墙夹角处时，Q=4；当放在三面墙夹角处时，Q=8。</w:t>
            </w:r>
          </w:p>
          <w:p w14:paraId="1956ED20">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R—房间常数；R=Sα/（1-α），S为房间内表面面积，m²；α为平均吸声系数。</w:t>
            </w:r>
          </w:p>
          <w:p w14:paraId="36D3B1CD">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r—声源到靠近围护结构某点处的距离，m。</w:t>
            </w:r>
          </w:p>
          <w:p w14:paraId="7258E2C1">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Ⅱ、所有室内声源在围护结构处产生的i倍频带叠加声压级：</w:t>
            </w:r>
          </w:p>
          <w:p w14:paraId="57000BC9">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1609725" cy="466725"/>
                  <wp:effectExtent l="0" t="0" r="0" b="0"/>
                  <wp:docPr id="8"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4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09725" cy="466725"/>
                          </a:xfrm>
                          <a:prstGeom prst="rect">
                            <a:avLst/>
                          </a:prstGeom>
                          <a:noFill/>
                          <a:ln>
                            <a:noFill/>
                          </a:ln>
                        </pic:spPr>
                      </pic:pic>
                    </a:graphicData>
                  </a:graphic>
                </wp:inline>
              </w:drawing>
            </w:r>
          </w:p>
          <w:p w14:paraId="37D0F9A8">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式中：L</w:t>
            </w:r>
            <w:r>
              <w:rPr>
                <w:rFonts w:eastAsia="宋体"/>
                <w:color w:val="000000" w:themeColor="text1"/>
                <w:vertAlign w:val="subscript"/>
                <w14:textFill>
                  <w14:solidFill>
                    <w14:schemeClr w14:val="tx1"/>
                  </w14:solidFill>
                </w14:textFill>
              </w:rPr>
              <w:t>P1i</w:t>
            </w:r>
            <w:r>
              <w:rPr>
                <w:rFonts w:eastAsia="宋体"/>
                <w:color w:val="000000" w:themeColor="text1"/>
                <w14:textFill>
                  <w14:solidFill>
                    <w14:schemeClr w14:val="tx1"/>
                  </w14:solidFill>
                </w14:textFill>
              </w:rPr>
              <w:t>(T)—靠近围护结构处室内n个声源i倍频带的叠加声压级，dB；</w:t>
            </w:r>
          </w:p>
          <w:p w14:paraId="6706817D">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L</w:t>
            </w:r>
            <w:r>
              <w:rPr>
                <w:rFonts w:eastAsia="宋体"/>
                <w:color w:val="000000" w:themeColor="text1"/>
                <w:vertAlign w:val="subscript"/>
                <w14:textFill>
                  <w14:solidFill>
                    <w14:schemeClr w14:val="tx1"/>
                  </w14:solidFill>
                </w14:textFill>
              </w:rPr>
              <w:t>P1ij</w:t>
            </w:r>
            <w:r>
              <w:rPr>
                <w:rFonts w:eastAsia="宋体"/>
                <w:color w:val="000000" w:themeColor="text1"/>
                <w14:textFill>
                  <w14:solidFill>
                    <w14:schemeClr w14:val="tx1"/>
                  </w14:solidFill>
                </w14:textFill>
              </w:rPr>
              <w:t>—室内j声源i倍频带的声压级，dB；</w:t>
            </w:r>
          </w:p>
          <w:p w14:paraId="7FA281FB">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n—室内声源总数。</w:t>
            </w:r>
          </w:p>
          <w:p w14:paraId="186177C4">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Ⅲ、在室内近似为扩散声场时，计算出靠近室外围护结构处声压级：</w:t>
            </w:r>
          </w:p>
          <w:p w14:paraId="6E3C5E29">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1647825" cy="238125"/>
                  <wp:effectExtent l="0" t="0" r="0" b="0"/>
                  <wp:docPr id="9"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647825" cy="238125"/>
                          </a:xfrm>
                          <a:prstGeom prst="rect">
                            <a:avLst/>
                          </a:prstGeom>
                          <a:noFill/>
                          <a:ln>
                            <a:noFill/>
                          </a:ln>
                        </pic:spPr>
                      </pic:pic>
                    </a:graphicData>
                  </a:graphic>
                </wp:inline>
              </w:drawing>
            </w:r>
          </w:p>
          <w:p w14:paraId="1CF5416F">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式中：L</w:t>
            </w:r>
            <w:r>
              <w:rPr>
                <w:rFonts w:eastAsia="宋体"/>
                <w:color w:val="000000" w:themeColor="text1"/>
                <w:vertAlign w:val="subscript"/>
                <w14:textFill>
                  <w14:solidFill>
                    <w14:schemeClr w14:val="tx1"/>
                  </w14:solidFill>
                </w14:textFill>
              </w:rPr>
              <w:t>P2i</w:t>
            </w:r>
            <w:r>
              <w:rPr>
                <w:rFonts w:eastAsia="宋体"/>
                <w:color w:val="000000" w:themeColor="text1"/>
                <w14:textFill>
                  <w14:solidFill>
                    <w14:schemeClr w14:val="tx1"/>
                  </w14:solidFill>
                </w14:textFill>
              </w:rPr>
              <w:t>(T)—靠近围护结构处室外n个声源i倍频带的叠加声压级，dB；</w:t>
            </w:r>
          </w:p>
          <w:p w14:paraId="07DC0097">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L</w:t>
            </w:r>
            <w:r>
              <w:rPr>
                <w:rFonts w:eastAsia="宋体"/>
                <w:color w:val="000000" w:themeColor="text1"/>
                <w:vertAlign w:val="subscript"/>
                <w14:textFill>
                  <w14:solidFill>
                    <w14:schemeClr w14:val="tx1"/>
                  </w14:solidFill>
                </w14:textFill>
              </w:rPr>
              <w:t>P1i</w:t>
            </w:r>
            <w:r>
              <w:rPr>
                <w:rFonts w:eastAsia="宋体"/>
                <w:color w:val="000000" w:themeColor="text1"/>
                <w14:textFill>
                  <w14:solidFill>
                    <w14:schemeClr w14:val="tx1"/>
                  </w14:solidFill>
                </w14:textFill>
              </w:rPr>
              <w:t>(T)—靠近围护结构处室内n个声源i倍频带的叠加声压级，dB；</w:t>
            </w:r>
          </w:p>
          <w:p w14:paraId="1E0F5C5A">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TL</w:t>
            </w:r>
            <w:r>
              <w:rPr>
                <w:rFonts w:eastAsia="宋体"/>
                <w:color w:val="000000" w:themeColor="text1"/>
                <w:vertAlign w:val="subscript"/>
                <w14:textFill>
                  <w14:solidFill>
                    <w14:schemeClr w14:val="tx1"/>
                  </w14:solidFill>
                </w14:textFill>
              </w:rPr>
              <w:t>i</w:t>
            </w:r>
            <w:r>
              <w:rPr>
                <w:rFonts w:eastAsia="宋体"/>
                <w:color w:val="000000" w:themeColor="text1"/>
                <w14:textFill>
                  <w14:solidFill>
                    <w14:schemeClr w14:val="tx1"/>
                  </w14:solidFill>
                </w14:textFill>
              </w:rPr>
              <w:t>—围护结构i倍频带的隔声量，dB。</w:t>
            </w:r>
          </w:p>
          <w:p w14:paraId="4E56A4B6">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Ⅳ、将室外声源的声压级和透过面积换算成等效的室外声源，计算出中心位置位于透声面积（S）处的等效声源的倍频带声功率级。</w:t>
            </w:r>
          </w:p>
          <w:p w14:paraId="6CF9C6E9">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1476375" cy="238125"/>
                  <wp:effectExtent l="0" t="0" r="0" b="0"/>
                  <wp:docPr id="10"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76375" cy="238125"/>
                          </a:xfrm>
                          <a:prstGeom prst="rect">
                            <a:avLst/>
                          </a:prstGeom>
                          <a:noFill/>
                          <a:ln>
                            <a:noFill/>
                          </a:ln>
                        </pic:spPr>
                      </pic:pic>
                    </a:graphicData>
                  </a:graphic>
                </wp:inline>
              </w:drawing>
            </w:r>
          </w:p>
          <w:p w14:paraId="4550CEF5">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L</w:t>
            </w:r>
            <w:r>
              <w:rPr>
                <w:rFonts w:eastAsia="宋体"/>
                <w:color w:val="000000" w:themeColor="text1"/>
                <w:vertAlign w:val="subscript"/>
                <w14:textFill>
                  <w14:solidFill>
                    <w14:schemeClr w14:val="tx1"/>
                  </w14:solidFill>
                </w14:textFill>
              </w:rPr>
              <w:t>i</w:t>
            </w:r>
            <w:r>
              <w:rPr>
                <w:rFonts w:eastAsia="宋体"/>
                <w:color w:val="000000" w:themeColor="text1"/>
                <w14:textFill>
                  <w14:solidFill>
                    <w14:schemeClr w14:val="tx1"/>
                  </w14:solidFill>
                </w14:textFill>
              </w:rPr>
              <w:t>—中心位置位于透声面积（S）处的等效声源的倍频带声功率级，dB；</w:t>
            </w:r>
          </w:p>
          <w:p w14:paraId="48205FA6">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L</w:t>
            </w:r>
            <w:r>
              <w:rPr>
                <w:rFonts w:eastAsia="宋体"/>
                <w:color w:val="000000" w:themeColor="text1"/>
                <w:vertAlign w:val="subscript"/>
                <w14:textFill>
                  <w14:solidFill>
                    <w14:schemeClr w14:val="tx1"/>
                  </w14:solidFill>
                </w14:textFill>
              </w:rPr>
              <w:t>P2i</w:t>
            </w:r>
            <w:r>
              <w:rPr>
                <w:rFonts w:eastAsia="宋体"/>
                <w:color w:val="000000" w:themeColor="text1"/>
                <w14:textFill>
                  <w14:solidFill>
                    <w14:schemeClr w14:val="tx1"/>
                  </w14:solidFill>
                </w14:textFill>
              </w:rPr>
              <w:t>(T)—靠近围护结构处室外声源的声压级，dB。</w:t>
            </w:r>
          </w:p>
          <w:p w14:paraId="1D024A8F">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S—透声面积，m²。</w:t>
            </w:r>
          </w:p>
          <w:p w14:paraId="7BF30EF6">
            <w:pPr>
              <w:snapToGrid w:val="0"/>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eastAsia="宋体"/>
                <w:color w:val="000000" w:themeColor="text1"/>
                <w14:textFill>
                  <w14:solidFill>
                    <w14:schemeClr w14:val="tx1"/>
                  </w14:solidFill>
                </w14:textFill>
              </w:rPr>
              <w:t>室外声源衰减计算</w:t>
            </w:r>
          </w:p>
          <w:p w14:paraId="3691EA5B">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Ⅰ、声级计算</w:t>
            </w:r>
          </w:p>
          <w:p w14:paraId="16D8699F">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声源在预测点产生的等效声级贡献值(Leqg)计算公式：</w:t>
            </w:r>
          </w:p>
          <w:p w14:paraId="0758B3F5">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714625" cy="552450"/>
                  <wp:effectExtent l="0" t="0" r="0" b="0"/>
                  <wp:docPr id="11" name="图片 148" descr="C:\Users\Administrator\Desktop\微信截图_20220630161536.png微信截图_2022063016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48" descr="C:\Users\Administrator\Desktop\微信截图_20220630161536.png微信截图_202206301615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4625" cy="552450"/>
                          </a:xfrm>
                          <a:prstGeom prst="rect">
                            <a:avLst/>
                          </a:prstGeom>
                          <a:noFill/>
                          <a:ln>
                            <a:noFill/>
                          </a:ln>
                        </pic:spPr>
                      </pic:pic>
                    </a:graphicData>
                  </a:graphic>
                </wp:inline>
              </w:drawing>
            </w:r>
          </w:p>
          <w:p w14:paraId="70FC8482">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w:t>
            </w:r>
            <w:r>
              <w:rPr>
                <w:rFonts w:eastAsia="宋体"/>
                <w:color w:val="000000" w:themeColor="text1"/>
                <w14:textFill>
                  <w14:solidFill>
                    <w14:schemeClr w14:val="tx1"/>
                  </w14:solidFill>
                </w14:textFill>
              </w:rPr>
              <w:drawing>
                <wp:inline distT="0" distB="0" distL="0" distR="0">
                  <wp:extent cx="266700" cy="238125"/>
                  <wp:effectExtent l="0" t="0" r="0" b="0"/>
                  <wp:docPr id="12"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66700" cy="238125"/>
                          </a:xfrm>
                          <a:prstGeom prst="rect">
                            <a:avLst/>
                          </a:prstGeom>
                          <a:noFill/>
                          <a:ln>
                            <a:noFill/>
                          </a:ln>
                        </pic:spPr>
                      </pic:pic>
                    </a:graphicData>
                  </a:graphic>
                </wp:inline>
              </w:drawing>
            </w:r>
            <w:r>
              <w:rPr>
                <w:rFonts w:eastAsia="宋体"/>
                <w:color w:val="000000" w:themeColor="text1"/>
                <w14:textFill>
                  <w14:solidFill>
                    <w14:schemeClr w14:val="tx1"/>
                  </w14:solidFill>
                </w14:textFill>
              </w:rPr>
              <w:t>—建设项目声源在预测点的等效声级贡献值，dB(A)；</w:t>
            </w:r>
          </w:p>
          <w:p w14:paraId="22746C82">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28600" cy="219075"/>
                  <wp:effectExtent l="0" t="0" r="0" b="0"/>
                  <wp:docPr id="13"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8600" cy="219075"/>
                          </a:xfrm>
                          <a:prstGeom prst="rect">
                            <a:avLst/>
                          </a:prstGeom>
                          <a:noFill/>
                          <a:ln>
                            <a:noFill/>
                          </a:ln>
                        </pic:spPr>
                      </pic:pic>
                    </a:graphicData>
                  </a:graphic>
                </wp:inline>
              </w:drawing>
            </w:r>
            <w:r>
              <w:rPr>
                <w:rFonts w:eastAsia="宋体"/>
                <w:color w:val="000000" w:themeColor="text1"/>
                <w14:textFill>
                  <w14:solidFill>
                    <w14:schemeClr w14:val="tx1"/>
                  </w14:solidFill>
                </w14:textFill>
              </w:rPr>
              <w:t>—i声源在预测点产生的A声级，dB(A)；</w:t>
            </w:r>
          </w:p>
          <w:p w14:paraId="677385AD">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T—预测计算的时间段，s；</w:t>
            </w:r>
          </w:p>
          <w:p w14:paraId="55DC1E81">
            <w:pPr>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142875" cy="219075"/>
                  <wp:effectExtent l="0" t="0" r="0" b="0"/>
                  <wp:docPr id="14"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42875" cy="219075"/>
                          </a:xfrm>
                          <a:prstGeom prst="rect">
                            <a:avLst/>
                          </a:prstGeom>
                          <a:noFill/>
                          <a:ln>
                            <a:noFill/>
                          </a:ln>
                        </pic:spPr>
                      </pic:pic>
                    </a:graphicData>
                  </a:graphic>
                </wp:inline>
              </w:drawing>
            </w:r>
            <w:r>
              <w:rPr>
                <w:rFonts w:eastAsia="宋体"/>
                <w:color w:val="000000" w:themeColor="text1"/>
                <w14:textFill>
                  <w14:solidFill>
                    <w14:schemeClr w14:val="tx1"/>
                  </w14:solidFill>
                </w14:textFill>
              </w:rPr>
              <w:t>—i声源在T时段内的运行时间，s。</w:t>
            </w:r>
          </w:p>
          <w:p w14:paraId="788B20D6">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Ⅲ、户外声传播衰减计算</w:t>
            </w:r>
          </w:p>
          <w:p w14:paraId="0C77BA1D">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户外声传播衰减包括几何发散(Adiv)、大气吸收(Aatm)、地面效应(Agr)、屏障屏蔽(Abar)、其他多方面效应(Amisc)引起的衰减。</w:t>
            </w:r>
          </w:p>
          <w:p w14:paraId="682BB47D">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距声源点r处的A声级按下式计算：</w:t>
            </w:r>
          </w:p>
          <w:p w14:paraId="6FB803F6">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790825" cy="238125"/>
                  <wp:effectExtent l="0" t="0" r="0" b="0"/>
                  <wp:docPr id="15"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790825" cy="238125"/>
                          </a:xfrm>
                          <a:prstGeom prst="rect">
                            <a:avLst/>
                          </a:prstGeom>
                          <a:noFill/>
                          <a:ln>
                            <a:noFill/>
                          </a:ln>
                        </pic:spPr>
                      </pic:pic>
                    </a:graphicData>
                  </a:graphic>
                </wp:inline>
              </w:drawing>
            </w:r>
          </w:p>
          <w:p w14:paraId="017CEB6F">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式中：</w:t>
            </w:r>
            <w:r>
              <w:rPr>
                <w:rFonts w:eastAsia="宋体"/>
                <w:color w:val="000000" w:themeColor="text1"/>
                <w14:textFill>
                  <w14:solidFill>
                    <w14:schemeClr w14:val="tx1"/>
                  </w14:solidFill>
                </w14:textFill>
              </w:rPr>
              <w:drawing>
                <wp:inline distT="0" distB="0" distL="0" distR="0">
                  <wp:extent cx="304800" cy="238125"/>
                  <wp:effectExtent l="0" t="0" r="0" b="0"/>
                  <wp:docPr id="16"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4800" cy="238125"/>
                          </a:xfrm>
                          <a:prstGeom prst="rect">
                            <a:avLst/>
                          </a:prstGeom>
                          <a:noFill/>
                          <a:ln>
                            <a:noFill/>
                          </a:ln>
                        </pic:spPr>
                      </pic:pic>
                    </a:graphicData>
                  </a:graphic>
                </wp:inline>
              </w:drawing>
            </w:r>
            <w:r>
              <w:rPr>
                <w:rFonts w:eastAsia="宋体"/>
                <w:color w:val="000000" w:themeColor="text1"/>
                <w14:textFill>
                  <w14:solidFill>
                    <w14:schemeClr w14:val="tx1"/>
                  </w14:solidFill>
                </w14:textFill>
              </w:rPr>
              <w:t>—距声源r处的A声级；</w:t>
            </w:r>
          </w:p>
          <w:p w14:paraId="3060A691">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352425" cy="238125"/>
                  <wp:effectExtent l="0" t="0" r="0" b="0"/>
                  <wp:docPr id="17"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5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rFonts w:eastAsia="宋体"/>
                <w:color w:val="000000" w:themeColor="text1"/>
                <w14:textFill>
                  <w14:solidFill>
                    <w14:schemeClr w14:val="tx1"/>
                  </w14:solidFill>
                </w14:textFill>
              </w:rPr>
              <w:t>—参考位置r</w:t>
            </w:r>
            <w:r>
              <w:rPr>
                <w:rFonts w:eastAsia="宋体"/>
                <w:color w:val="000000" w:themeColor="text1"/>
                <w:vertAlign w:val="subscript"/>
                <w14:textFill>
                  <w14:solidFill>
                    <w14:schemeClr w14:val="tx1"/>
                  </w14:solidFill>
                </w14:textFill>
              </w:rPr>
              <w:t>0</w:t>
            </w:r>
            <w:r>
              <w:rPr>
                <w:rFonts w:eastAsia="宋体"/>
                <w:color w:val="000000" w:themeColor="text1"/>
                <w14:textFill>
                  <w14:solidFill>
                    <w14:schemeClr w14:val="tx1"/>
                  </w14:solidFill>
                </w14:textFill>
              </w:rPr>
              <w:t>处的A声级；</w:t>
            </w:r>
          </w:p>
          <w:p w14:paraId="06E2C6B9">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57175" cy="228600"/>
                  <wp:effectExtent l="0" t="0" r="0" b="0"/>
                  <wp:docPr id="18"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57175" cy="228600"/>
                          </a:xfrm>
                          <a:prstGeom prst="rect">
                            <a:avLst/>
                          </a:prstGeom>
                          <a:noFill/>
                          <a:ln>
                            <a:noFill/>
                          </a:ln>
                        </pic:spPr>
                      </pic:pic>
                    </a:graphicData>
                  </a:graphic>
                </wp:inline>
              </w:drawing>
            </w:r>
            <w:r>
              <w:rPr>
                <w:rFonts w:eastAsia="宋体"/>
                <w:color w:val="000000" w:themeColor="text1"/>
                <w14:textFill>
                  <w14:solidFill>
                    <w14:schemeClr w14:val="tx1"/>
                  </w14:solidFill>
                </w14:textFill>
              </w:rPr>
              <w:t>—几何发散引起的倍频带衰减；</w:t>
            </w:r>
          </w:p>
          <w:p w14:paraId="44EE4F1B">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76225" cy="228600"/>
                  <wp:effectExtent l="0" t="0" r="0" b="0"/>
                  <wp:docPr id="19"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76225" cy="228600"/>
                          </a:xfrm>
                          <a:prstGeom prst="rect">
                            <a:avLst/>
                          </a:prstGeom>
                          <a:noFill/>
                          <a:ln>
                            <a:noFill/>
                          </a:ln>
                        </pic:spPr>
                      </pic:pic>
                    </a:graphicData>
                  </a:graphic>
                </wp:inline>
              </w:drawing>
            </w:r>
            <w:r>
              <w:rPr>
                <w:rFonts w:eastAsia="宋体"/>
                <w:color w:val="000000" w:themeColor="text1"/>
                <w14:textFill>
                  <w14:solidFill>
                    <w14:schemeClr w14:val="tx1"/>
                  </w14:solidFill>
                </w14:textFill>
              </w:rPr>
              <w:t>—大气吸收引起的倍频带衰减；</w:t>
            </w:r>
          </w:p>
          <w:p w14:paraId="055DA13B">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66700" cy="228600"/>
                  <wp:effectExtent l="0" t="0" r="0" b="0"/>
                  <wp:docPr id="20"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66700" cy="228600"/>
                          </a:xfrm>
                          <a:prstGeom prst="rect">
                            <a:avLst/>
                          </a:prstGeom>
                          <a:noFill/>
                          <a:ln>
                            <a:noFill/>
                          </a:ln>
                        </pic:spPr>
                      </pic:pic>
                    </a:graphicData>
                  </a:graphic>
                </wp:inline>
              </w:drawing>
            </w:r>
            <w:r>
              <w:rPr>
                <w:rFonts w:eastAsia="宋体"/>
                <w:color w:val="000000" w:themeColor="text1"/>
                <w14:textFill>
                  <w14:solidFill>
                    <w14:schemeClr w14:val="tx1"/>
                  </w14:solidFill>
                </w14:textFill>
              </w:rPr>
              <w:t>—屏障屏蔽引起的倍频带衰减；</w:t>
            </w:r>
          </w:p>
          <w:p w14:paraId="73FF0B21">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228600" cy="238125"/>
                  <wp:effectExtent l="0" t="0" r="0" b="0"/>
                  <wp:docPr id="21"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8600" cy="238125"/>
                          </a:xfrm>
                          <a:prstGeom prst="rect">
                            <a:avLst/>
                          </a:prstGeom>
                          <a:noFill/>
                          <a:ln>
                            <a:noFill/>
                          </a:ln>
                        </pic:spPr>
                      </pic:pic>
                    </a:graphicData>
                  </a:graphic>
                </wp:inline>
              </w:drawing>
            </w:r>
            <w:r>
              <w:rPr>
                <w:rFonts w:eastAsia="宋体"/>
                <w:color w:val="000000" w:themeColor="text1"/>
                <w14:textFill>
                  <w14:solidFill>
                    <w14:schemeClr w14:val="tx1"/>
                  </w14:solidFill>
                </w14:textFill>
              </w:rPr>
              <w:t>—地面效应引起的倍频带衰减；</w:t>
            </w:r>
          </w:p>
          <w:p w14:paraId="1A5AE1C2">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drawing>
                <wp:inline distT="0" distB="0" distL="0" distR="0">
                  <wp:extent cx="304800" cy="228600"/>
                  <wp:effectExtent l="0" t="0" r="0" b="0"/>
                  <wp:docPr id="22"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4800" cy="228600"/>
                          </a:xfrm>
                          <a:prstGeom prst="rect">
                            <a:avLst/>
                          </a:prstGeom>
                          <a:noFill/>
                          <a:ln>
                            <a:noFill/>
                          </a:ln>
                        </pic:spPr>
                      </pic:pic>
                    </a:graphicData>
                  </a:graphic>
                </wp:inline>
              </w:drawing>
            </w:r>
            <w:r>
              <w:rPr>
                <w:rFonts w:eastAsia="宋体"/>
                <w:color w:val="000000" w:themeColor="text1"/>
                <w14:textFill>
                  <w14:solidFill>
                    <w14:schemeClr w14:val="tx1"/>
                  </w14:solidFill>
                </w14:textFill>
              </w:rPr>
              <w:t>—其他多方面效应引起的倍频带衰减。</w:t>
            </w:r>
          </w:p>
          <w:p w14:paraId="2B939131">
            <w:pPr>
              <w:spacing w:line="360" w:lineRule="auto"/>
              <w:ind w:firstLine="48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⑶</w:t>
            </w:r>
            <w:r>
              <w:rPr>
                <w:rFonts w:eastAsia="宋体"/>
                <w:color w:val="000000" w:themeColor="text1"/>
                <w14:textFill>
                  <w14:solidFill>
                    <w14:schemeClr w14:val="tx1"/>
                  </w14:solidFill>
                </w14:textFill>
              </w:rPr>
              <w:t>声环境影响预测步骤</w:t>
            </w:r>
          </w:p>
          <w:p w14:paraId="5735C3BD">
            <w:pPr>
              <w:spacing w:line="360" w:lineRule="auto"/>
              <w:ind w:firstLine="48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eastAsia="宋体"/>
                <w:color w:val="000000" w:themeColor="text1"/>
                <w14:textFill>
                  <w14:solidFill>
                    <w14:schemeClr w14:val="tx1"/>
                  </w14:solidFill>
                </w14:textFill>
              </w:rPr>
              <w:t>建立坐标系，确定各声源坐标和预测点坐标，并根据声源性质以及预测点与声源之间的距离等情况，把声源简化成点声源，或线声源，或面声源。</w:t>
            </w:r>
          </w:p>
          <w:p w14:paraId="44A319AE">
            <w:pPr>
              <w:spacing w:line="360" w:lineRule="auto"/>
              <w:ind w:firstLine="48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eastAsia="宋体"/>
                <w:color w:val="000000" w:themeColor="text1"/>
                <w14:textFill>
                  <w14:solidFill>
                    <w14:schemeClr w14:val="tx1"/>
                  </w14:solidFill>
                </w14:textFill>
              </w:rPr>
              <w:t>根据已获得的声源源强的数据和各声源到预测点的声波传播条件资料，计算出噪声从各声源传播到预测点的声衰减量，由此计算出各声源单独作用在预测点时产生的A声级（L</w:t>
            </w:r>
            <w:r>
              <w:rPr>
                <w:rFonts w:eastAsia="宋体"/>
                <w:color w:val="000000" w:themeColor="text1"/>
                <w:vertAlign w:val="subscript"/>
                <w14:textFill>
                  <w14:solidFill>
                    <w14:schemeClr w14:val="tx1"/>
                  </w14:solidFill>
                </w14:textFill>
              </w:rPr>
              <w:t>Ai）</w:t>
            </w:r>
            <w:r>
              <w:rPr>
                <w:rFonts w:eastAsia="宋体"/>
                <w:color w:val="000000" w:themeColor="text1"/>
                <w14:textFill>
                  <w14:solidFill>
                    <w14:schemeClr w14:val="tx1"/>
                  </w14:solidFill>
                </w14:textFill>
              </w:rPr>
              <w:t>或等效感觉噪声级（L</w:t>
            </w:r>
            <w:r>
              <w:rPr>
                <w:rFonts w:eastAsia="宋体"/>
                <w:color w:val="000000" w:themeColor="text1"/>
                <w:vertAlign w:val="subscript"/>
                <w14:textFill>
                  <w14:solidFill>
                    <w14:schemeClr w14:val="tx1"/>
                  </w14:solidFill>
                </w14:textFill>
              </w:rPr>
              <w:t>EPN</w:t>
            </w:r>
            <w:r>
              <w:rPr>
                <w:rFonts w:eastAsia="宋体"/>
                <w:color w:val="000000" w:themeColor="text1"/>
                <w14:textFill>
                  <w14:solidFill>
                    <w14:schemeClr w14:val="tx1"/>
                  </w14:solidFill>
                </w14:textFill>
              </w:rPr>
              <w:t>）。</w:t>
            </w:r>
          </w:p>
          <w:p w14:paraId="401CF0E4">
            <w:pPr>
              <w:adjustRightInd w:val="0"/>
              <w:spacing w:line="360" w:lineRule="auto"/>
              <w:ind w:firstLine="480"/>
              <w:rPr>
                <w:rFonts w:eastAsia="宋体"/>
                <w:bCs/>
                <w:color w:val="000000" w:themeColor="text1"/>
                <w14:textFill>
                  <w14:solidFill>
                    <w14:schemeClr w14:val="tx1"/>
                  </w14:solidFill>
                </w14:textFill>
              </w:rPr>
            </w:pPr>
            <w:bookmarkStart w:id="14" w:name="_Toc13661"/>
            <w:bookmarkStart w:id="15" w:name="_Toc18294"/>
            <w:r>
              <w:rPr>
                <w:rFonts w:hint="eastAsia" w:ascii="宋体" w:hAnsi="宋体" w:eastAsia="宋体" w:cs="宋体"/>
                <w:bCs/>
                <w:color w:val="000000" w:themeColor="text1"/>
                <w14:textFill>
                  <w14:solidFill>
                    <w14:schemeClr w14:val="tx1"/>
                  </w14:solidFill>
                </w14:textFill>
              </w:rPr>
              <w:t>⑷</w:t>
            </w:r>
            <w:r>
              <w:rPr>
                <w:rFonts w:eastAsia="宋体"/>
                <w:bCs/>
                <w:color w:val="000000" w:themeColor="text1"/>
                <w14:textFill>
                  <w14:solidFill>
                    <w14:schemeClr w14:val="tx1"/>
                  </w14:solidFill>
                </w14:textFill>
              </w:rPr>
              <w:t>噪声预测结果与影响分析</w:t>
            </w:r>
            <w:bookmarkEnd w:id="14"/>
            <w:bookmarkEnd w:id="15"/>
          </w:p>
          <w:p w14:paraId="31523C03">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噪声在室外空间的传播，由于受到遮挡物的隔断，各种介质的吸收与反射，以及空气介质的吸收等物理作用而逐渐减弱。</w:t>
            </w:r>
          </w:p>
          <w:p w14:paraId="3AD5091F">
            <w:pPr>
              <w:adjustRightInd w:val="0"/>
              <w:spacing w:line="360" w:lineRule="auto"/>
              <w:ind w:firstLine="48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本项目各预测点昼、夜间的噪声预测值分别见下表。</w:t>
            </w:r>
          </w:p>
          <w:p w14:paraId="19CBAF6C">
            <w:pPr>
              <w:adjustRightInd w:val="0"/>
              <w:snapToGrid w:val="0"/>
              <w:ind w:firstLine="482" w:firstLineChars="200"/>
              <w:jc w:val="left"/>
              <w:rPr>
                <w:rFonts w:eastAsia="宋体"/>
                <w:b/>
                <w:bCs/>
                <w:snapToGrid w:val="0"/>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表4-8            厂界噪声预测结果分析表          单位：dB（A）</w:t>
            </w:r>
          </w:p>
          <w:tbl>
            <w:tblPr>
              <w:tblStyle w:val="36"/>
              <w:tblW w:w="8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931"/>
              <w:gridCol w:w="1657"/>
              <w:gridCol w:w="2007"/>
              <w:gridCol w:w="2008"/>
            </w:tblGrid>
            <w:tr w14:paraId="27312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dxa"/>
                  <w:tcBorders>
                    <w:tl2br w:val="nil"/>
                    <w:tr2bl w:val="nil"/>
                  </w:tcBorders>
                  <w:vAlign w:val="center"/>
                </w:tcPr>
                <w:p w14:paraId="36158ED0">
                  <w:pPr>
                    <w:jc w:val="center"/>
                    <w:rPr>
                      <w:rFonts w:eastAsia="宋体"/>
                      <w:b/>
                      <w:color w:val="000000" w:themeColor="text1"/>
                      <w:spacing w:val="-10"/>
                      <w:sz w:val="21"/>
                      <w:szCs w:val="21"/>
                      <w14:textFill>
                        <w14:solidFill>
                          <w14:schemeClr w14:val="tx1"/>
                        </w14:solidFill>
                      </w14:textFill>
                    </w:rPr>
                  </w:pPr>
                  <w:r>
                    <w:rPr>
                      <w:rFonts w:eastAsia="宋体"/>
                      <w:b/>
                      <w:color w:val="000000" w:themeColor="text1"/>
                      <w:spacing w:val="-10"/>
                      <w:sz w:val="21"/>
                      <w:szCs w:val="21"/>
                      <w14:textFill>
                        <w14:solidFill>
                          <w14:schemeClr w14:val="tx1"/>
                        </w14:solidFill>
                      </w14:textFill>
                    </w:rPr>
                    <w:t>序号</w:t>
                  </w:r>
                </w:p>
              </w:tc>
              <w:tc>
                <w:tcPr>
                  <w:tcW w:w="1918" w:type="dxa"/>
                  <w:tcBorders>
                    <w:tl2br w:val="nil"/>
                    <w:tr2bl w:val="nil"/>
                  </w:tcBorders>
                  <w:vAlign w:val="center"/>
                </w:tcPr>
                <w:p w14:paraId="74148D76">
                  <w:pPr>
                    <w:jc w:val="center"/>
                    <w:rPr>
                      <w:rFonts w:eastAsia="宋体"/>
                      <w:b/>
                      <w:color w:val="000000" w:themeColor="text1"/>
                      <w:spacing w:val="-10"/>
                      <w:sz w:val="21"/>
                      <w:szCs w:val="21"/>
                      <w14:textFill>
                        <w14:solidFill>
                          <w14:schemeClr w14:val="tx1"/>
                        </w14:solidFill>
                      </w14:textFill>
                    </w:rPr>
                  </w:pPr>
                  <w:r>
                    <w:rPr>
                      <w:rFonts w:eastAsia="宋体"/>
                      <w:b/>
                      <w:color w:val="000000" w:themeColor="text1"/>
                      <w:spacing w:val="-10"/>
                      <w:sz w:val="21"/>
                      <w:szCs w:val="21"/>
                      <w14:textFill>
                        <w14:solidFill>
                          <w14:schemeClr w14:val="tx1"/>
                        </w14:solidFill>
                      </w14:textFill>
                    </w:rPr>
                    <w:t>位置</w:t>
                  </w:r>
                </w:p>
              </w:tc>
              <w:tc>
                <w:tcPr>
                  <w:tcW w:w="1646" w:type="dxa"/>
                  <w:tcBorders>
                    <w:tl2br w:val="nil"/>
                    <w:tr2bl w:val="nil"/>
                  </w:tcBorders>
                  <w:vAlign w:val="center"/>
                </w:tcPr>
                <w:p w14:paraId="5383E825">
                  <w:pPr>
                    <w:jc w:val="center"/>
                    <w:rPr>
                      <w:rFonts w:eastAsia="宋体"/>
                      <w:b/>
                      <w:color w:val="000000" w:themeColor="text1"/>
                      <w:spacing w:val="-10"/>
                      <w:sz w:val="21"/>
                      <w:szCs w:val="21"/>
                      <w14:textFill>
                        <w14:solidFill>
                          <w14:schemeClr w14:val="tx1"/>
                        </w14:solidFill>
                      </w14:textFill>
                    </w:rPr>
                  </w:pPr>
                  <w:r>
                    <w:rPr>
                      <w:rFonts w:eastAsia="宋体"/>
                      <w:b/>
                      <w:color w:val="000000" w:themeColor="text1"/>
                      <w:spacing w:val="-10"/>
                      <w:sz w:val="21"/>
                      <w:szCs w:val="21"/>
                      <w14:textFill>
                        <w14:solidFill>
                          <w14:schemeClr w14:val="tx1"/>
                        </w14:solidFill>
                      </w14:textFill>
                    </w:rPr>
                    <w:t>贡献值（dB（A））</w:t>
                  </w:r>
                </w:p>
              </w:tc>
              <w:tc>
                <w:tcPr>
                  <w:tcW w:w="1994" w:type="dxa"/>
                  <w:tcBorders>
                    <w:tl2br w:val="nil"/>
                    <w:tr2bl w:val="nil"/>
                  </w:tcBorders>
                  <w:vAlign w:val="center"/>
                </w:tcPr>
                <w:p w14:paraId="066DAC16">
                  <w:pPr>
                    <w:jc w:val="center"/>
                    <w:rPr>
                      <w:rFonts w:eastAsia="宋体"/>
                      <w:b/>
                      <w:color w:val="000000" w:themeColor="text1"/>
                      <w:spacing w:val="-10"/>
                      <w:sz w:val="21"/>
                      <w:szCs w:val="21"/>
                      <w14:textFill>
                        <w14:solidFill>
                          <w14:schemeClr w14:val="tx1"/>
                        </w14:solidFill>
                      </w14:textFill>
                    </w:rPr>
                  </w:pPr>
                  <w:r>
                    <w:rPr>
                      <w:rFonts w:eastAsia="宋体"/>
                      <w:b/>
                      <w:color w:val="000000" w:themeColor="text1"/>
                      <w:spacing w:val="-10"/>
                      <w:sz w:val="21"/>
                      <w:szCs w:val="21"/>
                      <w14:textFill>
                        <w14:solidFill>
                          <w14:schemeClr w14:val="tx1"/>
                        </w14:solidFill>
                      </w14:textFill>
                    </w:rPr>
                    <w:t>标准值（dB（A））</w:t>
                  </w:r>
                </w:p>
              </w:tc>
              <w:tc>
                <w:tcPr>
                  <w:tcW w:w="1995" w:type="dxa"/>
                  <w:tcBorders>
                    <w:tl2br w:val="nil"/>
                    <w:tr2bl w:val="nil"/>
                  </w:tcBorders>
                  <w:vAlign w:val="center"/>
                </w:tcPr>
                <w:p w14:paraId="386F76E6">
                  <w:pPr>
                    <w:jc w:val="center"/>
                    <w:rPr>
                      <w:rFonts w:eastAsia="宋体"/>
                      <w:b/>
                      <w:color w:val="000000" w:themeColor="text1"/>
                      <w:spacing w:val="-10"/>
                      <w:sz w:val="21"/>
                      <w:szCs w:val="21"/>
                      <w14:textFill>
                        <w14:solidFill>
                          <w14:schemeClr w14:val="tx1"/>
                        </w14:solidFill>
                      </w14:textFill>
                    </w:rPr>
                  </w:pPr>
                  <w:r>
                    <w:rPr>
                      <w:rFonts w:eastAsia="宋体"/>
                      <w:b/>
                      <w:color w:val="000000" w:themeColor="text1"/>
                      <w:spacing w:val="-10"/>
                      <w:sz w:val="21"/>
                      <w:szCs w:val="21"/>
                      <w14:textFill>
                        <w14:solidFill>
                          <w14:schemeClr w14:val="tx1"/>
                        </w14:solidFill>
                      </w14:textFill>
                    </w:rPr>
                    <w:t>达标情况</w:t>
                  </w:r>
                </w:p>
              </w:tc>
            </w:tr>
            <w:tr w14:paraId="73732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dxa"/>
                  <w:tcBorders>
                    <w:tl2br w:val="nil"/>
                    <w:tr2bl w:val="nil"/>
                  </w:tcBorders>
                  <w:vAlign w:val="center"/>
                </w:tcPr>
                <w:p w14:paraId="2344DAC4">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1</w:t>
                  </w:r>
                </w:p>
              </w:tc>
              <w:tc>
                <w:tcPr>
                  <w:tcW w:w="1918" w:type="dxa"/>
                  <w:tcBorders>
                    <w:tl2br w:val="nil"/>
                    <w:tr2bl w:val="nil"/>
                  </w:tcBorders>
                  <w:vAlign w:val="center"/>
                </w:tcPr>
                <w:p w14:paraId="23894894">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东</w:t>
                  </w:r>
                </w:p>
              </w:tc>
              <w:tc>
                <w:tcPr>
                  <w:tcW w:w="1646" w:type="dxa"/>
                  <w:tcBorders>
                    <w:tl2br w:val="nil"/>
                    <w:tr2bl w:val="nil"/>
                  </w:tcBorders>
                  <w:vAlign w:val="center"/>
                </w:tcPr>
                <w:p w14:paraId="64B21228">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30</w:t>
                  </w:r>
                </w:p>
              </w:tc>
              <w:tc>
                <w:tcPr>
                  <w:tcW w:w="1994" w:type="dxa"/>
                  <w:vMerge w:val="restart"/>
                  <w:tcBorders>
                    <w:tl2br w:val="nil"/>
                    <w:tr2bl w:val="nil"/>
                  </w:tcBorders>
                  <w:vAlign w:val="center"/>
                </w:tcPr>
                <w:p w14:paraId="1E6F71CF">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昼间60dB（A），夜间50B（A）</w:t>
                  </w:r>
                </w:p>
              </w:tc>
              <w:tc>
                <w:tcPr>
                  <w:tcW w:w="1995" w:type="dxa"/>
                  <w:tcBorders>
                    <w:tl2br w:val="nil"/>
                    <w:tr2bl w:val="nil"/>
                  </w:tcBorders>
                  <w:vAlign w:val="center"/>
                </w:tcPr>
                <w:p w14:paraId="346DCD8B">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达标</w:t>
                  </w:r>
                </w:p>
              </w:tc>
            </w:tr>
            <w:tr w14:paraId="6C93D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dxa"/>
                  <w:tcBorders>
                    <w:tl2br w:val="nil"/>
                    <w:tr2bl w:val="nil"/>
                  </w:tcBorders>
                  <w:vAlign w:val="center"/>
                </w:tcPr>
                <w:p w14:paraId="22E9E93A">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2</w:t>
                  </w:r>
                </w:p>
              </w:tc>
              <w:tc>
                <w:tcPr>
                  <w:tcW w:w="1918" w:type="dxa"/>
                  <w:tcBorders>
                    <w:tl2br w:val="nil"/>
                    <w:tr2bl w:val="nil"/>
                  </w:tcBorders>
                  <w:vAlign w:val="center"/>
                </w:tcPr>
                <w:p w14:paraId="02A5256C">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南</w:t>
                  </w:r>
                </w:p>
              </w:tc>
              <w:tc>
                <w:tcPr>
                  <w:tcW w:w="1646" w:type="dxa"/>
                  <w:tcBorders>
                    <w:tl2br w:val="nil"/>
                    <w:tr2bl w:val="nil"/>
                  </w:tcBorders>
                  <w:vAlign w:val="center"/>
                </w:tcPr>
                <w:p w14:paraId="1499616D">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21</w:t>
                  </w:r>
                </w:p>
              </w:tc>
              <w:tc>
                <w:tcPr>
                  <w:tcW w:w="1994" w:type="dxa"/>
                  <w:vMerge w:val="continue"/>
                  <w:tcBorders>
                    <w:tl2br w:val="nil"/>
                    <w:tr2bl w:val="nil"/>
                  </w:tcBorders>
                  <w:vAlign w:val="center"/>
                </w:tcPr>
                <w:p w14:paraId="5B3B4720">
                  <w:pPr>
                    <w:jc w:val="center"/>
                    <w:rPr>
                      <w:rFonts w:eastAsia="宋体"/>
                      <w:bCs/>
                      <w:color w:val="000000" w:themeColor="text1"/>
                      <w:spacing w:val="-10"/>
                      <w:sz w:val="21"/>
                      <w:szCs w:val="21"/>
                      <w14:textFill>
                        <w14:solidFill>
                          <w14:schemeClr w14:val="tx1"/>
                        </w14:solidFill>
                      </w14:textFill>
                    </w:rPr>
                  </w:pPr>
                </w:p>
              </w:tc>
              <w:tc>
                <w:tcPr>
                  <w:tcW w:w="1995" w:type="dxa"/>
                  <w:tcBorders>
                    <w:tl2br w:val="nil"/>
                    <w:tr2bl w:val="nil"/>
                  </w:tcBorders>
                  <w:vAlign w:val="center"/>
                </w:tcPr>
                <w:p w14:paraId="0C246DC5">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达标</w:t>
                  </w:r>
                </w:p>
              </w:tc>
            </w:tr>
            <w:tr w14:paraId="5DDAF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dxa"/>
                  <w:tcBorders>
                    <w:tl2br w:val="nil"/>
                    <w:tr2bl w:val="nil"/>
                  </w:tcBorders>
                  <w:vAlign w:val="center"/>
                </w:tcPr>
                <w:p w14:paraId="7F5AD13D">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3</w:t>
                  </w:r>
                </w:p>
              </w:tc>
              <w:tc>
                <w:tcPr>
                  <w:tcW w:w="1918" w:type="dxa"/>
                  <w:tcBorders>
                    <w:tl2br w:val="nil"/>
                    <w:tr2bl w:val="nil"/>
                  </w:tcBorders>
                  <w:vAlign w:val="center"/>
                </w:tcPr>
                <w:p w14:paraId="5A1A1EB3">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西</w:t>
                  </w:r>
                </w:p>
              </w:tc>
              <w:tc>
                <w:tcPr>
                  <w:tcW w:w="1646" w:type="dxa"/>
                  <w:tcBorders>
                    <w:tl2br w:val="nil"/>
                    <w:tr2bl w:val="nil"/>
                  </w:tcBorders>
                  <w:vAlign w:val="center"/>
                </w:tcPr>
                <w:p w14:paraId="37189783">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35</w:t>
                  </w:r>
                </w:p>
              </w:tc>
              <w:tc>
                <w:tcPr>
                  <w:tcW w:w="1994" w:type="dxa"/>
                  <w:vMerge w:val="continue"/>
                  <w:tcBorders>
                    <w:tl2br w:val="nil"/>
                    <w:tr2bl w:val="nil"/>
                  </w:tcBorders>
                  <w:vAlign w:val="center"/>
                </w:tcPr>
                <w:p w14:paraId="4579584D">
                  <w:pPr>
                    <w:jc w:val="center"/>
                    <w:rPr>
                      <w:rFonts w:eastAsia="宋体"/>
                      <w:bCs/>
                      <w:color w:val="000000" w:themeColor="text1"/>
                      <w:spacing w:val="-10"/>
                      <w:sz w:val="21"/>
                      <w:szCs w:val="21"/>
                      <w14:textFill>
                        <w14:solidFill>
                          <w14:schemeClr w14:val="tx1"/>
                        </w14:solidFill>
                      </w14:textFill>
                    </w:rPr>
                  </w:pPr>
                </w:p>
              </w:tc>
              <w:tc>
                <w:tcPr>
                  <w:tcW w:w="1995" w:type="dxa"/>
                  <w:tcBorders>
                    <w:tl2br w:val="nil"/>
                    <w:tr2bl w:val="nil"/>
                  </w:tcBorders>
                  <w:vAlign w:val="center"/>
                </w:tcPr>
                <w:p w14:paraId="5B3D6866">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达标</w:t>
                  </w:r>
                </w:p>
              </w:tc>
            </w:tr>
            <w:tr w14:paraId="3F976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4" w:type="dxa"/>
                  <w:tcBorders>
                    <w:tl2br w:val="nil"/>
                    <w:tr2bl w:val="nil"/>
                  </w:tcBorders>
                  <w:vAlign w:val="center"/>
                </w:tcPr>
                <w:p w14:paraId="342FB0D2">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4</w:t>
                  </w:r>
                </w:p>
              </w:tc>
              <w:tc>
                <w:tcPr>
                  <w:tcW w:w="1918" w:type="dxa"/>
                  <w:tcBorders>
                    <w:tl2br w:val="nil"/>
                    <w:tr2bl w:val="nil"/>
                  </w:tcBorders>
                  <w:vAlign w:val="center"/>
                </w:tcPr>
                <w:p w14:paraId="249F28BB">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北</w:t>
                  </w:r>
                </w:p>
              </w:tc>
              <w:tc>
                <w:tcPr>
                  <w:tcW w:w="1646" w:type="dxa"/>
                  <w:tcBorders>
                    <w:tl2br w:val="nil"/>
                    <w:tr2bl w:val="nil"/>
                  </w:tcBorders>
                  <w:vAlign w:val="center"/>
                </w:tcPr>
                <w:p w14:paraId="08EA4981">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37</w:t>
                  </w:r>
                </w:p>
              </w:tc>
              <w:tc>
                <w:tcPr>
                  <w:tcW w:w="1994" w:type="dxa"/>
                  <w:vMerge w:val="continue"/>
                  <w:tcBorders>
                    <w:tl2br w:val="nil"/>
                    <w:tr2bl w:val="nil"/>
                  </w:tcBorders>
                  <w:vAlign w:val="center"/>
                </w:tcPr>
                <w:p w14:paraId="1F129CDA">
                  <w:pPr>
                    <w:jc w:val="center"/>
                    <w:rPr>
                      <w:rFonts w:eastAsia="宋体"/>
                      <w:bCs/>
                      <w:color w:val="000000" w:themeColor="text1"/>
                      <w:spacing w:val="-10"/>
                      <w:sz w:val="21"/>
                      <w:szCs w:val="21"/>
                      <w14:textFill>
                        <w14:solidFill>
                          <w14:schemeClr w14:val="tx1"/>
                        </w14:solidFill>
                      </w14:textFill>
                    </w:rPr>
                  </w:pPr>
                </w:p>
              </w:tc>
              <w:tc>
                <w:tcPr>
                  <w:tcW w:w="1995" w:type="dxa"/>
                  <w:tcBorders>
                    <w:tl2br w:val="nil"/>
                    <w:tr2bl w:val="nil"/>
                  </w:tcBorders>
                  <w:vAlign w:val="center"/>
                </w:tcPr>
                <w:p w14:paraId="28181982">
                  <w:pPr>
                    <w:jc w:val="center"/>
                    <w:rPr>
                      <w:rFonts w:eastAsia="宋体"/>
                      <w:bCs/>
                      <w:color w:val="000000" w:themeColor="text1"/>
                      <w:spacing w:val="-10"/>
                      <w:sz w:val="21"/>
                      <w:szCs w:val="21"/>
                      <w14:textFill>
                        <w14:solidFill>
                          <w14:schemeClr w14:val="tx1"/>
                        </w14:solidFill>
                      </w14:textFill>
                    </w:rPr>
                  </w:pPr>
                  <w:r>
                    <w:rPr>
                      <w:rFonts w:eastAsia="宋体"/>
                      <w:bCs/>
                      <w:color w:val="000000" w:themeColor="text1"/>
                      <w:spacing w:val="-10"/>
                      <w:sz w:val="21"/>
                      <w:szCs w:val="21"/>
                      <w14:textFill>
                        <w14:solidFill>
                          <w14:schemeClr w14:val="tx1"/>
                        </w14:solidFill>
                      </w14:textFill>
                    </w:rPr>
                    <w:t>达标</w:t>
                  </w:r>
                </w:p>
              </w:tc>
            </w:tr>
          </w:tbl>
          <w:p w14:paraId="2BC8F84F">
            <w:pPr>
              <w:pStyle w:val="132"/>
              <w:rPr>
                <w:rFonts w:hAnsi="Times New Roman"/>
                <w:snapToGrid w:val="0"/>
                <w:color w:val="000000" w:themeColor="text1"/>
                <w:kern w:val="2"/>
                <w14:textFill>
                  <w14:solidFill>
                    <w14:schemeClr w14:val="tx1"/>
                  </w14:solidFill>
                </w14:textFill>
              </w:rPr>
            </w:pPr>
            <w:r>
              <w:rPr>
                <w:rFonts w:hAnsi="Times New Roman"/>
                <w:snapToGrid w:val="0"/>
                <w:color w:val="000000" w:themeColor="text1"/>
                <w:kern w:val="2"/>
                <w14:textFill>
                  <w14:solidFill>
                    <w14:schemeClr w14:val="tx1"/>
                  </w14:solidFill>
                </w14:textFill>
              </w:rPr>
              <w:t>根据预测结果，运营期项目厂界昼夜间噪声均满足《工业企业厂界环境噪声排放标准》（GB12348-2008）中2类区标准要求。</w:t>
            </w:r>
          </w:p>
          <w:p w14:paraId="4F4BFA59">
            <w:pPr>
              <w:pStyle w:val="132"/>
              <w:adjustRightInd w:val="0"/>
              <w:snapToGrid w:val="0"/>
              <w:ind w:firstLine="482"/>
              <w:rPr>
                <w:rFonts w:hAnsi="Times New Roman"/>
                <w:b/>
                <w:color w:val="000000" w:themeColor="text1"/>
                <w14:textFill>
                  <w14:solidFill>
                    <w14:schemeClr w14:val="tx1"/>
                  </w14:solidFill>
                </w14:textFill>
              </w:rPr>
            </w:pPr>
            <w:r>
              <w:rPr>
                <w:rFonts w:hAnsi="Times New Roman"/>
                <w:b/>
                <w:color w:val="000000" w:themeColor="text1"/>
                <w14:textFill>
                  <w14:solidFill>
                    <w14:schemeClr w14:val="tx1"/>
                  </w14:solidFill>
                </w14:textFill>
              </w:rPr>
              <w:t>3、噪声防治措施</w:t>
            </w:r>
          </w:p>
          <w:p w14:paraId="7426CC2E">
            <w:pPr>
              <w:pStyle w:val="132"/>
              <w:widowControl w:val="0"/>
              <w:adjustRightInd w:val="0"/>
              <w:snapToGrid w:val="0"/>
              <w:rPr>
                <w:rFonts w:hAnsi="Times New Roman"/>
                <w:snapToGrid w:val="0"/>
                <w:color w:val="000000" w:themeColor="text1"/>
                <w:kern w:val="2"/>
                <w14:textFill>
                  <w14:solidFill>
                    <w14:schemeClr w14:val="tx1"/>
                  </w14:solidFill>
                </w14:textFill>
              </w:rPr>
            </w:pPr>
            <w:r>
              <w:rPr>
                <w:rFonts w:hAnsi="Times New Roman"/>
                <w:color w:val="000000" w:themeColor="text1"/>
                <w14:textFill>
                  <w14:solidFill>
                    <w14:schemeClr w14:val="tx1"/>
                  </w14:solidFill>
                </w14:textFill>
              </w:rPr>
              <w:t>本项目噪声源较少且周边50m范围内无环境保护目标，通过选用低噪声设备，对作业设备加装隔音减振垫以及墙体隔声、距离衰减等措施，厂界噪声可以满足《工业企业厂界环境噪声排放标准》（GB12348-2008）中的2类标准，项目周边噪声敏感点距离项目较远，噪声对周边环境影响较小。</w:t>
            </w:r>
          </w:p>
          <w:p w14:paraId="0F73E5B8">
            <w:pPr>
              <w:tabs>
                <w:tab w:val="left" w:pos="1200"/>
                <w:tab w:val="center" w:pos="4312"/>
              </w:tabs>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为更进一步降低项目噪声对周边声环境的影响，项目须采取以下措施：</w:t>
            </w:r>
          </w:p>
          <w:p w14:paraId="6C40719F">
            <w:pPr>
              <w:tabs>
                <w:tab w:val="left" w:pos="1200"/>
                <w:tab w:val="center" w:pos="4312"/>
              </w:tabs>
              <w:adjustRightInd w:val="0"/>
              <w:snapToGrid w:val="0"/>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eastAsia="宋体"/>
                <w:color w:val="000000" w:themeColor="text1"/>
                <w14:textFill>
                  <w14:solidFill>
                    <w14:schemeClr w14:val="tx1"/>
                  </w14:solidFill>
                </w14:textFill>
              </w:rPr>
              <w:t>选用低噪声设备，对作业设备加装隔音减振垫。</w:t>
            </w:r>
          </w:p>
          <w:p w14:paraId="7F53E049">
            <w:pPr>
              <w:tabs>
                <w:tab w:val="left" w:pos="1200"/>
                <w:tab w:val="center" w:pos="4312"/>
              </w:tabs>
              <w:adjustRightInd w:val="0"/>
              <w:snapToGrid w:val="0"/>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eastAsia="宋体"/>
                <w:color w:val="000000" w:themeColor="text1"/>
                <w14:textFill>
                  <w14:solidFill>
                    <w14:schemeClr w14:val="tx1"/>
                  </w14:solidFill>
                </w14:textFill>
              </w:rPr>
              <w:t>加强设备养护管理：建立设备定期维护，保养的管理制度，以防止设备故障形成的非正常生产噪声，同时确保环保措施发挥最佳有效的功能；加强职工环保意识教育，提倡文明生产，防止人为噪声。</w:t>
            </w:r>
          </w:p>
          <w:p w14:paraId="4FD056B7">
            <w:pPr>
              <w:tabs>
                <w:tab w:val="left" w:pos="1200"/>
                <w:tab w:val="center" w:pos="4312"/>
              </w:tabs>
              <w:adjustRightInd w:val="0"/>
              <w:snapToGrid w:val="0"/>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eastAsia="宋体"/>
                <w:color w:val="000000" w:themeColor="text1"/>
                <w14:textFill>
                  <w14:solidFill>
                    <w14:schemeClr w14:val="tx1"/>
                  </w14:solidFill>
                </w14:textFill>
              </w:rPr>
              <w:t>合理布局噪声设备的分布，尽量把高噪声设备设置在建筑物的中部，减少噪声对各个边界的贡献值。</w:t>
            </w:r>
          </w:p>
          <w:p w14:paraId="069B909D">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综上所述，在采取以上措施后，项目噪声对周围环境影响很小。</w:t>
            </w:r>
          </w:p>
          <w:p w14:paraId="19077A41">
            <w:pPr>
              <w:pStyle w:val="17"/>
              <w:widowControl w:val="0"/>
              <w:snapToGrid/>
              <w:spacing w:before="0" w:after="0" w:line="360" w:lineRule="auto"/>
              <w:ind w:right="0" w:firstLine="482"/>
              <w:rPr>
                <w:rFonts w:eastAsia="宋体"/>
                <w:b/>
                <w:color w:val="000000" w:themeColor="text1"/>
                <w:sz w:val="24"/>
                <w14:textFill>
                  <w14:solidFill>
                    <w14:schemeClr w14:val="tx1"/>
                  </w14:solidFill>
                </w14:textFill>
              </w:rPr>
            </w:pPr>
            <w:r>
              <w:rPr>
                <w:rFonts w:eastAsia="宋体"/>
                <w:b/>
                <w:color w:val="000000" w:themeColor="text1"/>
                <w:sz w:val="24"/>
                <w14:textFill>
                  <w14:solidFill>
                    <w14:schemeClr w14:val="tx1"/>
                  </w14:solidFill>
                </w14:textFill>
              </w:rPr>
              <w:t>4、噪声达标情况</w:t>
            </w:r>
          </w:p>
          <w:p w14:paraId="4EE9D153">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项目产生的噪声通过选用低噪声设备，采取隔声、减振等措施后，厂界噪声能够符合《工业企业厂界环境噪声排放标准》（GB12348-2008）中的2类标准（昼间60dB（A），夜间50dB（A）），本项目周边50m范围内无声环境敏感目标，项目运营时对周围环境影响较小。</w:t>
            </w:r>
          </w:p>
          <w:p w14:paraId="7B104274">
            <w:pPr>
              <w:pStyle w:val="17"/>
              <w:widowControl w:val="0"/>
              <w:snapToGrid/>
              <w:spacing w:before="0" w:after="0" w:line="360" w:lineRule="auto"/>
              <w:ind w:right="0" w:firstLine="482"/>
              <w:rPr>
                <w:rFonts w:eastAsia="宋体"/>
                <w:b/>
                <w:color w:val="000000" w:themeColor="text1"/>
                <w:sz w:val="24"/>
                <w14:textFill>
                  <w14:solidFill>
                    <w14:schemeClr w14:val="tx1"/>
                  </w14:solidFill>
                </w14:textFill>
              </w:rPr>
            </w:pPr>
            <w:r>
              <w:rPr>
                <w:rFonts w:eastAsia="宋体"/>
                <w:b/>
                <w:color w:val="000000" w:themeColor="text1"/>
                <w:sz w:val="24"/>
                <w14:textFill>
                  <w14:solidFill>
                    <w14:schemeClr w14:val="tx1"/>
                  </w14:solidFill>
                </w14:textFill>
              </w:rPr>
              <w:t>5、运营期噪声监测计划</w:t>
            </w:r>
          </w:p>
          <w:p w14:paraId="39D24C29">
            <w:pPr>
              <w:pStyle w:val="65"/>
              <w:rPr>
                <w:rFonts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lang w:eastAsia="zh-CN"/>
                <w14:textFill>
                  <w14:solidFill>
                    <w14:schemeClr w14:val="tx1"/>
                  </w14:solidFill>
                </w14:textFill>
              </w:rPr>
              <w:t>本项目营运期噪声监测计划见下表。</w:t>
            </w:r>
          </w:p>
          <w:p w14:paraId="53C089A6">
            <w:pPr>
              <w:adjustRightInd w:val="0"/>
              <w:snapToGrid w:val="0"/>
              <w:ind w:firstLine="482" w:firstLineChars="200"/>
              <w:jc w:val="left"/>
              <w:rPr>
                <w:rFonts w:eastAsia="宋体"/>
                <w:b/>
                <w:bCs/>
                <w:color w:val="000000" w:themeColor="text1"/>
                <w14:textFill>
                  <w14:solidFill>
                    <w14:schemeClr w14:val="tx1"/>
                  </w14:solidFill>
                </w14:textFill>
              </w:rPr>
            </w:pPr>
            <w:r>
              <w:rPr>
                <w:rFonts w:eastAsia="宋体"/>
                <w:b/>
                <w:bCs/>
                <w:snapToGrid w:val="0"/>
                <w:color w:val="000000" w:themeColor="text1"/>
                <w14:textFill>
                  <w14:solidFill>
                    <w14:schemeClr w14:val="tx1"/>
                  </w14:solidFill>
                </w14:textFill>
              </w:rPr>
              <w:t>表4-8                 运营期噪声监测计划表</w:t>
            </w:r>
          </w:p>
          <w:tbl>
            <w:tblPr>
              <w:tblStyle w:val="3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729"/>
              <w:gridCol w:w="1009"/>
              <w:gridCol w:w="1298"/>
              <w:gridCol w:w="1154"/>
              <w:gridCol w:w="1154"/>
              <w:gridCol w:w="3194"/>
            </w:tblGrid>
            <w:tr w14:paraId="488CA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7" w:type="dxa"/>
                  <w:tcBorders>
                    <w:tl2br w:val="nil"/>
                    <w:tr2bl w:val="nil"/>
                  </w:tcBorders>
                  <w:vAlign w:val="center"/>
                </w:tcPr>
                <w:p w14:paraId="1C6D8D75">
                  <w:pPr>
                    <w:pStyle w:val="141"/>
                    <w:spacing w:line="240" w:lineRule="auto"/>
                    <w:rPr>
                      <w:rFonts w:eastAsia="宋体" w:cs="Times New Roman"/>
                      <w:b/>
                      <w:bCs/>
                      <w:snapToGrid w:val="0"/>
                      <w:color w:val="000000" w:themeColor="text1"/>
                      <w:sz w:val="21"/>
                      <w:szCs w:val="21"/>
                      <w14:textFill>
                        <w14:solidFill>
                          <w14:schemeClr w14:val="tx1"/>
                        </w14:solidFill>
                      </w14:textFill>
                    </w:rPr>
                  </w:pPr>
                  <w:r>
                    <w:rPr>
                      <w:rFonts w:eastAsia="宋体" w:cs="Times New Roman"/>
                      <w:b/>
                      <w:bCs/>
                      <w:snapToGrid w:val="0"/>
                      <w:color w:val="000000" w:themeColor="text1"/>
                      <w:sz w:val="21"/>
                      <w:szCs w:val="21"/>
                      <w14:textFill>
                        <w14:solidFill>
                          <w14:schemeClr w14:val="tx1"/>
                        </w14:solidFill>
                      </w14:textFill>
                    </w:rPr>
                    <w:t>序号</w:t>
                  </w:r>
                </w:p>
              </w:tc>
              <w:tc>
                <w:tcPr>
                  <w:tcW w:w="992" w:type="dxa"/>
                  <w:tcBorders>
                    <w:tl2br w:val="nil"/>
                    <w:tr2bl w:val="nil"/>
                  </w:tcBorders>
                  <w:vAlign w:val="center"/>
                </w:tcPr>
                <w:p w14:paraId="31D8876A">
                  <w:pPr>
                    <w:pStyle w:val="141"/>
                    <w:spacing w:line="240" w:lineRule="auto"/>
                    <w:rPr>
                      <w:rFonts w:eastAsia="宋体" w:cs="Times New Roman"/>
                      <w:b/>
                      <w:bCs/>
                      <w:snapToGrid w:val="0"/>
                      <w:color w:val="000000" w:themeColor="text1"/>
                      <w:sz w:val="21"/>
                      <w:szCs w:val="21"/>
                      <w14:textFill>
                        <w14:solidFill>
                          <w14:schemeClr w14:val="tx1"/>
                        </w14:solidFill>
                      </w14:textFill>
                    </w:rPr>
                  </w:pPr>
                  <w:r>
                    <w:rPr>
                      <w:rFonts w:eastAsia="宋体" w:cs="Times New Roman"/>
                      <w:b/>
                      <w:bCs/>
                      <w:snapToGrid w:val="0"/>
                      <w:color w:val="000000" w:themeColor="text1"/>
                      <w:sz w:val="21"/>
                      <w:szCs w:val="21"/>
                      <w14:textFill>
                        <w14:solidFill>
                          <w14:schemeClr w14:val="tx1"/>
                        </w14:solidFill>
                      </w14:textFill>
                    </w:rPr>
                    <w:t>监测项目</w:t>
                  </w:r>
                </w:p>
              </w:tc>
              <w:tc>
                <w:tcPr>
                  <w:tcW w:w="1276" w:type="dxa"/>
                  <w:tcBorders>
                    <w:tl2br w:val="nil"/>
                    <w:tr2bl w:val="nil"/>
                  </w:tcBorders>
                  <w:vAlign w:val="center"/>
                </w:tcPr>
                <w:p w14:paraId="5ACFB30A">
                  <w:pPr>
                    <w:pStyle w:val="141"/>
                    <w:rPr>
                      <w:rFonts w:eastAsia="宋体" w:cs="Times New Roman"/>
                      <w:b/>
                      <w:bCs/>
                      <w:snapToGrid w:val="0"/>
                      <w:color w:val="000000" w:themeColor="text1"/>
                      <w:sz w:val="21"/>
                      <w:szCs w:val="21"/>
                      <w14:textFill>
                        <w14:solidFill>
                          <w14:schemeClr w14:val="tx1"/>
                        </w14:solidFill>
                      </w14:textFill>
                    </w:rPr>
                  </w:pPr>
                  <w:r>
                    <w:rPr>
                      <w:rFonts w:eastAsia="宋体" w:cs="Times New Roman"/>
                      <w:b/>
                      <w:bCs/>
                      <w:snapToGrid w:val="0"/>
                      <w:color w:val="000000" w:themeColor="text1"/>
                      <w:sz w:val="21"/>
                      <w:szCs w:val="21"/>
                      <w14:textFill>
                        <w14:solidFill>
                          <w14:schemeClr w14:val="tx1"/>
                        </w14:solidFill>
                      </w14:textFill>
                    </w:rPr>
                    <w:t>监控点</w:t>
                  </w:r>
                </w:p>
              </w:tc>
              <w:tc>
                <w:tcPr>
                  <w:tcW w:w="1134" w:type="dxa"/>
                  <w:tcBorders>
                    <w:tl2br w:val="nil"/>
                    <w:tr2bl w:val="nil"/>
                  </w:tcBorders>
                  <w:vAlign w:val="center"/>
                </w:tcPr>
                <w:p w14:paraId="6D14760C">
                  <w:pPr>
                    <w:pStyle w:val="141"/>
                    <w:spacing w:line="240" w:lineRule="auto"/>
                    <w:rPr>
                      <w:rFonts w:eastAsia="宋体" w:cs="Times New Roman"/>
                      <w:b/>
                      <w:bCs/>
                      <w:snapToGrid w:val="0"/>
                      <w:color w:val="000000" w:themeColor="text1"/>
                      <w:sz w:val="21"/>
                      <w:szCs w:val="21"/>
                      <w14:textFill>
                        <w14:solidFill>
                          <w14:schemeClr w14:val="tx1"/>
                        </w14:solidFill>
                      </w14:textFill>
                    </w:rPr>
                  </w:pPr>
                  <w:r>
                    <w:rPr>
                      <w:rFonts w:eastAsia="宋体" w:cs="Times New Roman"/>
                      <w:b/>
                      <w:bCs/>
                      <w:snapToGrid w:val="0"/>
                      <w:color w:val="000000" w:themeColor="text1"/>
                      <w:sz w:val="21"/>
                      <w:szCs w:val="21"/>
                      <w14:textFill>
                        <w14:solidFill>
                          <w14:schemeClr w14:val="tx1"/>
                        </w14:solidFill>
                      </w14:textFill>
                    </w:rPr>
                    <w:t>监测内容</w:t>
                  </w:r>
                </w:p>
              </w:tc>
              <w:tc>
                <w:tcPr>
                  <w:tcW w:w="1134" w:type="dxa"/>
                  <w:tcBorders>
                    <w:tl2br w:val="nil"/>
                    <w:tr2bl w:val="nil"/>
                  </w:tcBorders>
                  <w:vAlign w:val="center"/>
                </w:tcPr>
                <w:p w14:paraId="4501AE62">
                  <w:pPr>
                    <w:pStyle w:val="141"/>
                    <w:spacing w:line="240" w:lineRule="auto"/>
                    <w:rPr>
                      <w:rFonts w:eastAsia="宋体" w:cs="Times New Roman"/>
                      <w:b/>
                      <w:bCs/>
                      <w:snapToGrid w:val="0"/>
                      <w:color w:val="000000" w:themeColor="text1"/>
                      <w:sz w:val="21"/>
                      <w:szCs w:val="21"/>
                      <w14:textFill>
                        <w14:solidFill>
                          <w14:schemeClr w14:val="tx1"/>
                        </w14:solidFill>
                      </w14:textFill>
                    </w:rPr>
                  </w:pPr>
                  <w:r>
                    <w:rPr>
                      <w:rFonts w:eastAsia="宋体" w:cs="Times New Roman"/>
                      <w:b/>
                      <w:bCs/>
                      <w:snapToGrid w:val="0"/>
                      <w:color w:val="000000" w:themeColor="text1"/>
                      <w:sz w:val="21"/>
                      <w:szCs w:val="21"/>
                      <w14:textFill>
                        <w14:solidFill>
                          <w14:schemeClr w14:val="tx1"/>
                        </w14:solidFill>
                      </w14:textFill>
                    </w:rPr>
                    <w:t>监测频次</w:t>
                  </w:r>
                </w:p>
              </w:tc>
              <w:tc>
                <w:tcPr>
                  <w:tcW w:w="3139" w:type="dxa"/>
                  <w:tcBorders>
                    <w:tl2br w:val="nil"/>
                    <w:tr2bl w:val="nil"/>
                  </w:tcBorders>
                  <w:vAlign w:val="center"/>
                </w:tcPr>
                <w:p w14:paraId="6C8BC189">
                  <w:pPr>
                    <w:jc w:val="center"/>
                    <w:rPr>
                      <w:rFonts w:eastAsia="宋体"/>
                      <w:b/>
                      <w:bCs/>
                      <w:snapToGrid w:val="0"/>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w:t>执行标准</w:t>
                  </w:r>
                </w:p>
              </w:tc>
            </w:tr>
            <w:tr w14:paraId="79112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717" w:type="dxa"/>
                  <w:tcBorders>
                    <w:tl2br w:val="nil"/>
                    <w:tr2bl w:val="nil"/>
                  </w:tcBorders>
                  <w:vAlign w:val="center"/>
                </w:tcPr>
                <w:p w14:paraId="55E6DEAF">
                  <w:pPr>
                    <w:pStyle w:val="141"/>
                    <w:spacing w:line="240" w:lineRule="auto"/>
                    <w:rPr>
                      <w:rFonts w:eastAsia="宋体" w:cs="Times New Roman"/>
                      <w:snapToGrid w:val="0"/>
                      <w:color w:val="000000" w:themeColor="text1"/>
                      <w:sz w:val="21"/>
                      <w:szCs w:val="21"/>
                      <w14:textFill>
                        <w14:solidFill>
                          <w14:schemeClr w14:val="tx1"/>
                        </w14:solidFill>
                      </w14:textFill>
                    </w:rPr>
                  </w:pPr>
                  <w:r>
                    <w:rPr>
                      <w:rFonts w:eastAsia="宋体" w:cs="Times New Roman"/>
                      <w:snapToGrid w:val="0"/>
                      <w:color w:val="000000" w:themeColor="text1"/>
                      <w:sz w:val="21"/>
                      <w:szCs w:val="21"/>
                      <w14:textFill>
                        <w14:solidFill>
                          <w14:schemeClr w14:val="tx1"/>
                        </w14:solidFill>
                      </w14:textFill>
                    </w:rPr>
                    <w:t>1</w:t>
                  </w:r>
                </w:p>
              </w:tc>
              <w:tc>
                <w:tcPr>
                  <w:tcW w:w="992" w:type="dxa"/>
                  <w:tcBorders>
                    <w:tl2br w:val="nil"/>
                    <w:tr2bl w:val="nil"/>
                  </w:tcBorders>
                  <w:vAlign w:val="center"/>
                </w:tcPr>
                <w:p w14:paraId="14F9C63B">
                  <w:pPr>
                    <w:pStyle w:val="141"/>
                    <w:spacing w:line="240" w:lineRule="auto"/>
                    <w:rPr>
                      <w:rFonts w:eastAsia="宋体" w:cs="Times New Roman"/>
                      <w:snapToGrid w:val="0"/>
                      <w:color w:val="000000" w:themeColor="text1"/>
                      <w:sz w:val="21"/>
                      <w:szCs w:val="21"/>
                      <w14:textFill>
                        <w14:solidFill>
                          <w14:schemeClr w14:val="tx1"/>
                        </w14:solidFill>
                      </w14:textFill>
                    </w:rPr>
                  </w:pPr>
                  <w:r>
                    <w:rPr>
                      <w:rFonts w:eastAsia="宋体" w:cs="Times New Roman"/>
                      <w:snapToGrid w:val="0"/>
                      <w:color w:val="000000" w:themeColor="text1"/>
                      <w:sz w:val="21"/>
                      <w:szCs w:val="21"/>
                      <w14:textFill>
                        <w14:solidFill>
                          <w14:schemeClr w14:val="tx1"/>
                        </w14:solidFill>
                      </w14:textFill>
                    </w:rPr>
                    <w:t>噪声</w:t>
                  </w:r>
                </w:p>
              </w:tc>
              <w:tc>
                <w:tcPr>
                  <w:tcW w:w="1276" w:type="dxa"/>
                  <w:tcBorders>
                    <w:tl2br w:val="nil"/>
                    <w:tr2bl w:val="nil"/>
                  </w:tcBorders>
                  <w:vAlign w:val="center"/>
                </w:tcPr>
                <w:p w14:paraId="4D367310">
                  <w:pPr>
                    <w:pStyle w:val="141"/>
                    <w:spacing w:line="240" w:lineRule="auto"/>
                    <w:rPr>
                      <w:rFonts w:eastAsia="宋体" w:cs="Times New Roman"/>
                      <w:snapToGrid w:val="0"/>
                      <w:color w:val="000000" w:themeColor="text1"/>
                      <w:sz w:val="21"/>
                      <w:szCs w:val="21"/>
                      <w14:textFill>
                        <w14:solidFill>
                          <w14:schemeClr w14:val="tx1"/>
                        </w14:solidFill>
                      </w14:textFill>
                    </w:rPr>
                  </w:pPr>
                  <w:r>
                    <w:rPr>
                      <w:rFonts w:eastAsia="宋体" w:cs="Times New Roman"/>
                      <w:snapToGrid w:val="0"/>
                      <w:color w:val="000000" w:themeColor="text1"/>
                      <w:sz w:val="21"/>
                      <w:szCs w:val="21"/>
                      <w14:textFill>
                        <w14:solidFill>
                          <w14:schemeClr w14:val="tx1"/>
                        </w14:solidFill>
                      </w14:textFill>
                    </w:rPr>
                    <w:t>厂界四周（4个监测点）</w:t>
                  </w:r>
                </w:p>
              </w:tc>
              <w:tc>
                <w:tcPr>
                  <w:tcW w:w="1134" w:type="dxa"/>
                  <w:tcBorders>
                    <w:tl2br w:val="nil"/>
                    <w:tr2bl w:val="nil"/>
                  </w:tcBorders>
                  <w:vAlign w:val="center"/>
                </w:tcPr>
                <w:p w14:paraId="3CE91E68">
                  <w:pPr>
                    <w:pStyle w:val="141"/>
                    <w:spacing w:line="240" w:lineRule="auto"/>
                    <w:rPr>
                      <w:rFonts w:eastAsia="宋体" w:cs="Times New Roman"/>
                      <w:snapToGrid w:val="0"/>
                      <w:color w:val="000000" w:themeColor="text1"/>
                      <w:sz w:val="21"/>
                      <w:szCs w:val="21"/>
                      <w14:textFill>
                        <w14:solidFill>
                          <w14:schemeClr w14:val="tx1"/>
                        </w14:solidFill>
                      </w14:textFill>
                    </w:rPr>
                  </w:pPr>
                  <w:r>
                    <w:rPr>
                      <w:rFonts w:eastAsia="宋体" w:cs="Times New Roman"/>
                      <w:snapToGrid w:val="0"/>
                      <w:color w:val="000000" w:themeColor="text1"/>
                      <w:sz w:val="21"/>
                      <w:szCs w:val="21"/>
                      <w14:textFill>
                        <w14:solidFill>
                          <w14:schemeClr w14:val="tx1"/>
                        </w14:solidFill>
                      </w14:textFill>
                    </w:rPr>
                    <w:t>等效声级LAeq</w:t>
                  </w:r>
                </w:p>
              </w:tc>
              <w:tc>
                <w:tcPr>
                  <w:tcW w:w="1134" w:type="dxa"/>
                  <w:tcBorders>
                    <w:tl2br w:val="nil"/>
                    <w:tr2bl w:val="nil"/>
                  </w:tcBorders>
                  <w:vAlign w:val="center"/>
                </w:tcPr>
                <w:p w14:paraId="56403D58">
                  <w:pPr>
                    <w:pStyle w:val="141"/>
                    <w:spacing w:line="240" w:lineRule="auto"/>
                    <w:rPr>
                      <w:rFonts w:eastAsia="宋体" w:cs="Times New Roman"/>
                      <w:snapToGrid w:val="0"/>
                      <w:color w:val="000000" w:themeColor="text1"/>
                      <w:sz w:val="21"/>
                      <w:szCs w:val="21"/>
                      <w14:textFill>
                        <w14:solidFill>
                          <w14:schemeClr w14:val="tx1"/>
                        </w14:solidFill>
                      </w14:textFill>
                    </w:rPr>
                  </w:pPr>
                  <w:r>
                    <w:rPr>
                      <w:rFonts w:eastAsia="宋体" w:cs="Times New Roman"/>
                      <w:snapToGrid w:val="0"/>
                      <w:color w:val="000000" w:themeColor="text1"/>
                      <w:sz w:val="21"/>
                      <w:szCs w:val="21"/>
                      <w14:textFill>
                        <w14:solidFill>
                          <w14:schemeClr w14:val="tx1"/>
                        </w14:solidFill>
                      </w14:textFill>
                    </w:rPr>
                    <w:t>1次/季度</w:t>
                  </w:r>
                </w:p>
              </w:tc>
              <w:tc>
                <w:tcPr>
                  <w:tcW w:w="3139" w:type="dxa"/>
                  <w:tcBorders>
                    <w:tl2br w:val="nil"/>
                    <w:tr2bl w:val="nil"/>
                  </w:tcBorders>
                  <w:vAlign w:val="center"/>
                </w:tcPr>
                <w:p w14:paraId="797E3055">
                  <w:pPr>
                    <w:jc w:val="center"/>
                    <w:rPr>
                      <w:rFonts w:eastAsia="宋体"/>
                      <w:snapToGrid w:val="0"/>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w:t>
                  </w:r>
                  <w:r>
                    <w:rPr>
                      <w:rFonts w:eastAsia="宋体"/>
                      <w:snapToGrid w:val="0"/>
                      <w:color w:val="000000" w:themeColor="text1"/>
                      <w:sz w:val="21"/>
                      <w:szCs w:val="21"/>
                      <w14:textFill>
                        <w14:solidFill>
                          <w14:schemeClr w14:val="tx1"/>
                        </w14:solidFill>
                      </w14:textFill>
                    </w:rPr>
                    <w:t>工业企业厂界环境噪声排放标准》（GB12348-2008）中的2类标准</w:t>
                  </w:r>
                </w:p>
              </w:tc>
            </w:tr>
          </w:tbl>
          <w:p w14:paraId="21CA9E16">
            <w:pPr>
              <w:pStyle w:val="152"/>
              <w:spacing w:line="360" w:lineRule="auto"/>
              <w:ind w:firstLine="482" w:firstLineChars="200"/>
              <w:rPr>
                <w:rFonts w:eastAsia="宋体" w:cs="Times New Roman"/>
                <w:b/>
                <w:snapToGrid w:val="0"/>
                <w:color w:val="000000" w:themeColor="text1"/>
                <w:szCs w:val="24"/>
                <w14:textFill>
                  <w14:solidFill>
                    <w14:schemeClr w14:val="tx1"/>
                  </w14:solidFill>
                </w14:textFill>
              </w:rPr>
            </w:pPr>
            <w:r>
              <w:rPr>
                <w:rFonts w:eastAsia="宋体" w:cs="Times New Roman"/>
                <w:b/>
                <w:snapToGrid w:val="0"/>
                <w:color w:val="000000" w:themeColor="text1"/>
                <w:szCs w:val="24"/>
                <w14:textFill>
                  <w14:solidFill>
                    <w14:schemeClr w14:val="tx1"/>
                  </w14:solidFill>
                </w14:textFill>
              </w:rPr>
              <w:t>四、固体废物</w:t>
            </w:r>
          </w:p>
          <w:p w14:paraId="751F7AE5">
            <w:pPr>
              <w:spacing w:line="360" w:lineRule="auto"/>
              <w:ind w:firstLine="482" w:firstLineChars="200"/>
              <w:rPr>
                <w:rFonts w:eastAsia="宋体"/>
                <w:b/>
                <w:snapToGrid w:val="0"/>
                <w:color w:val="000000" w:themeColor="text1"/>
                <w14:textFill>
                  <w14:solidFill>
                    <w14:schemeClr w14:val="tx1"/>
                  </w14:solidFill>
                </w14:textFill>
              </w:rPr>
            </w:pPr>
            <w:r>
              <w:rPr>
                <w:rFonts w:eastAsia="宋体"/>
                <w:b/>
                <w:bCs/>
                <w:color w:val="000000" w:themeColor="text1"/>
                <w14:textFill>
                  <w14:solidFill>
                    <w14:schemeClr w14:val="tx1"/>
                  </w14:solidFill>
                </w14:textFill>
              </w:rPr>
              <w:t>1、产排污环节</w:t>
            </w:r>
          </w:p>
          <w:p w14:paraId="297E6474">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根据工程分析，本项目产生的固体废物主要为生活垃圾、分拣杂质、收尘灰、废砂石、沉淀池沉渣、废机油。</w:t>
            </w:r>
          </w:p>
          <w:p w14:paraId="727774CA">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（1）生活垃圾</w:t>
            </w:r>
          </w:p>
          <w:p w14:paraId="572B13C3">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本项目新增劳动定员10人，生活垃圾产生量按0.5kg/人d计，则生活垃圾产生量1.35t/a，通过厂区现有垃圾收集设施集中收集后，交由环卫部门处理。</w:t>
            </w:r>
          </w:p>
          <w:p w14:paraId="79EE111D">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（2）分拣杂质</w:t>
            </w:r>
          </w:p>
          <w:p w14:paraId="63C3AA3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建筑垃圾分拣过程中会产生少量的分家杂质，主要为废金属</w:t>
            </w:r>
            <w:r>
              <w:rPr>
                <w:rFonts w:hint="eastAsia" w:eastAsia="宋体"/>
                <w:bCs/>
                <w:color w:val="000000" w:themeColor="text1"/>
                <w14:textFill>
                  <w14:solidFill>
                    <w14:schemeClr w14:val="tx1"/>
                  </w14:solidFill>
                </w14:textFill>
              </w:rPr>
              <w:t>、</w:t>
            </w:r>
            <w:r>
              <w:rPr>
                <w:rFonts w:eastAsia="宋体"/>
                <w:bCs/>
                <w:color w:val="000000" w:themeColor="text1"/>
                <w14:textFill>
                  <w14:solidFill>
                    <w14:schemeClr w14:val="tx1"/>
                  </w14:solidFill>
                </w14:textFill>
              </w:rPr>
              <w:t>废木材，产生量约占原料量1‰，则分拣杂质的产生量为50t/a，暂存至建筑垃圾加工车间内一般固废暂存区，定期外售。</w:t>
            </w:r>
          </w:p>
          <w:p w14:paraId="7A61160A">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（3）收尘灰</w:t>
            </w:r>
          </w:p>
          <w:p w14:paraId="71625FED">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根据工程分析，除尘器收尘灰的产生量为479.51t/a，收集后作为混凝土生产原料。</w:t>
            </w:r>
          </w:p>
          <w:p w14:paraId="336B64C6">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（4）废砂石、沉淀池沉渣。</w:t>
            </w:r>
          </w:p>
          <w:p w14:paraId="308CEC54">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车辆冲洗废水依托现有砂石分离机预处理后再经三级沉淀池沉淀处理，废水处理过程中会产生分离砂石和沉淀池沉渣，分离砂石的产生量约为10t/a，沉淀池沉渣的产生量约为1t/a，收集后分离砂石作为混凝土生产原料，沉淀池沉渣与再生水稳料混合作为成品外售。</w:t>
            </w:r>
          </w:p>
          <w:p w14:paraId="356280AE">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（5）废机油</w:t>
            </w:r>
          </w:p>
          <w:p w14:paraId="12F80594">
            <w:pPr>
              <w:adjustRightInd w:val="0"/>
              <w:snapToGrid w:val="0"/>
              <w:spacing w:line="360" w:lineRule="auto"/>
              <w:ind w:firstLine="480" w:firstLineChars="200"/>
              <w:rPr>
                <w:rFonts w:eastAsia="宋体"/>
                <w:bCs/>
                <w:color w:val="000000" w:themeColor="text1"/>
                <w14:textFill>
                  <w14:solidFill>
                    <w14:schemeClr w14:val="tx1"/>
                  </w14:solidFill>
                </w14:textFill>
              </w:rPr>
            </w:pPr>
            <w:r>
              <w:rPr>
                <w:rFonts w:eastAsia="宋体"/>
                <w:bCs/>
                <w:color w:val="000000" w:themeColor="text1"/>
                <w14:textFill>
                  <w14:solidFill>
                    <w14:schemeClr w14:val="tx1"/>
                  </w14:solidFill>
                </w14:textFill>
              </w:rPr>
              <w:t>设备维护过程中会产生少量的废机油，产生量约为0.01t/a。根据《国家危险废物名录》（2025年版），废机油属于危险废物，废物类别为“HW08废矿物油与含矿物油废物”，废物代码为“900-214-08”，废机油集中收集后暂存于现有5m</w:t>
            </w:r>
            <w:r>
              <w:rPr>
                <w:rFonts w:eastAsia="宋体"/>
                <w:bCs/>
                <w:color w:val="000000" w:themeColor="text1"/>
                <w:vertAlign w:val="superscript"/>
                <w14:textFill>
                  <w14:solidFill>
                    <w14:schemeClr w14:val="tx1"/>
                  </w14:solidFill>
                </w14:textFill>
              </w:rPr>
              <w:t>2</w:t>
            </w:r>
            <w:r>
              <w:rPr>
                <w:rFonts w:eastAsia="宋体"/>
                <w:bCs/>
                <w:color w:val="000000" w:themeColor="text1"/>
                <w14:textFill>
                  <w14:solidFill>
                    <w14:schemeClr w14:val="tx1"/>
                  </w14:solidFill>
                </w14:textFill>
              </w:rPr>
              <w:t>危废贮存点，定期交由有资质的单位处理。</w:t>
            </w:r>
          </w:p>
          <w:p w14:paraId="602F0D2A">
            <w:pPr>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固体废物产生情况见下表。</w:t>
            </w:r>
          </w:p>
          <w:p w14:paraId="0818E6CB">
            <w:pPr>
              <w:ind w:firstLine="482" w:firstLineChars="200"/>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表4-9        项目工程固体废物产生及排放情况</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32"/>
              <w:gridCol w:w="1211"/>
              <w:gridCol w:w="1971"/>
              <w:gridCol w:w="1289"/>
              <w:gridCol w:w="666"/>
              <w:gridCol w:w="1404"/>
              <w:gridCol w:w="965"/>
            </w:tblGrid>
            <w:tr w14:paraId="548D4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Align w:val="center"/>
                </w:tcPr>
                <w:p w14:paraId="3E5AA7C1">
                  <w:pPr>
                    <w:tabs>
                      <w:tab w:val="center" w:pos="4153"/>
                      <w:tab w:val="right" w:pos="8306"/>
                    </w:tabs>
                    <w:snapToGrid w:val="0"/>
                    <w:ind w:left="-120" w:leftChars="-50" w:right="-120" w:rightChars="-5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产生环节</w:t>
                  </w:r>
                </w:p>
              </w:tc>
              <w:tc>
                <w:tcPr>
                  <w:tcW w:w="709" w:type="pct"/>
                  <w:vAlign w:val="center"/>
                </w:tcPr>
                <w:p w14:paraId="36E25ED2">
                  <w:pPr>
                    <w:tabs>
                      <w:tab w:val="center" w:pos="4153"/>
                      <w:tab w:val="right" w:pos="8306"/>
                    </w:tabs>
                    <w:snapToGrid w:val="0"/>
                    <w:ind w:left="-120" w:leftChars="-50" w:right="-120" w:rightChars="-5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名称</w:t>
                  </w:r>
                </w:p>
              </w:tc>
              <w:tc>
                <w:tcPr>
                  <w:tcW w:w="1154" w:type="pct"/>
                  <w:vAlign w:val="center"/>
                </w:tcPr>
                <w:p w14:paraId="255C719C">
                  <w:pPr>
                    <w:tabs>
                      <w:tab w:val="center" w:pos="4153"/>
                      <w:tab w:val="right" w:pos="8306"/>
                    </w:tabs>
                    <w:snapToGrid w:val="0"/>
                    <w:ind w:left="-120" w:leftChars="-50" w:right="-120" w:rightChars="-5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属性</w:t>
                  </w:r>
                </w:p>
              </w:tc>
              <w:tc>
                <w:tcPr>
                  <w:tcW w:w="755" w:type="pct"/>
                  <w:vAlign w:val="center"/>
                </w:tcPr>
                <w:p w14:paraId="667F46E9">
                  <w:pPr>
                    <w:tabs>
                      <w:tab w:val="center" w:pos="4153"/>
                      <w:tab w:val="right" w:pos="8306"/>
                    </w:tabs>
                    <w:snapToGrid w:val="0"/>
                    <w:ind w:left="-120" w:leftChars="-50" w:right="-120" w:rightChars="-5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有害成分</w:t>
                  </w:r>
                </w:p>
              </w:tc>
              <w:tc>
                <w:tcPr>
                  <w:tcW w:w="390" w:type="pct"/>
                  <w:vAlign w:val="center"/>
                </w:tcPr>
                <w:p w14:paraId="3BD03F4C">
                  <w:pPr>
                    <w:widowControl/>
                    <w:ind w:left="-120" w:leftChars="-50" w:right="-120" w:rightChars="-50"/>
                    <w:jc w:val="center"/>
                    <w:rPr>
                      <w:rFonts w:eastAsia="宋体"/>
                      <w:b/>
                      <w:bCs/>
                      <w:color w:val="000000" w:themeColor="text1"/>
                      <w:kern w:val="0"/>
                      <w:sz w:val="21"/>
                      <w:szCs w:val="21"/>
                      <w:lang w:bidi="ar"/>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物理</w:t>
                  </w:r>
                </w:p>
                <w:p w14:paraId="3F191A9B">
                  <w:pPr>
                    <w:widowControl/>
                    <w:ind w:left="-120" w:leftChars="-50" w:right="-120" w:rightChars="-50"/>
                    <w:jc w:val="center"/>
                    <w:rPr>
                      <w:rFonts w:eastAsia="宋体"/>
                      <w:b/>
                      <w:bCs/>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性状</w:t>
                  </w:r>
                </w:p>
              </w:tc>
              <w:tc>
                <w:tcPr>
                  <w:tcW w:w="822" w:type="pct"/>
                  <w:vAlign w:val="center"/>
                </w:tcPr>
                <w:p w14:paraId="411E7789">
                  <w:pPr>
                    <w:widowControl/>
                    <w:ind w:left="-120" w:leftChars="-50" w:right="-120" w:rightChars="-50"/>
                    <w:jc w:val="center"/>
                    <w:rPr>
                      <w:rFonts w:eastAsia="宋体"/>
                      <w:b/>
                      <w:bCs/>
                      <w:color w:val="000000" w:themeColor="text1"/>
                      <w:sz w:val="21"/>
                      <w:szCs w:val="21"/>
                      <w14:textFill>
                        <w14:solidFill>
                          <w14:schemeClr w14:val="tx1"/>
                        </w14:solidFill>
                      </w14:textFill>
                    </w:rPr>
                  </w:pPr>
                  <w:r>
                    <w:rPr>
                      <w:rFonts w:eastAsia="宋体"/>
                      <w:b/>
                      <w:bCs/>
                      <w:color w:val="000000" w:themeColor="text1"/>
                      <w:kern w:val="0"/>
                      <w:sz w:val="21"/>
                      <w:szCs w:val="21"/>
                      <w:lang w:bidi="ar"/>
                      <w14:textFill>
                        <w14:solidFill>
                          <w14:schemeClr w14:val="tx1"/>
                        </w14:solidFill>
                      </w14:textFill>
                    </w:rPr>
                    <w:t>环境危险特性</w:t>
                  </w:r>
                </w:p>
              </w:tc>
              <w:tc>
                <w:tcPr>
                  <w:tcW w:w="565" w:type="pct"/>
                  <w:vAlign w:val="center"/>
                </w:tcPr>
                <w:p w14:paraId="48DCAAB2">
                  <w:pPr>
                    <w:tabs>
                      <w:tab w:val="center" w:pos="4153"/>
                      <w:tab w:val="right" w:pos="8306"/>
                    </w:tabs>
                    <w:snapToGrid w:val="0"/>
                    <w:ind w:left="-120" w:leftChars="-50" w:right="-120" w:rightChars="-5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产生量</w:t>
                  </w:r>
                </w:p>
              </w:tc>
            </w:tr>
            <w:tr w14:paraId="06926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Align w:val="center"/>
                </w:tcPr>
                <w:p w14:paraId="4AC472CD">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职工生活</w:t>
                  </w:r>
                </w:p>
              </w:tc>
              <w:tc>
                <w:tcPr>
                  <w:tcW w:w="709" w:type="pct"/>
                  <w:vAlign w:val="center"/>
                </w:tcPr>
                <w:p w14:paraId="6D7510C4">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生活垃圾</w:t>
                  </w:r>
                </w:p>
              </w:tc>
              <w:tc>
                <w:tcPr>
                  <w:tcW w:w="1154" w:type="pct"/>
                  <w:vAlign w:val="center"/>
                </w:tcPr>
                <w:p w14:paraId="3F11176E">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生活垃圾</w:t>
                  </w:r>
                </w:p>
              </w:tc>
              <w:tc>
                <w:tcPr>
                  <w:tcW w:w="755" w:type="pct"/>
                  <w:vAlign w:val="center"/>
                </w:tcPr>
                <w:p w14:paraId="0DBCA3EA">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390" w:type="pct"/>
                  <w:vAlign w:val="center"/>
                </w:tcPr>
                <w:p w14:paraId="18E91064">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固体</w:t>
                  </w:r>
                </w:p>
              </w:tc>
              <w:tc>
                <w:tcPr>
                  <w:tcW w:w="822" w:type="pct"/>
                  <w:vAlign w:val="center"/>
                </w:tcPr>
                <w:p w14:paraId="402691A3">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565" w:type="pct"/>
                  <w:vAlign w:val="center"/>
                </w:tcPr>
                <w:p w14:paraId="22ADF4BB">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1.35</w:t>
                  </w:r>
                  <w:r>
                    <w:rPr>
                      <w:rFonts w:eastAsia="宋体"/>
                      <w:color w:val="000000" w:themeColor="text1"/>
                      <w:kern w:val="0"/>
                      <w:sz w:val="21"/>
                      <w:szCs w:val="21"/>
                      <w14:textFill>
                        <w14:solidFill>
                          <w14:schemeClr w14:val="tx1"/>
                        </w14:solidFill>
                      </w14:textFill>
                    </w:rPr>
                    <w:t>t/a</w:t>
                  </w:r>
                </w:p>
              </w:tc>
            </w:tr>
            <w:tr w14:paraId="7447F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Align w:val="center"/>
                </w:tcPr>
                <w:p w14:paraId="3A833AE2">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分拣</w:t>
                  </w:r>
                </w:p>
              </w:tc>
              <w:tc>
                <w:tcPr>
                  <w:tcW w:w="709" w:type="pct"/>
                  <w:vAlign w:val="center"/>
                </w:tcPr>
                <w:p w14:paraId="5776C1B3">
                  <w:pPr>
                    <w:tabs>
                      <w:tab w:val="center" w:pos="4153"/>
                      <w:tab w:val="right" w:pos="8306"/>
                    </w:tabs>
                    <w:snapToGrid w:val="0"/>
                    <w:ind w:left="-120" w:leftChars="-50" w:right="-120" w:rightChars="-5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分拣杂质</w:t>
                  </w:r>
                </w:p>
              </w:tc>
              <w:tc>
                <w:tcPr>
                  <w:tcW w:w="1154" w:type="pct"/>
                </w:tcPr>
                <w:p w14:paraId="01F1C274">
                  <w:pPr>
                    <w:tabs>
                      <w:tab w:val="center" w:pos="4153"/>
                      <w:tab w:val="right" w:pos="8306"/>
                    </w:tabs>
                    <w:snapToGrid w:val="0"/>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一般固废</w:t>
                  </w:r>
                </w:p>
                <w:p w14:paraId="32BD8820">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SW59、900-099-S59</w:t>
                  </w:r>
                </w:p>
              </w:tc>
              <w:tc>
                <w:tcPr>
                  <w:tcW w:w="755" w:type="pct"/>
                  <w:vAlign w:val="center"/>
                </w:tcPr>
                <w:p w14:paraId="2C1BFF02">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390" w:type="pct"/>
                  <w:vAlign w:val="center"/>
                </w:tcPr>
                <w:p w14:paraId="4912AFDD">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固体</w:t>
                  </w:r>
                </w:p>
              </w:tc>
              <w:tc>
                <w:tcPr>
                  <w:tcW w:w="822" w:type="pct"/>
                  <w:vAlign w:val="center"/>
                </w:tcPr>
                <w:p w14:paraId="6CF19DB4">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565" w:type="pct"/>
                  <w:vAlign w:val="center"/>
                </w:tcPr>
                <w:p w14:paraId="0C3BFC3A">
                  <w:pPr>
                    <w:tabs>
                      <w:tab w:val="center" w:pos="4153"/>
                      <w:tab w:val="right" w:pos="8306"/>
                    </w:tabs>
                    <w:snapToGrid w:val="0"/>
                    <w:ind w:left="-120" w:leftChars="-50" w:right="-120" w:rightChars="-5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50t/a</w:t>
                  </w:r>
                </w:p>
              </w:tc>
            </w:tr>
            <w:tr w14:paraId="7E807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Align w:val="center"/>
                </w:tcPr>
                <w:p w14:paraId="08E96542">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废气治理</w:t>
                  </w:r>
                </w:p>
              </w:tc>
              <w:tc>
                <w:tcPr>
                  <w:tcW w:w="709" w:type="pct"/>
                  <w:vAlign w:val="center"/>
                </w:tcPr>
                <w:p w14:paraId="7CDE3B43">
                  <w:pPr>
                    <w:tabs>
                      <w:tab w:val="center" w:pos="4153"/>
                      <w:tab w:val="right" w:pos="8306"/>
                    </w:tabs>
                    <w:snapToGrid w:val="0"/>
                    <w:ind w:left="-120" w:leftChars="-50" w:right="-120" w:rightChars="-5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收尘灰</w:t>
                  </w:r>
                </w:p>
              </w:tc>
              <w:tc>
                <w:tcPr>
                  <w:tcW w:w="1154" w:type="pct"/>
                </w:tcPr>
                <w:p w14:paraId="5B6DE91E">
                  <w:pPr>
                    <w:tabs>
                      <w:tab w:val="center" w:pos="4153"/>
                      <w:tab w:val="right" w:pos="8306"/>
                    </w:tabs>
                    <w:snapToGrid w:val="0"/>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一般固废</w:t>
                  </w:r>
                </w:p>
                <w:p w14:paraId="7DFC4757">
                  <w:pPr>
                    <w:tabs>
                      <w:tab w:val="center" w:pos="4153"/>
                      <w:tab w:val="right" w:pos="8306"/>
                    </w:tabs>
                    <w:snapToGrid w:val="0"/>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SW59、900-099-S59</w:t>
                  </w:r>
                </w:p>
              </w:tc>
              <w:tc>
                <w:tcPr>
                  <w:tcW w:w="755" w:type="pct"/>
                  <w:vAlign w:val="center"/>
                </w:tcPr>
                <w:p w14:paraId="5249E1FF">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390" w:type="pct"/>
                  <w:vAlign w:val="center"/>
                </w:tcPr>
                <w:p w14:paraId="776FC42E">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固体</w:t>
                  </w:r>
                </w:p>
              </w:tc>
              <w:tc>
                <w:tcPr>
                  <w:tcW w:w="822" w:type="pct"/>
                  <w:vAlign w:val="center"/>
                </w:tcPr>
                <w:p w14:paraId="15C62308">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565" w:type="pct"/>
                  <w:vAlign w:val="center"/>
                </w:tcPr>
                <w:p w14:paraId="6D3AA95E">
                  <w:pPr>
                    <w:tabs>
                      <w:tab w:val="center" w:pos="4153"/>
                      <w:tab w:val="right" w:pos="8306"/>
                    </w:tabs>
                    <w:snapToGrid w:val="0"/>
                    <w:ind w:left="-120" w:leftChars="-50" w:right="-120" w:rightChars="-5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479.51t/a</w:t>
                  </w:r>
                </w:p>
              </w:tc>
            </w:tr>
            <w:tr w14:paraId="4FC3C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Merge w:val="restart"/>
                  <w:vAlign w:val="center"/>
                </w:tcPr>
                <w:p w14:paraId="212BA77A">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废水治理</w:t>
                  </w:r>
                </w:p>
              </w:tc>
              <w:tc>
                <w:tcPr>
                  <w:tcW w:w="709" w:type="pct"/>
                  <w:vAlign w:val="center"/>
                </w:tcPr>
                <w:p w14:paraId="22C4BEC6">
                  <w:pPr>
                    <w:adjustRightInd w:val="0"/>
                    <w:snapToGrid w:val="0"/>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废砂石</w:t>
                  </w:r>
                </w:p>
              </w:tc>
              <w:tc>
                <w:tcPr>
                  <w:tcW w:w="1154" w:type="pct"/>
                </w:tcPr>
                <w:p w14:paraId="0E4553D9">
                  <w:pPr>
                    <w:tabs>
                      <w:tab w:val="center" w:pos="4153"/>
                      <w:tab w:val="right" w:pos="8306"/>
                    </w:tabs>
                    <w:snapToGrid w:val="0"/>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一般固废</w:t>
                  </w:r>
                </w:p>
                <w:p w14:paraId="17987C10">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SW59、900-099-S59</w:t>
                  </w:r>
                </w:p>
              </w:tc>
              <w:tc>
                <w:tcPr>
                  <w:tcW w:w="755" w:type="pct"/>
                  <w:vAlign w:val="center"/>
                </w:tcPr>
                <w:p w14:paraId="4FDC1E8B">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390" w:type="pct"/>
                  <w:vAlign w:val="center"/>
                </w:tcPr>
                <w:p w14:paraId="4A8CA532">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固体</w:t>
                  </w:r>
                </w:p>
              </w:tc>
              <w:tc>
                <w:tcPr>
                  <w:tcW w:w="822" w:type="pct"/>
                  <w:vAlign w:val="center"/>
                </w:tcPr>
                <w:p w14:paraId="10AA3BD2">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565" w:type="pct"/>
                  <w:vAlign w:val="center"/>
                </w:tcPr>
                <w:p w14:paraId="6DC593CB">
                  <w:pPr>
                    <w:adjustRightInd w:val="0"/>
                    <w:snapToGrid w:val="0"/>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10t/a</w:t>
                  </w:r>
                </w:p>
              </w:tc>
            </w:tr>
            <w:tr w14:paraId="73810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Merge w:val="continue"/>
                  <w:vAlign w:val="center"/>
                </w:tcPr>
                <w:p w14:paraId="2532280D">
                  <w:pPr>
                    <w:widowControl/>
                    <w:ind w:left="-120" w:leftChars="-50" w:right="-120" w:rightChars="-50"/>
                    <w:jc w:val="center"/>
                    <w:rPr>
                      <w:rFonts w:eastAsia="宋体"/>
                      <w:color w:val="000000" w:themeColor="text1"/>
                      <w:sz w:val="21"/>
                      <w:szCs w:val="21"/>
                      <w14:textFill>
                        <w14:solidFill>
                          <w14:schemeClr w14:val="tx1"/>
                        </w14:solidFill>
                      </w14:textFill>
                    </w:rPr>
                  </w:pPr>
                </w:p>
              </w:tc>
              <w:tc>
                <w:tcPr>
                  <w:tcW w:w="709" w:type="pct"/>
                  <w:vAlign w:val="center"/>
                </w:tcPr>
                <w:p w14:paraId="10375457">
                  <w:pPr>
                    <w:adjustRightInd w:val="0"/>
                    <w:snapToGrid w:val="0"/>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沉淀池沉渣</w:t>
                  </w:r>
                </w:p>
              </w:tc>
              <w:tc>
                <w:tcPr>
                  <w:tcW w:w="1154" w:type="pct"/>
                </w:tcPr>
                <w:p w14:paraId="37CCF28C">
                  <w:pPr>
                    <w:tabs>
                      <w:tab w:val="center" w:pos="4153"/>
                      <w:tab w:val="right" w:pos="8306"/>
                    </w:tabs>
                    <w:snapToGrid w:val="0"/>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一般固废</w:t>
                  </w:r>
                </w:p>
                <w:p w14:paraId="35AB4A60">
                  <w:pPr>
                    <w:tabs>
                      <w:tab w:val="center" w:pos="4153"/>
                      <w:tab w:val="right" w:pos="8306"/>
                    </w:tabs>
                    <w:snapToGrid w:val="0"/>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SW59、900-099-S59</w:t>
                  </w:r>
                </w:p>
              </w:tc>
              <w:tc>
                <w:tcPr>
                  <w:tcW w:w="755" w:type="pct"/>
                  <w:vAlign w:val="center"/>
                </w:tcPr>
                <w:p w14:paraId="07510445">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390" w:type="pct"/>
                  <w:vAlign w:val="center"/>
                </w:tcPr>
                <w:p w14:paraId="4A1D71CE">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固体</w:t>
                  </w:r>
                </w:p>
              </w:tc>
              <w:tc>
                <w:tcPr>
                  <w:tcW w:w="822" w:type="pct"/>
                  <w:vAlign w:val="center"/>
                </w:tcPr>
                <w:p w14:paraId="66A3C227">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w:t>
                  </w:r>
                </w:p>
              </w:tc>
              <w:tc>
                <w:tcPr>
                  <w:tcW w:w="565" w:type="pct"/>
                  <w:vAlign w:val="center"/>
                </w:tcPr>
                <w:p w14:paraId="335C3599">
                  <w:pPr>
                    <w:adjustRightInd w:val="0"/>
                    <w:snapToGrid w:val="0"/>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1t/a</w:t>
                  </w:r>
                </w:p>
              </w:tc>
            </w:tr>
            <w:tr w14:paraId="4FAD6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605" w:type="pct"/>
                  <w:vAlign w:val="center"/>
                </w:tcPr>
                <w:p w14:paraId="25E54D02">
                  <w:pPr>
                    <w:widowControl/>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设备维护</w:t>
                  </w:r>
                </w:p>
              </w:tc>
              <w:tc>
                <w:tcPr>
                  <w:tcW w:w="709" w:type="pct"/>
                  <w:vAlign w:val="center"/>
                </w:tcPr>
                <w:p w14:paraId="68C81E71">
                  <w:pPr>
                    <w:adjustRightInd w:val="0"/>
                    <w:snapToGrid w:val="0"/>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废机油</w:t>
                  </w:r>
                </w:p>
              </w:tc>
              <w:tc>
                <w:tcPr>
                  <w:tcW w:w="1154" w:type="pct"/>
                  <w:vAlign w:val="center"/>
                </w:tcPr>
                <w:p w14:paraId="6044B149">
                  <w:pPr>
                    <w:widowControl/>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危险废物</w:t>
                  </w:r>
                </w:p>
                <w:p w14:paraId="46522E5D">
                  <w:pPr>
                    <w:widowControl/>
                    <w:ind w:left="-120" w:leftChars="-50" w:right="-120" w:rightChars="-50"/>
                    <w:jc w:val="center"/>
                    <w:rPr>
                      <w:rFonts w:eastAsia="宋体"/>
                      <w:color w:val="000000" w:themeColor="text1"/>
                      <w:kern w:val="0"/>
                      <w:sz w:val="21"/>
                      <w:szCs w:val="21"/>
                      <w:lang w:bidi="ar"/>
                      <w14:textFill>
                        <w14:solidFill>
                          <w14:schemeClr w14:val="tx1"/>
                        </w14:solidFill>
                      </w14:textFill>
                    </w:rPr>
                  </w:pPr>
                  <w:r>
                    <w:rPr>
                      <w:rFonts w:eastAsia="宋体"/>
                      <w:color w:val="000000" w:themeColor="text1"/>
                      <w:kern w:val="0"/>
                      <w:sz w:val="21"/>
                      <w:szCs w:val="21"/>
                      <w:lang w:bidi="ar"/>
                      <w14:textFill>
                        <w14:solidFill>
                          <w14:schemeClr w14:val="tx1"/>
                        </w14:solidFill>
                      </w14:textFill>
                    </w:rPr>
                    <w:t>SW08、</w:t>
                  </w:r>
                  <w:r>
                    <w:rPr>
                      <w:rFonts w:eastAsia="宋体"/>
                      <w:bCs/>
                      <w:color w:val="000000" w:themeColor="text1"/>
                      <w:kern w:val="0"/>
                      <w:sz w:val="21"/>
                      <w:szCs w:val="21"/>
                      <w:lang w:bidi="ar"/>
                      <w14:textFill>
                        <w14:solidFill>
                          <w14:schemeClr w14:val="tx1"/>
                        </w14:solidFill>
                      </w14:textFill>
                    </w:rPr>
                    <w:t>900-214-08</w:t>
                  </w:r>
                </w:p>
              </w:tc>
              <w:tc>
                <w:tcPr>
                  <w:tcW w:w="755" w:type="pct"/>
                  <w:vAlign w:val="center"/>
                </w:tcPr>
                <w:p w14:paraId="59C96E64">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废机油</w:t>
                  </w:r>
                </w:p>
              </w:tc>
              <w:tc>
                <w:tcPr>
                  <w:tcW w:w="390" w:type="pct"/>
                  <w:vAlign w:val="center"/>
                </w:tcPr>
                <w:p w14:paraId="1F9CCC8B">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液体</w:t>
                  </w:r>
                </w:p>
              </w:tc>
              <w:tc>
                <w:tcPr>
                  <w:tcW w:w="822" w:type="pct"/>
                  <w:vAlign w:val="center"/>
                </w:tcPr>
                <w:p w14:paraId="5D5FBEA5">
                  <w:pPr>
                    <w:tabs>
                      <w:tab w:val="center" w:pos="4153"/>
                      <w:tab w:val="right" w:pos="8306"/>
                    </w:tabs>
                    <w:snapToGrid w:val="0"/>
                    <w:ind w:left="-120" w:leftChars="-50" w:right="-120" w:rightChars="-5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T，I</w:t>
                  </w:r>
                </w:p>
              </w:tc>
              <w:tc>
                <w:tcPr>
                  <w:tcW w:w="565" w:type="pct"/>
                  <w:vAlign w:val="center"/>
                </w:tcPr>
                <w:p w14:paraId="3D21AB17">
                  <w:pPr>
                    <w:adjustRightInd w:val="0"/>
                    <w:snapToGrid w:val="0"/>
                    <w:ind w:left="-120" w:leftChars="-50" w:right="-120" w:rightChars="-5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0.01t/a</w:t>
                  </w:r>
                </w:p>
              </w:tc>
            </w:tr>
          </w:tbl>
          <w:p w14:paraId="1DE92F5B">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固体废物处置及去向情况见下表。</w:t>
            </w:r>
          </w:p>
          <w:p w14:paraId="653FDF56">
            <w:pPr>
              <w:adjustRightInd w:val="0"/>
              <w:snapToGrid w:val="0"/>
              <w:ind w:firstLine="482" w:firstLineChars="200"/>
              <w:rPr>
                <w:rFonts w:eastAsia="宋体"/>
                <w:b/>
                <w:bCs/>
                <w:color w:val="000000" w:themeColor="text1"/>
                <w14:textFill>
                  <w14:solidFill>
                    <w14:schemeClr w14:val="tx1"/>
                  </w14:solidFill>
                </w14:textFill>
              </w:rPr>
            </w:pPr>
          </w:p>
          <w:p w14:paraId="15CA893B">
            <w:pPr>
              <w:adjustRightInd w:val="0"/>
              <w:snapToGrid w:val="0"/>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表4-10         固体废物处置及去向情况一览表</w:t>
            </w:r>
          </w:p>
          <w:tbl>
            <w:tblPr>
              <w:tblStyle w:val="3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1289"/>
              <w:gridCol w:w="2543"/>
              <w:gridCol w:w="3219"/>
              <w:gridCol w:w="1487"/>
            </w:tblGrid>
            <w:tr w14:paraId="5456E9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15FF67BD">
                  <w:pPr>
                    <w:tabs>
                      <w:tab w:val="center" w:pos="4153"/>
                      <w:tab w:val="right" w:pos="8306"/>
                    </w:tabs>
                    <w:snapToGrid w:val="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名称</w:t>
                  </w:r>
                </w:p>
              </w:tc>
              <w:tc>
                <w:tcPr>
                  <w:tcW w:w="1489" w:type="pct"/>
                  <w:vAlign w:val="center"/>
                </w:tcPr>
                <w:p w14:paraId="023B8632">
                  <w:pPr>
                    <w:tabs>
                      <w:tab w:val="center" w:pos="4153"/>
                      <w:tab w:val="right" w:pos="8306"/>
                    </w:tabs>
                    <w:snapToGrid w:val="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 xml:space="preserve">贮存方式 </w:t>
                  </w:r>
                </w:p>
              </w:tc>
              <w:tc>
                <w:tcPr>
                  <w:tcW w:w="1885" w:type="pct"/>
                  <w:vAlign w:val="center"/>
                </w:tcPr>
                <w:p w14:paraId="4097D90C">
                  <w:pPr>
                    <w:tabs>
                      <w:tab w:val="center" w:pos="4153"/>
                      <w:tab w:val="right" w:pos="8306"/>
                    </w:tabs>
                    <w:snapToGrid w:val="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利用处置方式和去向</w:t>
                  </w:r>
                </w:p>
              </w:tc>
              <w:tc>
                <w:tcPr>
                  <w:tcW w:w="871" w:type="pct"/>
                  <w:vAlign w:val="center"/>
                </w:tcPr>
                <w:p w14:paraId="1C6E73A3">
                  <w:pPr>
                    <w:tabs>
                      <w:tab w:val="center" w:pos="4153"/>
                      <w:tab w:val="right" w:pos="8306"/>
                    </w:tabs>
                    <w:snapToGrid w:val="0"/>
                    <w:jc w:val="center"/>
                    <w:rPr>
                      <w:rFonts w:eastAsia="宋体"/>
                      <w:b/>
                      <w:bCs/>
                      <w:color w:val="000000" w:themeColor="text1"/>
                      <w:kern w:val="0"/>
                      <w:sz w:val="21"/>
                      <w:szCs w:val="21"/>
                      <w14:textFill>
                        <w14:solidFill>
                          <w14:schemeClr w14:val="tx1"/>
                        </w14:solidFill>
                      </w14:textFill>
                    </w:rPr>
                  </w:pPr>
                  <w:r>
                    <w:rPr>
                      <w:rFonts w:eastAsia="宋体"/>
                      <w:b/>
                      <w:bCs/>
                      <w:color w:val="000000" w:themeColor="text1"/>
                      <w:kern w:val="0"/>
                      <w:sz w:val="21"/>
                      <w:szCs w:val="21"/>
                      <w14:textFill>
                        <w14:solidFill>
                          <w14:schemeClr w14:val="tx1"/>
                        </w14:solidFill>
                      </w14:textFill>
                    </w:rPr>
                    <w:t>利用或处置量</w:t>
                  </w:r>
                </w:p>
              </w:tc>
            </w:tr>
            <w:tr w14:paraId="1FA7E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253FA042">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生活垃圾</w:t>
                  </w:r>
                </w:p>
              </w:tc>
              <w:tc>
                <w:tcPr>
                  <w:tcW w:w="1489" w:type="pct"/>
                  <w:vAlign w:val="center"/>
                </w:tcPr>
                <w:p w14:paraId="14F3D38E">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垃圾桶分类收集</w:t>
                  </w:r>
                </w:p>
              </w:tc>
              <w:tc>
                <w:tcPr>
                  <w:tcW w:w="1885" w:type="pct"/>
                  <w:vAlign w:val="center"/>
                </w:tcPr>
                <w:p w14:paraId="69079E50">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sz w:val="21"/>
                      <w14:textFill>
                        <w14:solidFill>
                          <w14:schemeClr w14:val="tx1"/>
                        </w14:solidFill>
                      </w14:textFill>
                    </w:rPr>
                    <w:t>收集后交环卫部门处理</w:t>
                  </w:r>
                </w:p>
              </w:tc>
              <w:tc>
                <w:tcPr>
                  <w:tcW w:w="871" w:type="pct"/>
                  <w:vAlign w:val="center"/>
                </w:tcPr>
                <w:p w14:paraId="645157F3">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1.35</w:t>
                  </w:r>
                  <w:r>
                    <w:rPr>
                      <w:rFonts w:eastAsia="宋体"/>
                      <w:color w:val="000000" w:themeColor="text1"/>
                      <w:kern w:val="0"/>
                      <w:sz w:val="21"/>
                      <w:szCs w:val="21"/>
                      <w14:textFill>
                        <w14:solidFill>
                          <w14:schemeClr w14:val="tx1"/>
                        </w14:solidFill>
                      </w14:textFill>
                    </w:rPr>
                    <w:t>t/a</w:t>
                  </w:r>
                </w:p>
              </w:tc>
            </w:tr>
            <w:tr w14:paraId="07E5A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1585E993">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分拣杂质</w:t>
                  </w:r>
                </w:p>
              </w:tc>
              <w:tc>
                <w:tcPr>
                  <w:tcW w:w="1489" w:type="pct"/>
                  <w:vAlign w:val="center"/>
                </w:tcPr>
                <w:p w14:paraId="4D5E6AD1">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kern w:val="0"/>
                      <w:sz w:val="21"/>
                      <w:szCs w:val="21"/>
                      <w14:textFill>
                        <w14:solidFill>
                          <w14:schemeClr w14:val="tx1"/>
                        </w14:solidFill>
                      </w14:textFill>
                    </w:rPr>
                    <w:t>建筑垃圾加工车间内一般固废暂存区</w:t>
                  </w:r>
                </w:p>
              </w:tc>
              <w:tc>
                <w:tcPr>
                  <w:tcW w:w="1885" w:type="pct"/>
                  <w:vAlign w:val="center"/>
                </w:tcPr>
                <w:p w14:paraId="3A34B987">
                  <w:pPr>
                    <w:tabs>
                      <w:tab w:val="center" w:pos="4153"/>
                      <w:tab w:val="right" w:pos="8306"/>
                    </w:tabs>
                    <w:snapToGrid w:val="0"/>
                    <w:jc w:val="center"/>
                    <w:rPr>
                      <w:rFonts w:eastAsia="宋体"/>
                      <w:color w:val="000000" w:themeColor="text1"/>
                      <w:sz w:val="21"/>
                      <w14:textFill>
                        <w14:solidFill>
                          <w14:schemeClr w14:val="tx1"/>
                        </w14:solidFill>
                      </w14:textFill>
                    </w:rPr>
                  </w:pPr>
                  <w:r>
                    <w:rPr>
                      <w:rFonts w:eastAsia="宋体"/>
                      <w:bCs/>
                      <w:color w:val="000000" w:themeColor="text1"/>
                      <w14:textFill>
                        <w14:solidFill>
                          <w14:schemeClr w14:val="tx1"/>
                        </w14:solidFill>
                      </w14:textFill>
                    </w:rPr>
                    <w:t>定期外售</w:t>
                  </w:r>
                </w:p>
              </w:tc>
              <w:tc>
                <w:tcPr>
                  <w:tcW w:w="871" w:type="pct"/>
                  <w:vAlign w:val="center"/>
                </w:tcPr>
                <w:p w14:paraId="13BE5593">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50t/a</w:t>
                  </w:r>
                </w:p>
              </w:tc>
            </w:tr>
            <w:tr w14:paraId="7F8D4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4C9B783B">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收尘灰</w:t>
                  </w:r>
                </w:p>
              </w:tc>
              <w:tc>
                <w:tcPr>
                  <w:tcW w:w="1489" w:type="pct"/>
                  <w:vAlign w:val="center"/>
                </w:tcPr>
                <w:p w14:paraId="03605EC8">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不储存</w:t>
                  </w:r>
                </w:p>
              </w:tc>
              <w:tc>
                <w:tcPr>
                  <w:tcW w:w="1885" w:type="pct"/>
                  <w:vAlign w:val="center"/>
                </w:tcPr>
                <w:p w14:paraId="2320CEFD">
                  <w:pPr>
                    <w:tabs>
                      <w:tab w:val="center" w:pos="4153"/>
                      <w:tab w:val="right" w:pos="8306"/>
                    </w:tabs>
                    <w:snapToGrid w:val="0"/>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定期清理作为混凝土生产原料</w:t>
                  </w:r>
                </w:p>
              </w:tc>
              <w:tc>
                <w:tcPr>
                  <w:tcW w:w="871" w:type="pct"/>
                  <w:vAlign w:val="center"/>
                </w:tcPr>
                <w:p w14:paraId="3CB17975">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479.51t/a</w:t>
                  </w:r>
                </w:p>
              </w:tc>
            </w:tr>
            <w:tr w14:paraId="1E3C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3946915B">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废砂石</w:t>
                  </w:r>
                </w:p>
              </w:tc>
              <w:tc>
                <w:tcPr>
                  <w:tcW w:w="1489" w:type="pct"/>
                  <w:vAlign w:val="center"/>
                </w:tcPr>
                <w:p w14:paraId="6343300A">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不储存</w:t>
                  </w:r>
                </w:p>
              </w:tc>
              <w:tc>
                <w:tcPr>
                  <w:tcW w:w="1885" w:type="pct"/>
                  <w:vAlign w:val="center"/>
                </w:tcPr>
                <w:p w14:paraId="2396E3A0">
                  <w:pPr>
                    <w:tabs>
                      <w:tab w:val="center" w:pos="4153"/>
                      <w:tab w:val="right" w:pos="8306"/>
                    </w:tabs>
                    <w:snapToGrid w:val="0"/>
                    <w:jc w:val="center"/>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定期清理作为混凝土生产原料</w:t>
                  </w:r>
                </w:p>
              </w:tc>
              <w:tc>
                <w:tcPr>
                  <w:tcW w:w="871" w:type="pct"/>
                  <w:vAlign w:val="center"/>
                </w:tcPr>
                <w:p w14:paraId="6EA72B7E">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10t/a</w:t>
                  </w:r>
                </w:p>
              </w:tc>
            </w:tr>
            <w:tr w14:paraId="1694E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3E9ADB77">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沉淀池沉渣</w:t>
                  </w:r>
                </w:p>
              </w:tc>
              <w:tc>
                <w:tcPr>
                  <w:tcW w:w="1489" w:type="pct"/>
                  <w:vAlign w:val="center"/>
                </w:tcPr>
                <w:p w14:paraId="55E24B8E">
                  <w:pPr>
                    <w:tabs>
                      <w:tab w:val="center" w:pos="4153"/>
                      <w:tab w:val="right" w:pos="8306"/>
                    </w:tabs>
                    <w:snapToGrid w:val="0"/>
                    <w:jc w:val="center"/>
                    <w:rPr>
                      <w:rFonts w:eastAsia="宋体"/>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不储存</w:t>
                  </w:r>
                </w:p>
              </w:tc>
              <w:tc>
                <w:tcPr>
                  <w:tcW w:w="1885" w:type="pct"/>
                  <w:vAlign w:val="center"/>
                </w:tcPr>
                <w:p w14:paraId="657972EE">
                  <w:pPr>
                    <w:tabs>
                      <w:tab w:val="center" w:pos="4153"/>
                      <w:tab w:val="right" w:pos="8306"/>
                    </w:tabs>
                    <w:snapToGrid w:val="0"/>
                    <w:jc w:val="center"/>
                    <w:rPr>
                      <w:rFonts w:eastAsia="宋体"/>
                      <w:color w:val="000000" w:themeColor="text1"/>
                      <w:sz w:val="21"/>
                      <w14:textFill>
                        <w14:solidFill>
                          <w14:schemeClr w14:val="tx1"/>
                        </w14:solidFill>
                      </w14:textFill>
                    </w:rPr>
                  </w:pPr>
                  <w:r>
                    <w:rPr>
                      <w:rFonts w:eastAsia="宋体"/>
                      <w:color w:val="000000" w:themeColor="text1"/>
                      <w:sz w:val="21"/>
                      <w:szCs w:val="21"/>
                      <w14:textFill>
                        <w14:solidFill>
                          <w14:schemeClr w14:val="tx1"/>
                        </w14:solidFill>
                      </w14:textFill>
                    </w:rPr>
                    <w:t>定期清理与再生水稳料混合作为成品外售</w:t>
                  </w:r>
                </w:p>
              </w:tc>
              <w:tc>
                <w:tcPr>
                  <w:tcW w:w="871" w:type="pct"/>
                  <w:vAlign w:val="center"/>
                </w:tcPr>
                <w:p w14:paraId="7F3B0753">
                  <w:pPr>
                    <w:tabs>
                      <w:tab w:val="center" w:pos="4153"/>
                      <w:tab w:val="right" w:pos="8306"/>
                    </w:tabs>
                    <w:snapToGrid w:val="0"/>
                    <w:jc w:val="center"/>
                    <w:rPr>
                      <w:rFonts w:eastAsia="宋体"/>
                      <w:bCs/>
                      <w:color w:val="000000" w:themeColor="text1"/>
                      <w:kern w:val="0"/>
                      <w:sz w:val="21"/>
                      <w:szCs w:val="21"/>
                      <w14:textFill>
                        <w14:solidFill>
                          <w14:schemeClr w14:val="tx1"/>
                        </w14:solidFill>
                      </w14:textFill>
                    </w:rPr>
                  </w:pPr>
                  <w:r>
                    <w:rPr>
                      <w:rFonts w:eastAsia="宋体"/>
                      <w:color w:val="000000" w:themeColor="text1"/>
                      <w:sz w:val="21"/>
                      <w:szCs w:val="21"/>
                      <w14:textFill>
                        <w14:solidFill>
                          <w14:schemeClr w14:val="tx1"/>
                        </w14:solidFill>
                      </w14:textFill>
                    </w:rPr>
                    <w:t>1t/a</w:t>
                  </w:r>
                </w:p>
              </w:tc>
            </w:tr>
            <w:tr w14:paraId="3C135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trPr>
              <w:tc>
                <w:tcPr>
                  <w:tcW w:w="755" w:type="pct"/>
                  <w:vAlign w:val="center"/>
                </w:tcPr>
                <w:p w14:paraId="6DA8C69D">
                  <w:pPr>
                    <w:adjustRightInd w:val="0"/>
                    <w:snapToGrid w:val="0"/>
                    <w:jc w:val="center"/>
                    <w:rPr>
                      <w:rFonts w:eastAsia="宋体"/>
                      <w:color w:val="000000" w:themeColor="text1"/>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废机油</w:t>
                  </w:r>
                </w:p>
              </w:tc>
              <w:tc>
                <w:tcPr>
                  <w:tcW w:w="1489" w:type="pct"/>
                  <w:vAlign w:val="center"/>
                </w:tcPr>
                <w:p w14:paraId="7ED85A09">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现有5m</w:t>
                  </w:r>
                  <w:r>
                    <w:rPr>
                      <w:rFonts w:eastAsia="宋体"/>
                      <w:color w:val="000000" w:themeColor="text1"/>
                      <w:sz w:val="21"/>
                      <w:szCs w:val="21"/>
                      <w:vertAlign w:val="superscript"/>
                      <w14:textFill>
                        <w14:solidFill>
                          <w14:schemeClr w14:val="tx1"/>
                        </w14:solidFill>
                      </w14:textFill>
                    </w:rPr>
                    <w:t>2</w:t>
                  </w:r>
                  <w:r>
                    <w:rPr>
                      <w:rFonts w:eastAsia="宋体"/>
                      <w:color w:val="000000" w:themeColor="text1"/>
                      <w:sz w:val="21"/>
                      <w:szCs w:val="21"/>
                      <w14:textFill>
                        <w14:solidFill>
                          <w14:schemeClr w14:val="tx1"/>
                        </w14:solidFill>
                      </w14:textFill>
                    </w:rPr>
                    <w:t>危险废物贮存点</w:t>
                  </w:r>
                </w:p>
              </w:tc>
              <w:tc>
                <w:tcPr>
                  <w:tcW w:w="1885" w:type="pct"/>
                  <w:vAlign w:val="center"/>
                </w:tcPr>
                <w:p w14:paraId="4D0305C7">
                  <w:pPr>
                    <w:jc w:val="center"/>
                    <w:rPr>
                      <w:rFonts w:eastAsia="宋体"/>
                      <w:color w:val="000000" w:themeColor="text1"/>
                      <w:sz w:val="21"/>
                      <w:szCs w:val="21"/>
                      <w14:textFill>
                        <w14:solidFill>
                          <w14:schemeClr w14:val="tx1"/>
                        </w14:solidFill>
                      </w14:textFill>
                    </w:rPr>
                  </w:pPr>
                  <w:r>
                    <w:rPr>
                      <w:rFonts w:eastAsia="宋体"/>
                      <w:bCs/>
                      <w:color w:val="000000" w:themeColor="text1"/>
                      <w14:textFill>
                        <w14:solidFill>
                          <w14:schemeClr w14:val="tx1"/>
                        </w14:solidFill>
                      </w14:textFill>
                    </w:rPr>
                    <w:t>定期交由有资质的单位处理</w:t>
                  </w:r>
                </w:p>
              </w:tc>
              <w:tc>
                <w:tcPr>
                  <w:tcW w:w="871" w:type="pct"/>
                  <w:vAlign w:val="center"/>
                </w:tcPr>
                <w:p w14:paraId="08017C89">
                  <w:pPr>
                    <w:adjustRightInd w:val="0"/>
                    <w:snapToGrid w:val="0"/>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0.01t/a</w:t>
                  </w:r>
                </w:p>
              </w:tc>
            </w:tr>
          </w:tbl>
          <w:p w14:paraId="4CC8A605">
            <w:pPr>
              <w:pStyle w:val="2"/>
              <w:adjustRightInd w:val="0"/>
              <w:snapToGrid w:val="0"/>
              <w:spacing w:after="0"/>
              <w:ind w:left="0" w:leftChars="0" w:firstLine="0"/>
              <w:rPr>
                <w:color w:val="000000" w:themeColor="text1"/>
                <w14:textFill>
                  <w14:solidFill>
                    <w14:schemeClr w14:val="tx1"/>
                  </w14:solidFill>
                </w14:textFill>
              </w:rPr>
            </w:pPr>
          </w:p>
          <w:p w14:paraId="6A861962">
            <w:pPr>
              <w:pStyle w:val="24"/>
              <w:spacing w:line="360" w:lineRule="auto"/>
              <w:ind w:firstLine="482" w:firstLineChars="200"/>
              <w:rPr>
                <w:rFonts w:eastAsia="宋体"/>
                <w:b/>
                <w:bCs/>
                <w:snapToGrid w:val="0"/>
                <w:color w:val="000000" w:themeColor="text1"/>
                <w:kern w:val="2"/>
                <w:sz w:val="24"/>
                <w:szCs w:val="24"/>
                <w14:textFill>
                  <w14:solidFill>
                    <w14:schemeClr w14:val="tx1"/>
                  </w14:solidFill>
                </w14:textFill>
              </w:rPr>
            </w:pPr>
            <w:r>
              <w:rPr>
                <w:rFonts w:eastAsia="宋体"/>
                <w:b/>
                <w:bCs/>
                <w:snapToGrid w:val="0"/>
                <w:color w:val="000000" w:themeColor="text1"/>
                <w:kern w:val="2"/>
                <w:sz w:val="24"/>
                <w:szCs w:val="24"/>
                <w14:textFill>
                  <w14:solidFill>
                    <w14:schemeClr w14:val="tx1"/>
                  </w14:solidFill>
                </w14:textFill>
              </w:rPr>
              <w:t>2、固体废物管理要求</w:t>
            </w:r>
          </w:p>
          <w:p w14:paraId="3588C4F4">
            <w:pPr>
              <w:widowControl/>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一般工业固体废物及外来固废管理要求：</w:t>
            </w:r>
          </w:p>
          <w:p w14:paraId="5AF8A43F">
            <w:pPr>
              <w:widowControl/>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按照《中华人民共和国固体废物污染环境防治法》（2020修订）要求进行管理，企业建成投产后，将如实记录工业固体废物的种类、数量、流向、贮存、利用、处置等信息，实现工业固体废物可追溯，可查询的目的，推动企业提升固体废物管理水平。具体管理要求：</w:t>
            </w:r>
          </w:p>
          <w:p w14:paraId="0FC1FC67">
            <w:pPr>
              <w:widowControl/>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①</w:t>
            </w:r>
            <w:r>
              <w:rPr>
                <w:rFonts w:eastAsia="宋体"/>
                <w:color w:val="000000" w:themeColor="text1"/>
                <w:szCs w:val="22"/>
                <w14:textFill>
                  <w14:solidFill>
                    <w14:schemeClr w14:val="tx1"/>
                  </w14:solidFill>
                </w14:textFill>
              </w:rPr>
              <w:t>根据实际生产运营情况记录固体废物产生信息，包含一般固体废物的代码、名称、类别、产生环节、物理性状、主要成分、污染特性等，产生一次填写一次；</w:t>
            </w:r>
          </w:p>
          <w:p w14:paraId="1FFCA408">
            <w:pPr>
              <w:widowControl/>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②</w:t>
            </w:r>
            <w:r>
              <w:rPr>
                <w:rFonts w:eastAsia="宋体"/>
                <w:color w:val="000000" w:themeColor="text1"/>
                <w:szCs w:val="22"/>
                <w14:textFill>
                  <w14:solidFill>
                    <w14:schemeClr w14:val="tx1"/>
                  </w14:solidFill>
                </w14:textFill>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3A2D8B9E">
            <w:pPr>
              <w:widowControl/>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③</w:t>
            </w:r>
            <w:r>
              <w:rPr>
                <w:rFonts w:eastAsia="宋体"/>
                <w:color w:val="000000" w:themeColor="text1"/>
                <w:szCs w:val="22"/>
                <w14:textFill>
                  <w14:solidFill>
                    <w14:schemeClr w14:val="tx1"/>
                  </w14:solidFill>
                </w14:textFill>
              </w:rPr>
              <w:t>每一批次固体废物的出厂及转移信息记录，每批次填写一次；</w:t>
            </w:r>
          </w:p>
          <w:p w14:paraId="0051F588">
            <w:pPr>
              <w:widowControl/>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④</w:t>
            </w:r>
            <w:r>
              <w:rPr>
                <w:rFonts w:eastAsia="宋体"/>
                <w:color w:val="000000" w:themeColor="text1"/>
                <w:szCs w:val="22"/>
                <w14:textFill>
                  <w14:solidFill>
                    <w14:schemeClr w14:val="tx1"/>
                  </w14:solidFill>
                </w14:textFill>
              </w:rPr>
              <w:t>其他固体废物管理情况按需进行填写。台账记录表格需真实、完整、规范，产废单位应当设立专人负责台账的管理与归档，一般工业固体废物管理台账保存期限不少于5年。具体台账管理要求按照《一般工业固体废物管理台账制定指南》执行。</w:t>
            </w:r>
          </w:p>
          <w:p w14:paraId="634520AB">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危险废物管理要求：</w:t>
            </w:r>
          </w:p>
          <w:p w14:paraId="6E033E26">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项目依托现有厂区西南角5m</w:t>
            </w:r>
            <w:r>
              <w:rPr>
                <w:rFonts w:eastAsia="宋体"/>
                <w:color w:val="000000" w:themeColor="text1"/>
                <w:szCs w:val="22"/>
                <w:vertAlign w:val="superscript"/>
                <w14:textFill>
                  <w14:solidFill>
                    <w14:schemeClr w14:val="tx1"/>
                  </w14:solidFill>
                </w14:textFill>
              </w:rPr>
              <w:t>2</w:t>
            </w:r>
            <w:r>
              <w:rPr>
                <w:rFonts w:eastAsia="宋体"/>
                <w:color w:val="000000" w:themeColor="text1"/>
                <w:szCs w:val="22"/>
                <w14:textFill>
                  <w14:solidFill>
                    <w14:schemeClr w14:val="tx1"/>
                  </w14:solidFill>
                </w14:textFill>
              </w:rPr>
              <w:t>的危险废物贮存点。根据《危险废物贮存污染控制标准》（GB18597-2023）中的相关标准及要求，项目危废临时贮存应落实以下污染防治措施：</w:t>
            </w:r>
          </w:p>
          <w:p w14:paraId="0D7433F7">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（1）贮存点应具有固定的区域边界，并应采取与其他区域进行隔离的措施。</w:t>
            </w:r>
          </w:p>
          <w:p w14:paraId="3DFA3D75">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（2）贮存点应采取防风、防雨、防晒和防止危险废物流失、扬散等措施。</w:t>
            </w:r>
          </w:p>
          <w:p w14:paraId="44148A38">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（3）贮存点贮存的危险废物应置于容器或包装物中，不应直接散堆。</w:t>
            </w:r>
          </w:p>
          <w:p w14:paraId="63076294">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（4）贮存点应根据危险废物的形态、物理化学性质、包装形式等，采取防渗、防漏等污染防治措施或采用具有相应功能的装置。</w:t>
            </w:r>
          </w:p>
          <w:p w14:paraId="2D5DB89C">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（5）贮存点应及时清运贮存的危险废物，实时贮存量不应超过3吨。</w:t>
            </w:r>
          </w:p>
          <w:p w14:paraId="7F800146">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危险废物管理台账制定要求：</w:t>
            </w:r>
          </w:p>
          <w:p w14:paraId="6CBDDB01">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（1）产生危险废物的单位应建立危险废物管理台账，落实危险废物管理台账记录的责任人，明确工作职责，并对危险废物管理台账的真实性、准确性和完整性负法律责任。</w:t>
            </w:r>
          </w:p>
          <w:p w14:paraId="4A87A9E0">
            <w:pPr>
              <w:adjustRightInd w:val="0"/>
              <w:snapToGrid w:val="0"/>
              <w:spacing w:line="360" w:lineRule="auto"/>
              <w:ind w:firstLine="480" w:firstLineChars="200"/>
              <w:rPr>
                <w:rFonts w:eastAsia="宋体"/>
                <w:color w:val="000000" w:themeColor="text1"/>
                <w:szCs w:val="22"/>
                <w14:textFill>
                  <w14:solidFill>
                    <w14:schemeClr w14:val="tx1"/>
                  </w14:solidFill>
                </w14:textFill>
              </w:rPr>
            </w:pPr>
            <w:r>
              <w:rPr>
                <w:rFonts w:eastAsia="宋体"/>
                <w:color w:val="000000" w:themeColor="text1"/>
                <w:szCs w:val="22"/>
                <w14:textFill>
                  <w14:solidFill>
                    <w14:schemeClr w14:val="tx1"/>
                  </w14:solidFill>
                </w14:textFill>
              </w:rPr>
              <w:t>（2）产生危险废物的单位应根据危险废物产生、贮存、利用、处置等环节的动态流向，如实建立各环节的危险废物管理台账。</w:t>
            </w:r>
          </w:p>
          <w:p w14:paraId="518CE199">
            <w:pPr>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szCs w:val="22"/>
                <w14:textFill>
                  <w14:solidFill>
                    <w14:schemeClr w14:val="tx1"/>
                  </w14:solidFill>
                </w14:textFill>
              </w:rPr>
              <w:t>（3）危险废物管理台账分为电子管理台账和纸质管理台账两种形式。产生危险废物的单位可通过国家危险废物信息管理系统、企业自建信息管理系统或第三方平台等方式记录电子管理台账。具体管理台账参照《危险废物管理计划和管理台账制定技术导则》（HJ1259-2022）</w:t>
            </w:r>
            <w:r>
              <w:rPr>
                <w:rFonts w:eastAsia="宋体"/>
                <w:color w:val="000000" w:themeColor="text1"/>
                <w14:textFill>
                  <w14:solidFill>
                    <w14:schemeClr w14:val="tx1"/>
                  </w14:solidFill>
                </w14:textFill>
              </w:rPr>
              <w:t>。</w:t>
            </w:r>
          </w:p>
          <w:p w14:paraId="24B781A7">
            <w:pPr>
              <w:pStyle w:val="152"/>
              <w:spacing w:line="360" w:lineRule="auto"/>
              <w:ind w:firstLine="482" w:firstLineChars="200"/>
              <w:rPr>
                <w:rFonts w:eastAsia="宋体" w:cs="Times New Roman"/>
                <w:b/>
                <w:snapToGrid w:val="0"/>
                <w:color w:val="000000" w:themeColor="text1"/>
                <w:szCs w:val="24"/>
                <w14:textFill>
                  <w14:solidFill>
                    <w14:schemeClr w14:val="tx1"/>
                  </w14:solidFill>
                </w14:textFill>
              </w:rPr>
            </w:pPr>
            <w:r>
              <w:rPr>
                <w:rFonts w:eastAsia="宋体" w:cs="Times New Roman"/>
                <w:b/>
                <w:snapToGrid w:val="0"/>
                <w:color w:val="000000" w:themeColor="text1"/>
                <w:szCs w:val="24"/>
                <w14:textFill>
                  <w14:solidFill>
                    <w14:schemeClr w14:val="tx1"/>
                  </w14:solidFill>
                </w14:textFill>
              </w:rPr>
              <w:t>五、地下水，土壤</w:t>
            </w:r>
          </w:p>
          <w:p w14:paraId="2EF599B1">
            <w:pPr>
              <w:widowControl/>
              <w:adjustRightInd w:val="0"/>
              <w:snapToGrid w:val="0"/>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kern w:val="0"/>
                <w14:textFill>
                  <w14:solidFill>
                    <w14:schemeClr w14:val="tx1"/>
                  </w14:solidFill>
                </w14:textFill>
              </w:rPr>
              <w:t>依据《建设项目环境影响报告表编制技术指南（污染影响类）》（试行）中要求，</w:t>
            </w:r>
            <w:r>
              <w:rPr>
                <w:rFonts w:eastAsia="宋体"/>
                <w:color w:val="000000" w:themeColor="text1"/>
                <w:szCs w:val="22"/>
                <w14:textFill>
                  <w14:solidFill>
                    <w14:schemeClr w14:val="tx1"/>
                  </w14:solidFill>
                </w14:textFill>
              </w:rPr>
              <w:t>厂区通过采取相应的防渗措施后，可有效阻隔对土壤及地下水的污染途径，</w:t>
            </w:r>
            <w:r>
              <w:rPr>
                <w:rFonts w:eastAsia="宋体"/>
                <w:color w:val="000000" w:themeColor="text1"/>
                <w:kern w:val="0"/>
                <w14:textFill>
                  <w14:solidFill>
                    <w14:schemeClr w14:val="tx1"/>
                  </w14:solidFill>
                </w14:textFill>
              </w:rPr>
              <w:t>本项目运营期不存在土壤、地下水污染途径，因此不对土壤和地下水环境影响进行分析</w:t>
            </w:r>
            <w:r>
              <w:rPr>
                <w:rFonts w:eastAsia="宋体"/>
                <w:color w:val="000000" w:themeColor="text1"/>
                <w14:textFill>
                  <w14:solidFill>
                    <w14:schemeClr w14:val="tx1"/>
                  </w14:solidFill>
                </w14:textFill>
              </w:rPr>
              <w:t>。</w:t>
            </w:r>
          </w:p>
          <w:p w14:paraId="75C244CC">
            <w:pPr>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六、生态环境</w:t>
            </w:r>
          </w:p>
          <w:p w14:paraId="2A5C30E1">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本项目在原有项目厂界范围内进行建设，不新增用地，对生态环境影响较小。</w:t>
            </w:r>
          </w:p>
          <w:p w14:paraId="1F15F3B8">
            <w:pPr>
              <w:spacing w:line="360" w:lineRule="auto"/>
              <w:ind w:firstLine="482" w:firstLineChars="200"/>
              <w:rPr>
                <w:rFonts w:eastAsia="宋体"/>
                <w:b/>
                <w:bCs/>
                <w:color w:val="000000" w:themeColor="text1"/>
                <w14:textFill>
                  <w14:solidFill>
                    <w14:schemeClr w14:val="tx1"/>
                  </w14:solidFill>
                </w14:textFill>
              </w:rPr>
            </w:pPr>
            <w:r>
              <w:rPr>
                <w:rFonts w:eastAsia="宋体"/>
                <w:b/>
                <w:bCs/>
                <w:color w:val="000000" w:themeColor="text1"/>
                <w14:textFill>
                  <w14:solidFill>
                    <w14:schemeClr w14:val="tx1"/>
                  </w14:solidFill>
                </w14:textFill>
              </w:rPr>
              <w:t>七、环境风险影响分析及环保措施</w:t>
            </w:r>
          </w:p>
          <w:p w14:paraId="28339A35">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1、风险识别</w:t>
            </w:r>
          </w:p>
          <w:p w14:paraId="5EAFBE37">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按照《建设项目环境风险评价技术导则》（HJ169-2018）附录。根据本项目实际特点，主要涉及的风险物质为废机油，产生量为0.01t/a，临界量为2500t，Q=0.000004＜1，该项目环境风险潜势为Ⅰ。</w:t>
            </w:r>
          </w:p>
          <w:p w14:paraId="17213174">
            <w:pPr>
              <w:pStyle w:val="65"/>
              <w:rPr>
                <w:rFonts w:ascii="Times New Roman" w:hAnsi="Times New Roman" w:eastAsia="宋体"/>
                <w:color w:val="000000" w:themeColor="text1"/>
                <w:szCs w:val="24"/>
                <w:lang w:eastAsia="zh-CN"/>
                <w14:textFill>
                  <w14:solidFill>
                    <w14:schemeClr w14:val="tx1"/>
                  </w14:solidFill>
                </w14:textFill>
              </w:rPr>
            </w:pPr>
            <w:r>
              <w:rPr>
                <w:rFonts w:ascii="Times New Roman" w:hAnsi="Times New Roman" w:eastAsia="宋体"/>
                <w:color w:val="000000" w:themeColor="text1"/>
                <w:szCs w:val="24"/>
                <w:lang w:eastAsia="zh-CN"/>
                <w14:textFill>
                  <w14:solidFill>
                    <w14:schemeClr w14:val="tx1"/>
                  </w14:solidFill>
                </w14:textFill>
              </w:rPr>
              <w:t>2、风险源分布情况及可能影响途径</w:t>
            </w:r>
          </w:p>
          <w:p w14:paraId="6F72F113">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废机油暂存于危废贮存点，可能引起泄露、火灾等风险。</w:t>
            </w:r>
          </w:p>
          <w:p w14:paraId="2797601D">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3、环境风险防范措施</w:t>
            </w:r>
          </w:p>
          <w:p w14:paraId="0A1E3AD4">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 xml:space="preserve">为使环境风险减小到最低限度，必须加强劳动安全卫生管理，制定完备的安全防范措施，尽可能降低项目环境风险事故发生的概率。 </w:t>
            </w:r>
          </w:p>
          <w:p w14:paraId="28159811">
            <w:pPr>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①危险废物贮存点应设置一定数量的</w:t>
            </w:r>
            <w:r>
              <w:rPr>
                <w:rFonts w:ascii="宋体" w:hAnsi="宋体" w:eastAsia="宋体" w:cs="宋体"/>
                <w:color w:val="000000" w:themeColor="text1"/>
                <w14:textFill>
                  <w14:solidFill>
                    <w14:schemeClr w14:val="tx1"/>
                  </w14:solidFill>
                </w14:textFill>
              </w:rPr>
              <w:t>灭火器、消防栓等应急物资，贮存场所应地面应设置围堰、导流槽、应急收集设施，采取防渗措施。贮存场所应通风、阴凉、干燥，防止热胀冷缩，发生意外，与明火或普通电气设备的间距不小于10m。加强运输过程中的安全防火工作，运输车辆配备防火、灭火器材，严禁与易燃易爆物混合装箱运输；如发生交通事故和火灾，应立即采取急救措施并及时向当地环保局等有关部门报告。</w:t>
            </w:r>
          </w:p>
          <w:p w14:paraId="5F779865">
            <w:pPr>
              <w:spacing w:line="360" w:lineRule="auto"/>
              <w:ind w:firstLine="480" w:firstLineChars="20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eastAsia="宋体"/>
                <w:color w:val="000000" w:themeColor="text1"/>
                <w14:textFill>
                  <w14:solidFill>
                    <w14:schemeClr w14:val="tx1"/>
                  </w14:solidFill>
                </w14:textFill>
              </w:rPr>
              <w:t>必须进行安全生产和环保管理的培训，加强安全检查，使所有操作人员熟悉自己的岗位，树立严谨规范的操作作风，并且在任何紧急状况下都能随时对工艺装置进行控制，并及时、独立、正确地实施相关应急措施。</w:t>
            </w:r>
          </w:p>
          <w:p w14:paraId="5F5BFE40">
            <w:pPr>
              <w:spacing w:line="360" w:lineRule="auto"/>
              <w:ind w:firstLine="480" w:firstLineChars="200"/>
              <w:rPr>
                <w:rFonts w:eastAsia="宋体"/>
                <w:color w:val="000000" w:themeColor="text1"/>
                <w14:textFill>
                  <w14:solidFill>
                    <w14:schemeClr w14:val="tx1"/>
                  </w14:solidFill>
                </w14:textFill>
              </w:rPr>
            </w:pPr>
            <w:r>
              <w:rPr>
                <w:rFonts w:eastAsia="宋体"/>
                <w:color w:val="000000" w:themeColor="text1"/>
                <w14:textFill>
                  <w14:solidFill>
                    <w14:schemeClr w14:val="tx1"/>
                  </w14:solidFill>
                </w14:textFill>
              </w:rPr>
              <w:t>综上分析，只要企业能够认真执行本报告中关于风险管理方面的内容，并充分落实、加强管理，杜绝违章操作，完善各类安全设备、设施，建立相应的风险管理制度和应急救援预案，严格执行遵守风险管理制度和操作规程，就能够保证环境风险管理措施有效、可靠，降低本项目的风险值，使本项目的环境风险达到可接受的水平。项目从环境风险角度分析，项目风险是可控可防。</w:t>
            </w:r>
          </w:p>
        </w:tc>
      </w:tr>
    </w:tbl>
    <w:p w14:paraId="15BD3C80">
      <w:pPr>
        <w:pStyle w:val="35"/>
        <w:adjustRightInd w:val="0"/>
        <w:spacing w:before="0" w:after="0" w:line="360" w:lineRule="auto"/>
        <w:ind w:firstLine="480" w:firstLineChars="200"/>
        <w:rPr>
          <w:color w:val="000000" w:themeColor="text1"/>
          <w:kern w:val="2"/>
          <w:sz w:val="24"/>
          <w:szCs w:val="24"/>
          <w14:textFill>
            <w14:solidFill>
              <w14:schemeClr w14:val="tx1"/>
            </w14:solidFill>
          </w14:textFill>
        </w:rPr>
        <w:sectPr>
          <w:footerReference r:id="rId4" w:type="default"/>
          <w:pgSz w:w="11906" w:h="16838"/>
          <w:pgMar w:top="1701" w:right="1531" w:bottom="1701" w:left="1531" w:header="851" w:footer="851" w:gutter="0"/>
          <w:cols w:space="720" w:num="1"/>
          <w:docGrid w:linePitch="312" w:charSpace="0"/>
        </w:sectPr>
      </w:pPr>
    </w:p>
    <w:p w14:paraId="17C6B9BE">
      <w:pPr>
        <w:pStyle w:val="33"/>
        <w:adjustRightInd w:val="0"/>
        <w:snapToGrid w:val="0"/>
        <w:spacing w:before="0" w:beforeAutospacing="0" w:after="0" w:afterAutospacing="0"/>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6" w:name="_Hlk54167917"/>
      <w:r>
        <w:rPr>
          <w:rFonts w:ascii="Times New Roman" w:hAnsi="Times New Roman" w:eastAsia="黑体"/>
          <w:snapToGrid w:val="0"/>
          <w:color w:val="000000" w:themeColor="text1"/>
          <w:sz w:val="30"/>
          <w:szCs w:val="30"/>
          <w14:textFill>
            <w14:solidFill>
              <w14:schemeClr w14:val="tx1"/>
            </w14:solidFill>
          </w14:textFill>
        </w:rPr>
        <w:t>五、环境保护措施监督检查清单</w:t>
      </w:r>
      <w:bookmarkEnd w:id="16"/>
    </w:p>
    <w:tbl>
      <w:tblPr>
        <w:tblStyle w:val="36"/>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590"/>
        <w:gridCol w:w="1392"/>
        <w:gridCol w:w="3118"/>
        <w:gridCol w:w="2000"/>
      </w:tblGrid>
      <w:tr w14:paraId="3E4CE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op w:val="single" w:color="auto" w:sz="12" w:space="0"/>
              <w:bottom w:val="single" w:color="auto" w:sz="4" w:space="0"/>
              <w:tl2br w:val="single" w:color="auto" w:sz="12" w:space="0"/>
              <w:tr2bl w:val="nil"/>
            </w:tcBorders>
            <w:vAlign w:val="center"/>
          </w:tcPr>
          <w:p w14:paraId="3DD06D30">
            <w:pPr>
              <w:pStyle w:val="132"/>
              <w:widowControl w:val="0"/>
              <w:overflowPunct w:val="0"/>
              <w:spacing w:line="240" w:lineRule="auto"/>
              <w:ind w:firstLine="0" w:firstLineChars="0"/>
              <w:jc w:val="right"/>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内容</w:t>
            </w:r>
          </w:p>
          <w:p w14:paraId="7FF9A8FE">
            <w:pPr>
              <w:pStyle w:val="132"/>
              <w:widowControl w:val="0"/>
              <w:overflowPunct w:val="0"/>
              <w:spacing w:line="240" w:lineRule="auto"/>
              <w:ind w:firstLine="0" w:firstLineChars="0"/>
              <w:jc w:val="right"/>
              <w:rPr>
                <w:rFonts w:hAnsi="Times New Roman"/>
                <w:b/>
                <w:color w:val="000000" w:themeColor="text1"/>
                <w:kern w:val="2"/>
                <w:sz w:val="21"/>
                <w:szCs w:val="21"/>
                <w14:textFill>
                  <w14:solidFill>
                    <w14:schemeClr w14:val="tx1"/>
                  </w14:solidFill>
                </w14:textFill>
              </w:rPr>
            </w:pPr>
          </w:p>
          <w:p w14:paraId="27D52152">
            <w:pPr>
              <w:pStyle w:val="132"/>
              <w:widowControl w:val="0"/>
              <w:overflowPunct w:val="0"/>
              <w:spacing w:line="240" w:lineRule="auto"/>
              <w:ind w:firstLine="0" w:firstLineChars="0"/>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要素</w:t>
            </w:r>
          </w:p>
        </w:tc>
        <w:tc>
          <w:tcPr>
            <w:tcW w:w="1590" w:type="dxa"/>
            <w:tcBorders>
              <w:tl2br w:val="nil"/>
              <w:tr2bl w:val="nil"/>
            </w:tcBorders>
            <w:vAlign w:val="center"/>
          </w:tcPr>
          <w:p w14:paraId="366C02CF">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排放口（编号、名称）/污染源</w:t>
            </w:r>
          </w:p>
        </w:tc>
        <w:tc>
          <w:tcPr>
            <w:tcW w:w="1392" w:type="dxa"/>
            <w:tcBorders>
              <w:tl2br w:val="nil"/>
              <w:tr2bl w:val="nil"/>
            </w:tcBorders>
            <w:vAlign w:val="center"/>
          </w:tcPr>
          <w:p w14:paraId="68B485A1">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污染物项目</w:t>
            </w:r>
          </w:p>
        </w:tc>
        <w:tc>
          <w:tcPr>
            <w:tcW w:w="3118" w:type="dxa"/>
            <w:tcBorders>
              <w:tl2br w:val="nil"/>
              <w:tr2bl w:val="nil"/>
            </w:tcBorders>
            <w:vAlign w:val="center"/>
          </w:tcPr>
          <w:p w14:paraId="707767CC">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环境保护措施</w:t>
            </w:r>
          </w:p>
        </w:tc>
        <w:tc>
          <w:tcPr>
            <w:tcW w:w="2000" w:type="dxa"/>
            <w:tcBorders>
              <w:tl2br w:val="nil"/>
              <w:tr2bl w:val="nil"/>
            </w:tcBorders>
            <w:vAlign w:val="center"/>
          </w:tcPr>
          <w:p w14:paraId="2FD5F60C">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执行标准</w:t>
            </w:r>
          </w:p>
        </w:tc>
      </w:tr>
      <w:tr w14:paraId="4CE29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restart"/>
            <w:tcBorders>
              <w:top w:val="single" w:color="auto" w:sz="4" w:space="0"/>
              <w:tl2br w:val="nil"/>
              <w:tr2bl w:val="nil"/>
            </w:tcBorders>
            <w:vAlign w:val="center"/>
          </w:tcPr>
          <w:p w14:paraId="26E42109">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大气环境</w:t>
            </w:r>
          </w:p>
        </w:tc>
        <w:tc>
          <w:tcPr>
            <w:tcW w:w="1590" w:type="dxa"/>
            <w:tcBorders>
              <w:tl2br w:val="nil"/>
              <w:tr2bl w:val="nil"/>
            </w:tcBorders>
            <w:vAlign w:val="center"/>
          </w:tcPr>
          <w:p w14:paraId="18D41E47">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石灰石投料粉磨粉尘DA003</w:t>
            </w:r>
          </w:p>
        </w:tc>
        <w:tc>
          <w:tcPr>
            <w:tcW w:w="1392" w:type="dxa"/>
            <w:tcBorders>
              <w:tl2br w:val="nil"/>
              <w:tr2bl w:val="nil"/>
            </w:tcBorders>
            <w:vAlign w:val="center"/>
          </w:tcPr>
          <w:p w14:paraId="1C9A52A0">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67608CE1">
            <w:pPr>
              <w:pStyle w:val="68"/>
              <w:adjustRightInd/>
              <w:snapToGrid/>
              <w:spacing w:beforeLines="0" w:afterLines="0" w:line="240" w:lineRule="auto"/>
              <w:ind w:firstLine="0"/>
              <w:rPr>
                <w:rFonts w:ascii="Times New Roman" w:eastAsia="宋体"/>
                <w:snapToGrid w:val="0"/>
                <w:color w:val="000000" w:themeColor="text1"/>
                <w:kern w:val="2"/>
                <w:sz w:val="21"/>
                <w:szCs w:val="21"/>
                <w:lang w:bidi="ar"/>
                <w14:textFill>
                  <w14:solidFill>
                    <w14:schemeClr w14:val="tx1"/>
                  </w14:solidFill>
                </w14:textFill>
              </w:rPr>
            </w:pPr>
            <w:r>
              <w:rPr>
                <w:rFonts w:ascii="Times New Roman" w:eastAsia="宋体"/>
                <w:bCs/>
                <w:snapToGrid w:val="0"/>
                <w:color w:val="000000" w:themeColor="text1"/>
                <w:kern w:val="2"/>
                <w:sz w:val="21"/>
                <w:szCs w:val="21"/>
                <w:lang w:bidi="ar"/>
                <w14:textFill>
                  <w14:solidFill>
                    <w14:schemeClr w14:val="tx1"/>
                  </w14:solidFill>
                </w14:textFill>
              </w:rPr>
              <w:t>投料口</w:t>
            </w:r>
            <w:r>
              <w:rPr>
                <w:rFonts w:ascii="Times New Roman" w:eastAsia="宋体"/>
                <w:bCs/>
                <w:snapToGrid w:val="0"/>
                <w:color w:val="000000" w:themeColor="text1"/>
                <w:kern w:val="2"/>
                <w:sz w:val="21"/>
                <w:szCs w:val="21"/>
                <w:lang w:bidi="en-US"/>
                <w14:textFill>
                  <w14:solidFill>
                    <w14:schemeClr w14:val="tx1"/>
                  </w14:solidFill>
                </w14:textFill>
              </w:rPr>
              <w:t>设置1个集气罩（集气效率90%）</w:t>
            </w:r>
            <w:r>
              <w:rPr>
                <w:rFonts w:ascii="Times New Roman" w:eastAsia="宋体"/>
                <w:bCs/>
                <w:snapToGrid w:val="0"/>
                <w:color w:val="000000" w:themeColor="text1"/>
                <w:kern w:val="2"/>
                <w:sz w:val="21"/>
                <w:szCs w:val="21"/>
                <w:lang w:bidi="ar"/>
                <w14:textFill>
                  <w14:solidFill>
                    <w14:schemeClr w14:val="tx1"/>
                  </w14:solidFill>
                </w14:textFill>
              </w:rPr>
              <w:t>对产生的粉尘进行收集，</w:t>
            </w:r>
            <w:r>
              <w:rPr>
                <w:rFonts w:hint="eastAsia" w:ascii="Times New Roman" w:eastAsia="宋体"/>
                <w:snapToGrid w:val="0"/>
                <w:color w:val="000000" w:themeColor="text1"/>
                <w:kern w:val="2"/>
                <w:sz w:val="21"/>
                <w:szCs w:val="21"/>
                <w:lang w:bidi="ar"/>
                <w14:textFill>
                  <w14:solidFill>
                    <w14:schemeClr w14:val="tx1"/>
                  </w14:solidFill>
                </w14:textFill>
              </w:rPr>
              <w:t>粉磨机为封闭式结构，3台磨粉机产生的含尘气体通过密闭管道收集汇总，汇同</w:t>
            </w:r>
            <w:r>
              <w:rPr>
                <w:rFonts w:ascii="Times New Roman" w:eastAsia="宋体"/>
                <w:bCs/>
                <w:snapToGrid w:val="0"/>
                <w:color w:val="000000" w:themeColor="text1"/>
                <w:kern w:val="2"/>
                <w:sz w:val="21"/>
                <w:szCs w:val="21"/>
                <w:lang w:bidi="ar"/>
                <w14:textFill>
                  <w14:solidFill>
                    <w14:schemeClr w14:val="tx1"/>
                  </w14:solidFill>
                </w14:textFill>
              </w:rPr>
              <w:t>投料粉尘</w:t>
            </w:r>
            <w:r>
              <w:rPr>
                <w:rFonts w:hint="eastAsia" w:ascii="Times New Roman" w:eastAsia="宋体"/>
                <w:snapToGrid w:val="0"/>
                <w:color w:val="000000" w:themeColor="text1"/>
                <w:kern w:val="2"/>
                <w:sz w:val="21"/>
                <w:szCs w:val="21"/>
                <w:lang w:bidi="ar"/>
                <w14:textFill>
                  <w14:solidFill>
                    <w14:schemeClr w14:val="tx1"/>
                  </w14:solidFill>
                </w14:textFill>
              </w:rPr>
              <w:t>一同送入1台高效脉冲袋式除尘器（3#，除尘效率99%）处理后由15m高排气筒（DA003）排放</w:t>
            </w:r>
            <w:r>
              <w:rPr>
                <w:rFonts w:ascii="Times New Roman" w:eastAsia="宋体"/>
                <w:snapToGrid w:val="0"/>
                <w:color w:val="000000" w:themeColor="text1"/>
                <w:kern w:val="2"/>
                <w:sz w:val="21"/>
                <w:szCs w:val="21"/>
                <w:lang w:bidi="ar"/>
                <w14:textFill>
                  <w14:solidFill>
                    <w14:schemeClr w14:val="tx1"/>
                  </w14:solidFill>
                </w14:textFill>
              </w:rPr>
              <w:t>。</w:t>
            </w:r>
          </w:p>
        </w:tc>
        <w:tc>
          <w:tcPr>
            <w:tcW w:w="2000" w:type="dxa"/>
            <w:tcBorders>
              <w:tl2br w:val="nil"/>
              <w:tr2bl w:val="nil"/>
            </w:tcBorders>
            <w:vAlign w:val="center"/>
          </w:tcPr>
          <w:p w14:paraId="7E097BE3">
            <w:pPr>
              <w:jc w:val="center"/>
              <w:rPr>
                <w:rFonts w:eastAsia="宋体"/>
                <w:bCs/>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《石灰、电石工业大气污染物排放标准》（GB41618-2022）中石灰制品生产大气排放标准限值</w:t>
            </w:r>
          </w:p>
        </w:tc>
      </w:tr>
      <w:tr w14:paraId="73C699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op w:val="single" w:color="auto" w:sz="4" w:space="0"/>
              <w:tl2br w:val="nil"/>
              <w:tr2bl w:val="nil"/>
            </w:tcBorders>
            <w:vAlign w:val="center"/>
          </w:tcPr>
          <w:p w14:paraId="4CE26DF7">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25A17A78">
            <w:pPr>
              <w:pStyle w:val="165"/>
              <w:adjustRightInd/>
              <w:snapToGrid/>
              <w:rPr>
                <w:rFonts w:eastAsia="宋体"/>
                <w:color w:val="000000" w:themeColor="text1"/>
                <w:sz w:val="21"/>
                <w14:textFill>
                  <w14:solidFill>
                    <w14:schemeClr w14:val="tx1"/>
                  </w14:solidFill>
                </w14:textFill>
              </w:rPr>
            </w:pPr>
            <w:r>
              <w:rPr>
                <w:rFonts w:hint="eastAsia" w:eastAsia="宋体"/>
                <w:color w:val="000000" w:themeColor="text1"/>
                <w:sz w:val="21"/>
                <w14:textFill>
                  <w14:solidFill>
                    <w14:schemeClr w14:val="tx1"/>
                  </w14:solidFill>
                </w14:textFill>
              </w:rPr>
              <w:t>建筑垃圾给料、破碎、筛分粉尘</w:t>
            </w:r>
            <w:r>
              <w:rPr>
                <w:rFonts w:eastAsia="宋体"/>
                <w:color w:val="000000" w:themeColor="text1"/>
                <w:sz w:val="21"/>
                <w:szCs w:val="21"/>
                <w14:textFill>
                  <w14:solidFill>
                    <w14:schemeClr w14:val="tx1"/>
                  </w14:solidFill>
                </w14:textFill>
              </w:rPr>
              <w:t>DA004</w:t>
            </w:r>
          </w:p>
        </w:tc>
        <w:tc>
          <w:tcPr>
            <w:tcW w:w="1392" w:type="dxa"/>
            <w:tcBorders>
              <w:tl2br w:val="nil"/>
              <w:tr2bl w:val="nil"/>
            </w:tcBorders>
            <w:vAlign w:val="center"/>
          </w:tcPr>
          <w:p w14:paraId="3EE409FD">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4D5FF1D2">
            <w:pPr>
              <w:pStyle w:val="68"/>
              <w:adjustRightInd/>
              <w:snapToGrid/>
              <w:spacing w:beforeLines="0" w:afterLines="0" w:line="240" w:lineRule="auto"/>
              <w:ind w:firstLine="0"/>
              <w:rPr>
                <w:rFonts w:ascii="Times New Roman" w:eastAsia="宋体"/>
                <w:bCs/>
                <w:color w:val="000000" w:themeColor="text1"/>
                <w:sz w:val="21"/>
                <w14:textFill>
                  <w14:solidFill>
                    <w14:schemeClr w14:val="tx1"/>
                  </w14:solidFill>
                </w14:textFill>
              </w:rPr>
            </w:pPr>
            <w:r>
              <w:rPr>
                <w:rFonts w:hint="eastAsia" w:ascii="Times New Roman" w:eastAsia="宋体"/>
                <w:bCs/>
                <w:color w:val="000000" w:themeColor="text1"/>
                <w:sz w:val="21"/>
                <w14:textFill>
                  <w14:solidFill>
                    <w14:schemeClr w14:val="tx1"/>
                  </w14:solidFill>
                </w14:textFill>
              </w:rPr>
              <w:t>建筑垃圾加工生产线进行封闭处理，</w:t>
            </w:r>
            <w:r>
              <w:rPr>
                <w:rFonts w:ascii="Times New Roman" w:eastAsia="宋体"/>
                <w:bCs/>
                <w:color w:val="000000" w:themeColor="text1"/>
                <w:sz w:val="21"/>
                <w14:textFill>
                  <w14:solidFill>
                    <w14:schemeClr w14:val="tx1"/>
                  </w14:solidFill>
                </w14:textFill>
              </w:rPr>
              <w:t>给料台和破碎机出口各设置1个集气罩（集气效率90%），收集后经1台高效脉冲袋式除尘器（4#，除尘效率99%）处理后由15m高排气筒（DA004）排放。</w:t>
            </w:r>
          </w:p>
        </w:tc>
        <w:tc>
          <w:tcPr>
            <w:tcW w:w="2000" w:type="dxa"/>
            <w:tcBorders>
              <w:tl2br w:val="nil"/>
              <w:tr2bl w:val="nil"/>
            </w:tcBorders>
            <w:vAlign w:val="center"/>
          </w:tcPr>
          <w:p w14:paraId="74CCE6FE">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《大气污染物综合排放标准》（GB16297-1996）</w:t>
            </w:r>
            <w:r>
              <w:rPr>
                <w:rFonts w:eastAsia="宋体"/>
                <w:bCs/>
                <w:color w:val="000000" w:themeColor="text1"/>
                <w:sz w:val="21"/>
                <w:szCs w:val="21"/>
                <w14:textFill>
                  <w14:solidFill>
                    <w14:schemeClr w14:val="tx1"/>
                  </w14:solidFill>
                </w14:textFill>
              </w:rPr>
              <w:t>表2中二级标准限值要求</w:t>
            </w:r>
          </w:p>
        </w:tc>
      </w:tr>
      <w:tr w14:paraId="78A38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op w:val="single" w:color="auto" w:sz="4" w:space="0"/>
              <w:tl2br w:val="nil"/>
              <w:tr2bl w:val="nil"/>
            </w:tcBorders>
            <w:vAlign w:val="center"/>
          </w:tcPr>
          <w:p w14:paraId="011809F3">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12425DD0">
            <w:pPr>
              <w:pStyle w:val="165"/>
              <w:adjustRightInd/>
              <w:snapToGrid/>
              <w:rPr>
                <w:rFonts w:eastAsia="宋体"/>
                <w:color w:val="000000" w:themeColor="text1"/>
                <w:sz w:val="21"/>
                <w14:textFill>
                  <w14:solidFill>
                    <w14:schemeClr w14:val="tx1"/>
                  </w14:solidFill>
                </w14:textFill>
              </w:rPr>
            </w:pPr>
            <w:r>
              <w:rPr>
                <w:rFonts w:eastAsia="宋体"/>
                <w:bCs/>
                <w:color w:val="000000" w:themeColor="text1"/>
                <w:sz w:val="21"/>
                <w14:textFill>
                  <w14:solidFill>
                    <w14:schemeClr w14:val="tx1"/>
                  </w14:solidFill>
                </w14:textFill>
              </w:rPr>
              <w:t>石灰石卸料及堆存</w:t>
            </w:r>
          </w:p>
        </w:tc>
        <w:tc>
          <w:tcPr>
            <w:tcW w:w="1392" w:type="dxa"/>
            <w:tcBorders>
              <w:tl2br w:val="nil"/>
              <w:tr2bl w:val="nil"/>
            </w:tcBorders>
            <w:vAlign w:val="center"/>
          </w:tcPr>
          <w:p w14:paraId="1715A053">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33B45221">
            <w:pPr>
              <w:pStyle w:val="68"/>
              <w:adjustRightInd/>
              <w:snapToGrid/>
              <w:spacing w:beforeLines="0" w:afterLines="0" w:line="240" w:lineRule="auto"/>
              <w:ind w:firstLine="0"/>
              <w:rPr>
                <w:rFonts w:ascii="Times New Roman" w:eastAsia="宋体"/>
                <w:bCs/>
                <w:color w:val="000000" w:themeColor="text1"/>
                <w:sz w:val="21"/>
                <w14:textFill>
                  <w14:solidFill>
                    <w14:schemeClr w14:val="tx1"/>
                  </w14:solidFill>
                </w14:textFill>
              </w:rPr>
            </w:pPr>
            <w:r>
              <w:rPr>
                <w:rFonts w:ascii="Times New Roman" w:eastAsia="宋体"/>
                <w:bCs/>
                <w:color w:val="000000" w:themeColor="text1"/>
                <w:sz w:val="21"/>
                <w14:textFill>
                  <w14:solidFill>
                    <w14:schemeClr w14:val="tx1"/>
                  </w14:solidFill>
                </w14:textFill>
              </w:rPr>
              <w:t>石灰石料仓除车辆进出时均保持仓门常闭，且仓内设置雾化喷淋系统抑尘。</w:t>
            </w:r>
          </w:p>
        </w:tc>
        <w:tc>
          <w:tcPr>
            <w:tcW w:w="2000" w:type="dxa"/>
            <w:vMerge w:val="restart"/>
            <w:tcBorders>
              <w:tl2br w:val="nil"/>
              <w:tr2bl w:val="nil"/>
            </w:tcBorders>
            <w:vAlign w:val="center"/>
          </w:tcPr>
          <w:p w14:paraId="27BF8023">
            <w:pPr>
              <w:jc w:val="center"/>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《大气污染物综合排放标准》（GB16297-1996）无组织排放监控限值</w:t>
            </w:r>
          </w:p>
        </w:tc>
      </w:tr>
      <w:tr w14:paraId="5595A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op w:val="single" w:color="auto" w:sz="4" w:space="0"/>
              <w:tl2br w:val="nil"/>
              <w:tr2bl w:val="nil"/>
            </w:tcBorders>
            <w:vAlign w:val="center"/>
          </w:tcPr>
          <w:p w14:paraId="36CCA1A8">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63628CDC">
            <w:pPr>
              <w:pStyle w:val="165"/>
              <w:adjustRightInd/>
              <w:snapToGrid/>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石灰石筒仓储存</w:t>
            </w:r>
          </w:p>
        </w:tc>
        <w:tc>
          <w:tcPr>
            <w:tcW w:w="1392" w:type="dxa"/>
            <w:tcBorders>
              <w:tl2br w:val="nil"/>
              <w:tr2bl w:val="nil"/>
            </w:tcBorders>
            <w:vAlign w:val="center"/>
          </w:tcPr>
          <w:p w14:paraId="56C2C42A">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08EC5CD9">
            <w:pPr>
              <w:pStyle w:val="68"/>
              <w:adjustRightInd/>
              <w:snapToGrid/>
              <w:spacing w:beforeLines="0" w:afterLines="0" w:line="240" w:lineRule="auto"/>
              <w:ind w:firstLine="0"/>
              <w:rPr>
                <w:rFonts w:ascii="Times New Roman" w:eastAsia="宋体"/>
                <w:bCs/>
                <w:color w:val="000000" w:themeColor="text1"/>
                <w:sz w:val="21"/>
                <w14:textFill>
                  <w14:solidFill>
                    <w14:schemeClr w14:val="tx1"/>
                  </w14:solidFill>
                </w14:textFill>
              </w:rPr>
            </w:pPr>
            <w:r>
              <w:rPr>
                <w:rFonts w:ascii="Times New Roman" w:eastAsia="宋体"/>
                <w:color w:val="000000" w:themeColor="text1"/>
                <w:sz w:val="21"/>
                <w14:textFill>
                  <w14:solidFill>
                    <w14:schemeClr w14:val="tx1"/>
                  </w14:solidFill>
                </w14:textFill>
              </w:rPr>
              <w:t>每座罐仓仓顶自带高效脉冲布袋除尘器（除尘效率99%）处理后由顶部排放。</w:t>
            </w:r>
          </w:p>
        </w:tc>
        <w:tc>
          <w:tcPr>
            <w:tcW w:w="2000" w:type="dxa"/>
            <w:vMerge w:val="continue"/>
            <w:tcBorders>
              <w:tl2br w:val="nil"/>
              <w:tr2bl w:val="nil"/>
            </w:tcBorders>
            <w:vAlign w:val="center"/>
          </w:tcPr>
          <w:p w14:paraId="6EB29F49">
            <w:pPr>
              <w:jc w:val="center"/>
              <w:rPr>
                <w:rFonts w:eastAsia="宋体"/>
                <w:color w:val="000000" w:themeColor="text1"/>
                <w:sz w:val="21"/>
                <w:szCs w:val="21"/>
                <w14:textFill>
                  <w14:solidFill>
                    <w14:schemeClr w14:val="tx1"/>
                  </w14:solidFill>
                </w14:textFill>
              </w:rPr>
            </w:pPr>
          </w:p>
        </w:tc>
      </w:tr>
      <w:tr w14:paraId="0B559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op w:val="single" w:color="auto" w:sz="4" w:space="0"/>
              <w:tl2br w:val="nil"/>
              <w:tr2bl w:val="nil"/>
            </w:tcBorders>
            <w:vAlign w:val="center"/>
          </w:tcPr>
          <w:p w14:paraId="0B9C68D7">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0A6EBC0E">
            <w:pPr>
              <w:pStyle w:val="165"/>
              <w:adjustRightInd/>
              <w:snapToGrid/>
              <w:rPr>
                <w:rFonts w:eastAsia="宋体"/>
                <w:color w:val="000000" w:themeColor="text1"/>
                <w:sz w:val="21"/>
                <w14:textFill>
                  <w14:solidFill>
                    <w14:schemeClr w14:val="tx1"/>
                  </w14:solidFill>
                </w14:textFill>
              </w:rPr>
            </w:pPr>
            <w:r>
              <w:rPr>
                <w:rFonts w:eastAsia="宋体"/>
                <w:color w:val="000000" w:themeColor="text1"/>
                <w:sz w:val="21"/>
                <w14:textFill>
                  <w14:solidFill>
                    <w14:schemeClr w14:val="tx1"/>
                  </w14:solidFill>
                </w14:textFill>
              </w:rPr>
              <w:t>建筑垃圾卸料及堆存</w:t>
            </w:r>
          </w:p>
        </w:tc>
        <w:tc>
          <w:tcPr>
            <w:tcW w:w="1392" w:type="dxa"/>
            <w:tcBorders>
              <w:tl2br w:val="nil"/>
              <w:tr2bl w:val="nil"/>
            </w:tcBorders>
            <w:vAlign w:val="center"/>
          </w:tcPr>
          <w:p w14:paraId="553109B0">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554D87A8">
            <w:pPr>
              <w:pStyle w:val="68"/>
              <w:adjustRightInd/>
              <w:snapToGrid/>
              <w:spacing w:beforeLines="0" w:afterLines="0" w:line="240" w:lineRule="auto"/>
              <w:ind w:firstLine="0"/>
              <w:rPr>
                <w:rFonts w:ascii="Times New Roman" w:eastAsia="宋体"/>
                <w:bCs/>
                <w:color w:val="000000" w:themeColor="text1"/>
                <w:sz w:val="21"/>
                <w14:textFill>
                  <w14:solidFill>
                    <w14:schemeClr w14:val="tx1"/>
                  </w14:solidFill>
                </w14:textFill>
              </w:rPr>
            </w:pPr>
            <w:r>
              <w:rPr>
                <w:rFonts w:ascii="Times New Roman" w:eastAsia="宋体"/>
                <w:bCs/>
                <w:color w:val="000000" w:themeColor="text1"/>
                <w:sz w:val="21"/>
                <w14:textFill>
                  <w14:solidFill>
                    <w14:schemeClr w14:val="tx1"/>
                  </w14:solidFill>
                </w14:textFill>
              </w:rPr>
              <w:t>建筑垃圾料仓除车辆进出时均保持仓门常闭，且仓内设置雾化喷淋系统抑尘。</w:t>
            </w:r>
          </w:p>
        </w:tc>
        <w:tc>
          <w:tcPr>
            <w:tcW w:w="2000" w:type="dxa"/>
            <w:vMerge w:val="continue"/>
            <w:tcBorders>
              <w:tl2br w:val="nil"/>
              <w:tr2bl w:val="nil"/>
            </w:tcBorders>
            <w:vAlign w:val="center"/>
          </w:tcPr>
          <w:p w14:paraId="1A5A0A9B">
            <w:pPr>
              <w:jc w:val="center"/>
              <w:rPr>
                <w:rFonts w:eastAsia="宋体"/>
                <w:color w:val="000000" w:themeColor="text1"/>
                <w:sz w:val="21"/>
                <w:szCs w:val="21"/>
                <w14:textFill>
                  <w14:solidFill>
                    <w14:schemeClr w14:val="tx1"/>
                  </w14:solidFill>
                </w14:textFill>
              </w:rPr>
            </w:pPr>
          </w:p>
        </w:tc>
      </w:tr>
      <w:tr w14:paraId="609F1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l2br w:val="nil"/>
              <w:tr2bl w:val="nil"/>
            </w:tcBorders>
            <w:vAlign w:val="center"/>
          </w:tcPr>
          <w:p w14:paraId="2D16DB45">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60E6B617">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给料、破碎、筛分粉尘DA004</w:t>
            </w:r>
          </w:p>
        </w:tc>
        <w:tc>
          <w:tcPr>
            <w:tcW w:w="1392" w:type="dxa"/>
            <w:tcBorders>
              <w:tl2br w:val="nil"/>
              <w:tr2bl w:val="nil"/>
            </w:tcBorders>
            <w:vAlign w:val="center"/>
          </w:tcPr>
          <w:p w14:paraId="0DE469E6">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0EBF525B">
            <w:pPr>
              <w:pStyle w:val="68"/>
              <w:adjustRightInd/>
              <w:snapToGrid/>
              <w:spacing w:beforeLines="0" w:afterLines="0" w:line="240" w:lineRule="auto"/>
              <w:ind w:firstLine="0"/>
              <w:rPr>
                <w:rFonts w:ascii="Times New Roman" w:eastAsia="宋体"/>
                <w:snapToGrid w:val="0"/>
                <w:color w:val="000000" w:themeColor="text1"/>
                <w:kern w:val="2"/>
                <w:sz w:val="21"/>
                <w:szCs w:val="21"/>
                <w:lang w:bidi="ar"/>
                <w14:textFill>
                  <w14:solidFill>
                    <w14:schemeClr w14:val="tx1"/>
                  </w14:solidFill>
                </w14:textFill>
              </w:rPr>
            </w:pPr>
            <w:r>
              <w:rPr>
                <w:rFonts w:ascii="Times New Roman" w:eastAsia="宋体"/>
                <w:snapToGrid w:val="0"/>
                <w:color w:val="000000" w:themeColor="text1"/>
                <w:kern w:val="2"/>
                <w:sz w:val="21"/>
                <w:szCs w:val="21"/>
                <w:lang w:bidi="ar"/>
                <w14:textFill>
                  <w14:solidFill>
                    <w14:schemeClr w14:val="tx1"/>
                  </w14:solidFill>
                </w14:textFill>
              </w:rPr>
              <w:t>集气罩收集后经高效脉冲袋式除尘器处理，由24m高排气筒（DA003）排放</w:t>
            </w:r>
          </w:p>
        </w:tc>
        <w:tc>
          <w:tcPr>
            <w:tcW w:w="2000" w:type="dxa"/>
            <w:vMerge w:val="continue"/>
            <w:tcBorders>
              <w:tl2br w:val="nil"/>
              <w:tr2bl w:val="nil"/>
            </w:tcBorders>
            <w:vAlign w:val="center"/>
          </w:tcPr>
          <w:p w14:paraId="5CC73091">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p>
        </w:tc>
      </w:tr>
      <w:tr w14:paraId="41D1D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l2br w:val="nil"/>
              <w:tr2bl w:val="nil"/>
            </w:tcBorders>
            <w:vAlign w:val="center"/>
          </w:tcPr>
          <w:p w14:paraId="0C4C1BED">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5ED7FD95">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再生骨料及再生水稳料装卸堆存粉尘</w:t>
            </w:r>
          </w:p>
        </w:tc>
        <w:tc>
          <w:tcPr>
            <w:tcW w:w="1392" w:type="dxa"/>
            <w:tcBorders>
              <w:tl2br w:val="nil"/>
              <w:tr2bl w:val="nil"/>
            </w:tcBorders>
            <w:vAlign w:val="center"/>
          </w:tcPr>
          <w:p w14:paraId="1F281698">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5FF79A69">
            <w:pPr>
              <w:pStyle w:val="68"/>
              <w:adjustRightInd/>
              <w:snapToGrid/>
              <w:spacing w:beforeLines="0" w:afterLines="0" w:line="240" w:lineRule="auto"/>
              <w:ind w:firstLine="0"/>
              <w:rPr>
                <w:rFonts w:ascii="Times New Roman" w:eastAsia="宋体"/>
                <w:snapToGrid w:val="0"/>
                <w:color w:val="000000" w:themeColor="text1"/>
                <w:kern w:val="2"/>
                <w:sz w:val="21"/>
                <w:szCs w:val="21"/>
                <w:lang w:bidi="ar"/>
                <w14:textFill>
                  <w14:solidFill>
                    <w14:schemeClr w14:val="tx1"/>
                  </w14:solidFill>
                </w14:textFill>
              </w:rPr>
            </w:pPr>
            <w:r>
              <w:rPr>
                <w:rFonts w:ascii="Times New Roman" w:eastAsia="宋体"/>
                <w:color w:val="000000" w:themeColor="text1"/>
                <w:sz w:val="21"/>
                <w:szCs w:val="21"/>
                <w14:textFill>
                  <w14:solidFill>
                    <w14:schemeClr w14:val="tx1"/>
                  </w14:solidFill>
                </w14:textFill>
              </w:rPr>
              <w:t>再生骨料及再生水稳料料仓</w:t>
            </w:r>
            <w:r>
              <w:rPr>
                <w:rFonts w:ascii="Times New Roman" w:eastAsia="宋体"/>
                <w:color w:val="000000" w:themeColor="text1"/>
                <w:sz w:val="21"/>
                <w:szCs w:val="21"/>
                <w:lang w:bidi="ar"/>
                <w14:textFill>
                  <w14:solidFill>
                    <w14:schemeClr w14:val="tx1"/>
                  </w14:solidFill>
                </w14:textFill>
              </w:rPr>
              <w:t>全封闭，正常生产时仓门关闭，仓内设置1套喷雾降尘装置，通过洒水降尘后仓内粉尘无组织排放。</w:t>
            </w:r>
          </w:p>
        </w:tc>
        <w:tc>
          <w:tcPr>
            <w:tcW w:w="2000" w:type="dxa"/>
            <w:vMerge w:val="continue"/>
            <w:tcBorders>
              <w:tl2br w:val="nil"/>
              <w:tr2bl w:val="nil"/>
            </w:tcBorders>
            <w:vAlign w:val="center"/>
          </w:tcPr>
          <w:p w14:paraId="38EB9C24">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p>
        </w:tc>
      </w:tr>
      <w:tr w14:paraId="761E4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l2br w:val="nil"/>
              <w:tr2bl w:val="nil"/>
            </w:tcBorders>
            <w:vAlign w:val="center"/>
          </w:tcPr>
          <w:p w14:paraId="4ABF0BD0">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1E34F8A4">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车辆运输扬尘</w:t>
            </w:r>
          </w:p>
        </w:tc>
        <w:tc>
          <w:tcPr>
            <w:tcW w:w="1392" w:type="dxa"/>
            <w:tcBorders>
              <w:tl2br w:val="nil"/>
              <w:tr2bl w:val="nil"/>
            </w:tcBorders>
            <w:vAlign w:val="center"/>
          </w:tcPr>
          <w:p w14:paraId="71336964">
            <w:pPr>
              <w:pStyle w:val="165"/>
              <w:adjustRightInd/>
              <w:snapToGrid/>
              <w:rPr>
                <w:rFonts w:eastAsia="宋体"/>
                <w:color w:val="000000" w:themeColor="text1"/>
                <w:sz w:val="21"/>
                <w:szCs w:val="21"/>
                <w14:textFill>
                  <w14:solidFill>
                    <w14:schemeClr w14:val="tx1"/>
                  </w14:solidFill>
                </w14:textFill>
              </w:rPr>
            </w:pPr>
            <w:r>
              <w:rPr>
                <w:rFonts w:eastAsia="宋体"/>
                <w:color w:val="000000" w:themeColor="text1"/>
                <w:sz w:val="21"/>
                <w:szCs w:val="21"/>
                <w14:textFill>
                  <w14:solidFill>
                    <w14:schemeClr w14:val="tx1"/>
                  </w14:solidFill>
                </w14:textFill>
              </w:rPr>
              <w:t>颗粒物</w:t>
            </w:r>
          </w:p>
        </w:tc>
        <w:tc>
          <w:tcPr>
            <w:tcW w:w="3118" w:type="dxa"/>
            <w:tcBorders>
              <w:tl2br w:val="nil"/>
              <w:tr2bl w:val="nil"/>
            </w:tcBorders>
            <w:vAlign w:val="center"/>
          </w:tcPr>
          <w:p w14:paraId="5C5F1BE9">
            <w:pPr>
              <w:pStyle w:val="68"/>
              <w:adjustRightInd/>
              <w:snapToGrid/>
              <w:spacing w:beforeLines="0" w:afterLines="0" w:line="240" w:lineRule="auto"/>
              <w:ind w:firstLine="0"/>
              <w:rPr>
                <w:rFonts w:ascii="Times New Roman" w:eastAsia="宋体"/>
                <w:snapToGrid w:val="0"/>
                <w:color w:val="000000" w:themeColor="text1"/>
                <w:kern w:val="2"/>
                <w:sz w:val="21"/>
                <w:szCs w:val="21"/>
                <w:lang w:bidi="ar"/>
                <w14:textFill>
                  <w14:solidFill>
                    <w14:schemeClr w14:val="tx1"/>
                  </w14:solidFill>
                </w14:textFill>
              </w:rPr>
            </w:pPr>
            <w:r>
              <w:rPr>
                <w:rFonts w:ascii="Times New Roman" w:eastAsia="宋体"/>
                <w:color w:val="000000" w:themeColor="text1"/>
                <w:sz w:val="21"/>
                <w:szCs w:val="21"/>
                <w14:textFill>
                  <w14:solidFill>
                    <w14:schemeClr w14:val="tx1"/>
                  </w14:solidFill>
                </w14:textFill>
              </w:rPr>
              <w:t>在厂区进出口设置洗车设备；对厂区内运输道路地面进行硬化，保持厂区路面清洁，进行洒水抑尘。</w:t>
            </w:r>
          </w:p>
        </w:tc>
        <w:tc>
          <w:tcPr>
            <w:tcW w:w="2000" w:type="dxa"/>
            <w:vMerge w:val="continue"/>
            <w:tcBorders>
              <w:tl2br w:val="nil"/>
              <w:tr2bl w:val="nil"/>
            </w:tcBorders>
            <w:vAlign w:val="center"/>
          </w:tcPr>
          <w:p w14:paraId="47BE99C7">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p>
        </w:tc>
      </w:tr>
      <w:tr w14:paraId="0B107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restart"/>
            <w:tcBorders>
              <w:tl2br w:val="nil"/>
              <w:tr2bl w:val="nil"/>
            </w:tcBorders>
            <w:vAlign w:val="center"/>
          </w:tcPr>
          <w:p w14:paraId="41E0CA77">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地表水</w:t>
            </w:r>
          </w:p>
        </w:tc>
        <w:tc>
          <w:tcPr>
            <w:tcW w:w="1590" w:type="dxa"/>
            <w:tcBorders>
              <w:tl2br w:val="nil"/>
              <w:tr2bl w:val="nil"/>
            </w:tcBorders>
            <w:vAlign w:val="center"/>
          </w:tcPr>
          <w:p w14:paraId="67C40108">
            <w:pPr>
              <w:pStyle w:val="165"/>
              <w:adjustRightInd/>
              <w:snapToGrid/>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生活污水</w:t>
            </w:r>
          </w:p>
        </w:tc>
        <w:tc>
          <w:tcPr>
            <w:tcW w:w="1392" w:type="dxa"/>
            <w:tcBorders>
              <w:tl2br w:val="nil"/>
              <w:tr2bl w:val="nil"/>
            </w:tcBorders>
            <w:vAlign w:val="center"/>
          </w:tcPr>
          <w:p w14:paraId="65688CE2">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pH、COD、BOD、NH</w:t>
            </w:r>
            <w:r>
              <w:rPr>
                <w:rFonts w:ascii="Times New Roman" w:eastAsia="宋体"/>
                <w:color w:val="000000" w:themeColor="text1"/>
                <w:sz w:val="21"/>
                <w:szCs w:val="21"/>
                <w:vertAlign w:val="subscript"/>
                <w14:textFill>
                  <w14:solidFill>
                    <w14:schemeClr w14:val="tx1"/>
                  </w14:solidFill>
                </w14:textFill>
              </w:rPr>
              <w:t>3</w:t>
            </w:r>
            <w:r>
              <w:rPr>
                <w:rFonts w:ascii="Times New Roman" w:eastAsia="宋体"/>
                <w:color w:val="000000" w:themeColor="text1"/>
                <w:sz w:val="21"/>
                <w:szCs w:val="21"/>
                <w14:textFill>
                  <w14:solidFill>
                    <w14:schemeClr w14:val="tx1"/>
                  </w14:solidFill>
                </w14:textFill>
              </w:rPr>
              <w:t>-N、SS</w:t>
            </w:r>
          </w:p>
        </w:tc>
        <w:tc>
          <w:tcPr>
            <w:tcW w:w="3118" w:type="dxa"/>
            <w:tcBorders>
              <w:tl2br w:val="nil"/>
              <w:tr2bl w:val="nil"/>
            </w:tcBorders>
            <w:vAlign w:val="center"/>
          </w:tcPr>
          <w:p w14:paraId="76F1B967">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本项目不提供食宿，生活污水主要为员工洗漱废水，用于厂区抑尘，</w:t>
            </w:r>
            <w:r>
              <w:rPr>
                <w:rFonts w:hint="eastAsia" w:ascii="Times New Roman" w:eastAsia="宋体"/>
                <w:color w:val="000000" w:themeColor="text1"/>
                <w:sz w:val="21"/>
                <w:szCs w:val="21"/>
                <w14:textFill>
                  <w14:solidFill>
                    <w14:schemeClr w14:val="tx1"/>
                  </w14:solidFill>
                </w14:textFill>
              </w:rPr>
              <w:t>粪污依托现有</w:t>
            </w:r>
            <w:r>
              <w:rPr>
                <w:rFonts w:ascii="Times New Roman" w:eastAsia="宋体"/>
                <w:color w:val="000000" w:themeColor="text1"/>
                <w:sz w:val="21"/>
                <w:szCs w:val="21"/>
                <w14:textFill>
                  <w14:solidFill>
                    <w14:schemeClr w14:val="tx1"/>
                  </w14:solidFill>
                </w14:textFill>
              </w:rPr>
              <w:t>防渗旱厕，定期清掏用于厂区周边绿化或周边农田施肥。</w:t>
            </w:r>
          </w:p>
        </w:tc>
        <w:tc>
          <w:tcPr>
            <w:tcW w:w="2000" w:type="dxa"/>
            <w:tcBorders>
              <w:tl2br w:val="nil"/>
              <w:tr2bl w:val="nil"/>
            </w:tcBorders>
            <w:vAlign w:val="center"/>
          </w:tcPr>
          <w:p w14:paraId="32629590">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p>
        </w:tc>
      </w:tr>
      <w:tr w14:paraId="3A2F7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l2br w:val="nil"/>
              <w:tr2bl w:val="nil"/>
            </w:tcBorders>
            <w:vAlign w:val="center"/>
          </w:tcPr>
          <w:p w14:paraId="112ECC6F">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4B6585BB">
            <w:pPr>
              <w:pStyle w:val="165"/>
              <w:adjustRightInd/>
              <w:snapToGrid/>
              <w:rPr>
                <w:rFonts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车辆清洗废水</w:t>
            </w:r>
          </w:p>
        </w:tc>
        <w:tc>
          <w:tcPr>
            <w:tcW w:w="1392" w:type="dxa"/>
            <w:tcBorders>
              <w:tl2br w:val="nil"/>
              <w:tr2bl w:val="nil"/>
            </w:tcBorders>
            <w:vAlign w:val="center"/>
          </w:tcPr>
          <w:p w14:paraId="10C834BF">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SS</w:t>
            </w:r>
          </w:p>
        </w:tc>
        <w:tc>
          <w:tcPr>
            <w:tcW w:w="3118" w:type="dxa"/>
            <w:tcBorders>
              <w:tl2br w:val="nil"/>
              <w:tr2bl w:val="nil"/>
            </w:tcBorders>
            <w:vAlign w:val="center"/>
          </w:tcPr>
          <w:p w14:paraId="6B9C46BF">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hint="eastAsia" w:ascii="Times New Roman" w:eastAsia="宋体"/>
                <w:color w:val="000000" w:themeColor="text1"/>
                <w:sz w:val="21"/>
                <w:szCs w:val="21"/>
                <w14:textFill>
                  <w14:solidFill>
                    <w14:schemeClr w14:val="tx1"/>
                  </w14:solidFill>
                </w14:textFill>
              </w:rPr>
              <w:t>车辆清洗废水依托</w:t>
            </w:r>
            <w:r>
              <w:rPr>
                <w:rFonts w:ascii="Times New Roman" w:eastAsia="宋体"/>
                <w:color w:val="000000" w:themeColor="text1"/>
                <w:sz w:val="21"/>
                <w:szCs w:val="21"/>
                <w14:textFill>
                  <w14:solidFill>
                    <w14:schemeClr w14:val="tx1"/>
                  </w14:solidFill>
                </w14:textFill>
              </w:rPr>
              <w:t>现有砂石分离机预处理后再经三级沉淀池沉淀处理，最终全部回用于混凝土搅拌，不外排。</w:t>
            </w:r>
          </w:p>
        </w:tc>
        <w:tc>
          <w:tcPr>
            <w:tcW w:w="2000" w:type="dxa"/>
            <w:tcBorders>
              <w:tl2br w:val="nil"/>
              <w:tr2bl w:val="nil"/>
            </w:tcBorders>
            <w:vAlign w:val="center"/>
          </w:tcPr>
          <w:p w14:paraId="6552F28A">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p>
        </w:tc>
      </w:tr>
      <w:tr w14:paraId="62808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vMerge w:val="continue"/>
            <w:tcBorders>
              <w:tl2br w:val="nil"/>
              <w:tr2bl w:val="nil"/>
            </w:tcBorders>
            <w:vAlign w:val="center"/>
          </w:tcPr>
          <w:p w14:paraId="4A7620A5">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p>
        </w:tc>
        <w:tc>
          <w:tcPr>
            <w:tcW w:w="1590" w:type="dxa"/>
            <w:tcBorders>
              <w:tl2br w:val="nil"/>
              <w:tr2bl w:val="nil"/>
            </w:tcBorders>
            <w:vAlign w:val="center"/>
          </w:tcPr>
          <w:p w14:paraId="30CF3222">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车辆冲洗废水、地面冲洗废水</w:t>
            </w:r>
          </w:p>
        </w:tc>
        <w:tc>
          <w:tcPr>
            <w:tcW w:w="1392" w:type="dxa"/>
            <w:tcBorders>
              <w:tl2br w:val="nil"/>
              <w:tr2bl w:val="nil"/>
            </w:tcBorders>
            <w:vAlign w:val="center"/>
          </w:tcPr>
          <w:p w14:paraId="17C3142D">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SS</w:t>
            </w:r>
          </w:p>
        </w:tc>
        <w:tc>
          <w:tcPr>
            <w:tcW w:w="3118" w:type="dxa"/>
            <w:tcBorders>
              <w:tl2br w:val="nil"/>
              <w:tr2bl w:val="nil"/>
            </w:tcBorders>
            <w:vAlign w:val="center"/>
          </w:tcPr>
          <w:p w14:paraId="31E9C350">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沉淀池沉淀后回用于一期的混凝土搅拌工序</w:t>
            </w:r>
          </w:p>
        </w:tc>
        <w:tc>
          <w:tcPr>
            <w:tcW w:w="2000" w:type="dxa"/>
            <w:tcBorders>
              <w:tl2br w:val="nil"/>
              <w:tr2bl w:val="nil"/>
            </w:tcBorders>
            <w:vAlign w:val="center"/>
          </w:tcPr>
          <w:p w14:paraId="6FF69A0B">
            <w:pPr>
              <w:pStyle w:val="68"/>
              <w:adjustRightInd/>
              <w:snapToGrid/>
              <w:spacing w:beforeLines="0" w:afterLines="0" w:line="240" w:lineRule="auto"/>
              <w:ind w:firstLine="0"/>
              <w:rPr>
                <w:rFonts w:ascii="Times New Roman" w:eastAsia="宋体"/>
                <w:color w:val="000000" w:themeColor="text1"/>
                <w:sz w:val="21"/>
                <w:szCs w:val="21"/>
                <w14:textFill>
                  <w14:solidFill>
                    <w14:schemeClr w14:val="tx1"/>
                  </w14:solidFill>
                </w14:textFill>
              </w:rPr>
            </w:pPr>
            <w:r>
              <w:rPr>
                <w:rFonts w:ascii="Times New Roman" w:eastAsia="宋体"/>
                <w:color w:val="000000" w:themeColor="text1"/>
                <w:sz w:val="21"/>
                <w:szCs w:val="21"/>
                <w14:textFill>
                  <w14:solidFill>
                    <w14:schemeClr w14:val="tx1"/>
                  </w14:solidFill>
                </w14:textFill>
              </w:rPr>
              <w:t>/</w:t>
            </w:r>
          </w:p>
        </w:tc>
      </w:tr>
      <w:tr w14:paraId="1EC96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6" w:type="dxa"/>
            <w:tcBorders>
              <w:tl2br w:val="nil"/>
              <w:tr2bl w:val="nil"/>
            </w:tcBorders>
            <w:vAlign w:val="center"/>
          </w:tcPr>
          <w:p w14:paraId="785C054A">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声环境</w:t>
            </w:r>
          </w:p>
        </w:tc>
        <w:tc>
          <w:tcPr>
            <w:tcW w:w="1590" w:type="dxa"/>
            <w:tcBorders>
              <w:tl2br w:val="nil"/>
              <w:tr2bl w:val="nil"/>
            </w:tcBorders>
            <w:vAlign w:val="center"/>
          </w:tcPr>
          <w:p w14:paraId="7D43F33F">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r>
              <w:rPr>
                <w:rFonts w:hAnsi="Times New Roman"/>
                <w:color w:val="000000" w:themeColor="text1"/>
                <w:kern w:val="2"/>
                <w:sz w:val="21"/>
                <w:szCs w:val="21"/>
                <w14:textFill>
                  <w14:solidFill>
                    <w14:schemeClr w14:val="tx1"/>
                  </w14:solidFill>
                </w14:textFill>
              </w:rPr>
              <w:t>设备运行噪声</w:t>
            </w:r>
          </w:p>
        </w:tc>
        <w:tc>
          <w:tcPr>
            <w:tcW w:w="1392" w:type="dxa"/>
            <w:tcBorders>
              <w:tl2br w:val="nil"/>
              <w:tr2bl w:val="nil"/>
            </w:tcBorders>
            <w:vAlign w:val="center"/>
          </w:tcPr>
          <w:p w14:paraId="32D7B265">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r>
              <w:rPr>
                <w:rFonts w:hAnsi="Times New Roman"/>
                <w:color w:val="000000" w:themeColor="text1"/>
                <w:sz w:val="21"/>
                <w:szCs w:val="21"/>
                <w14:textFill>
                  <w14:solidFill>
                    <w14:schemeClr w14:val="tx1"/>
                  </w14:solidFill>
                </w14:textFill>
              </w:rPr>
              <w:t>等效连续A声级</w:t>
            </w:r>
          </w:p>
        </w:tc>
        <w:tc>
          <w:tcPr>
            <w:tcW w:w="3118" w:type="dxa"/>
            <w:tcBorders>
              <w:tl2br w:val="nil"/>
              <w:tr2bl w:val="nil"/>
            </w:tcBorders>
            <w:vAlign w:val="center"/>
          </w:tcPr>
          <w:p w14:paraId="17E3A5EF">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r>
              <w:rPr>
                <w:rFonts w:hAnsi="Times New Roman"/>
                <w:color w:val="000000" w:themeColor="text1"/>
                <w:sz w:val="21"/>
                <w:szCs w:val="21"/>
                <w14:textFill>
                  <w14:solidFill>
                    <w14:schemeClr w14:val="tx1"/>
                  </w14:solidFill>
                </w14:textFill>
              </w:rPr>
              <w:t>选用低噪声设备，采取隔声、减振等措施。</w:t>
            </w:r>
          </w:p>
        </w:tc>
        <w:tc>
          <w:tcPr>
            <w:tcW w:w="2000" w:type="dxa"/>
            <w:tcBorders>
              <w:tl2br w:val="nil"/>
              <w:tr2bl w:val="nil"/>
            </w:tcBorders>
            <w:vAlign w:val="center"/>
          </w:tcPr>
          <w:p w14:paraId="1361821E">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r>
              <w:rPr>
                <w:rFonts w:hAnsi="Times New Roman"/>
                <w:color w:val="000000" w:themeColor="text1"/>
                <w:sz w:val="21"/>
                <w:szCs w:val="21"/>
                <w14:textFill>
                  <w14:solidFill>
                    <w14:schemeClr w14:val="tx1"/>
                  </w14:solidFill>
                </w14:textFill>
              </w:rPr>
              <w:t>《工业企业厂界环境噪声排放标准》（GB12348-2008）中2类标准</w:t>
            </w:r>
          </w:p>
        </w:tc>
      </w:tr>
      <w:tr w14:paraId="1EA6E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256" w:type="dxa"/>
            <w:tcBorders>
              <w:tl2br w:val="nil"/>
              <w:tr2bl w:val="nil"/>
            </w:tcBorders>
            <w:vAlign w:val="center"/>
          </w:tcPr>
          <w:p w14:paraId="2F6F3AA3">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电磁辐射</w:t>
            </w:r>
          </w:p>
        </w:tc>
        <w:tc>
          <w:tcPr>
            <w:tcW w:w="8100" w:type="dxa"/>
            <w:gridSpan w:val="4"/>
            <w:tcBorders>
              <w:tl2br w:val="nil"/>
              <w:tr2bl w:val="nil"/>
            </w:tcBorders>
            <w:vAlign w:val="center"/>
          </w:tcPr>
          <w:p w14:paraId="592940C7">
            <w:pPr>
              <w:pStyle w:val="132"/>
              <w:widowControl w:val="0"/>
              <w:overflowPunct w:val="0"/>
              <w:spacing w:line="240" w:lineRule="auto"/>
              <w:ind w:firstLine="0" w:firstLineChars="0"/>
              <w:jc w:val="center"/>
              <w:rPr>
                <w:rFonts w:hAnsi="Times New Roman"/>
                <w:color w:val="000000" w:themeColor="text1"/>
                <w:kern w:val="2"/>
                <w:sz w:val="21"/>
                <w:szCs w:val="21"/>
                <w14:textFill>
                  <w14:solidFill>
                    <w14:schemeClr w14:val="tx1"/>
                  </w14:solidFill>
                </w14:textFill>
              </w:rPr>
            </w:pPr>
            <w:r>
              <w:rPr>
                <w:rFonts w:hAnsi="Times New Roman"/>
                <w:color w:val="000000" w:themeColor="text1"/>
                <w:kern w:val="2"/>
                <w:sz w:val="21"/>
                <w:szCs w:val="21"/>
                <w14:textFill>
                  <w14:solidFill>
                    <w14:schemeClr w14:val="tx1"/>
                  </w14:solidFill>
                </w14:textFill>
              </w:rPr>
              <w:t>/</w:t>
            </w:r>
          </w:p>
        </w:tc>
      </w:tr>
      <w:tr w14:paraId="231A1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256" w:type="dxa"/>
            <w:tcBorders>
              <w:tl2br w:val="nil"/>
              <w:tr2bl w:val="nil"/>
            </w:tcBorders>
            <w:vAlign w:val="center"/>
          </w:tcPr>
          <w:p w14:paraId="045ECA4C">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固体废物</w:t>
            </w:r>
          </w:p>
        </w:tc>
        <w:tc>
          <w:tcPr>
            <w:tcW w:w="8100" w:type="dxa"/>
            <w:gridSpan w:val="4"/>
            <w:tcBorders>
              <w:tl2br w:val="nil"/>
              <w:tr2bl w:val="nil"/>
            </w:tcBorders>
            <w:vAlign w:val="center"/>
          </w:tcPr>
          <w:p w14:paraId="4383672D">
            <w:pPr>
              <w:pStyle w:val="132"/>
              <w:widowControl w:val="0"/>
              <w:overflowPunct w:val="0"/>
              <w:adjustRightInd w:val="0"/>
              <w:snapToGrid w:val="0"/>
              <w:spacing w:line="240" w:lineRule="auto"/>
              <w:ind w:firstLine="420"/>
              <w:rPr>
                <w:rFonts w:hAnsi="Times New Roman"/>
                <w:color w:val="000000" w:themeColor="text1"/>
                <w:sz w:val="21"/>
                <w:szCs w:val="21"/>
                <w14:textFill>
                  <w14:solidFill>
                    <w14:schemeClr w14:val="tx1"/>
                  </w14:solidFill>
                </w14:textFill>
              </w:rPr>
            </w:pPr>
            <w:r>
              <w:rPr>
                <w:rFonts w:hAnsi="Times New Roman"/>
                <w:color w:val="000000" w:themeColor="text1"/>
                <w:sz w:val="21"/>
                <w:szCs w:val="21"/>
                <w14:textFill>
                  <w14:solidFill>
                    <w14:schemeClr w14:val="tx1"/>
                  </w14:solidFill>
                </w14:textFill>
              </w:rPr>
              <w:t>本项目产生的固体废物主要为生活垃圾、</w:t>
            </w:r>
            <w:r>
              <w:rPr>
                <w:rFonts w:hint="eastAsia" w:hAnsi="Times New Roman"/>
                <w:color w:val="000000" w:themeColor="text1"/>
                <w:sz w:val="21"/>
                <w:szCs w:val="21"/>
                <w14:textFill>
                  <w14:solidFill>
                    <w14:schemeClr w14:val="tx1"/>
                  </w14:solidFill>
                </w14:textFill>
              </w:rPr>
              <w:t>分拣杂质、</w:t>
            </w:r>
            <w:r>
              <w:rPr>
                <w:rFonts w:hAnsi="Times New Roman"/>
                <w:color w:val="000000" w:themeColor="text1"/>
                <w:sz w:val="21"/>
                <w:szCs w:val="21"/>
                <w14:textFill>
                  <w14:solidFill>
                    <w14:schemeClr w14:val="tx1"/>
                  </w14:solidFill>
                </w14:textFill>
              </w:rPr>
              <w:t>收尘灰、</w:t>
            </w:r>
            <w:r>
              <w:rPr>
                <w:rFonts w:hint="eastAsia" w:hAnsi="Times New Roman"/>
                <w:color w:val="000000" w:themeColor="text1"/>
                <w:sz w:val="21"/>
                <w:szCs w:val="21"/>
                <w14:textFill>
                  <w14:solidFill>
                    <w14:schemeClr w14:val="tx1"/>
                  </w14:solidFill>
                </w14:textFill>
              </w:rPr>
              <w:t>废砂石、沉淀池沉渣</w:t>
            </w:r>
            <w:r>
              <w:rPr>
                <w:rFonts w:hAnsi="Times New Roman"/>
                <w:color w:val="000000" w:themeColor="text1"/>
                <w:sz w:val="21"/>
                <w:szCs w:val="21"/>
                <w14:textFill>
                  <w14:solidFill>
                    <w14:schemeClr w14:val="tx1"/>
                  </w14:solidFill>
                </w14:textFill>
              </w:rPr>
              <w:t>、</w:t>
            </w:r>
            <w:r>
              <w:rPr>
                <w:rFonts w:hint="eastAsia" w:hAnsi="Times New Roman"/>
                <w:color w:val="000000" w:themeColor="text1"/>
                <w:sz w:val="21"/>
                <w:szCs w:val="21"/>
                <w14:textFill>
                  <w14:solidFill>
                    <w14:schemeClr w14:val="tx1"/>
                  </w14:solidFill>
                </w14:textFill>
              </w:rPr>
              <w:t>废机油。</w:t>
            </w:r>
            <w:r>
              <w:rPr>
                <w:rFonts w:hAnsi="Times New Roman"/>
                <w:color w:val="000000" w:themeColor="text1"/>
                <w:sz w:val="21"/>
                <w:szCs w:val="21"/>
                <w14:textFill>
                  <w14:solidFill>
                    <w14:schemeClr w14:val="tx1"/>
                  </w14:solidFill>
                </w14:textFill>
              </w:rPr>
              <w:t>生活垃圾通过厂区现有垃圾收集设施集中收集后，交由环卫部门处理。布袋除尘器收尘灰收集后回用于生产；分拣杂质经分类后暂存至</w:t>
            </w:r>
            <w:r>
              <w:rPr>
                <w:rFonts w:hint="eastAsia" w:hAnsi="Times New Roman"/>
                <w:color w:val="000000" w:themeColor="text1"/>
                <w:sz w:val="21"/>
                <w:szCs w:val="21"/>
                <w14:textFill>
                  <w14:solidFill>
                    <w14:schemeClr w14:val="tx1"/>
                  </w14:solidFill>
                </w14:textFill>
              </w:rPr>
              <w:t>建筑垃圾加工车间内一般固废暂存区，定期</w:t>
            </w:r>
            <w:r>
              <w:rPr>
                <w:rFonts w:hAnsi="Times New Roman"/>
                <w:color w:val="000000" w:themeColor="text1"/>
                <w:sz w:val="21"/>
                <w:szCs w:val="21"/>
                <w14:textFill>
                  <w14:solidFill>
                    <w14:schemeClr w14:val="tx1"/>
                  </w14:solidFill>
                </w14:textFill>
              </w:rPr>
              <w:t>外售。</w:t>
            </w:r>
            <w:r>
              <w:rPr>
                <w:rFonts w:hint="eastAsia" w:hAnsi="Times New Roman"/>
                <w:color w:val="000000" w:themeColor="text1"/>
                <w:sz w:val="21"/>
                <w:szCs w:val="21"/>
                <w14:textFill>
                  <w14:solidFill>
                    <w14:schemeClr w14:val="tx1"/>
                  </w14:solidFill>
                </w14:textFill>
              </w:rPr>
              <w:t>分离砂石作为混凝土生产原料，</w:t>
            </w:r>
            <w:r>
              <w:rPr>
                <w:rFonts w:hAnsi="Times New Roman"/>
                <w:color w:val="000000" w:themeColor="text1"/>
                <w:sz w:val="21"/>
                <w:szCs w:val="21"/>
                <w14:textFill>
                  <w14:solidFill>
                    <w14:schemeClr w14:val="tx1"/>
                  </w14:solidFill>
                </w14:textFill>
              </w:rPr>
              <w:t>沉淀池沉渣与</w:t>
            </w:r>
            <w:r>
              <w:rPr>
                <w:rFonts w:hint="eastAsia" w:hAnsi="Times New Roman"/>
                <w:color w:val="000000" w:themeColor="text1"/>
                <w:sz w:val="21"/>
                <w:szCs w:val="21"/>
                <w14:textFill>
                  <w14:solidFill>
                    <w14:schemeClr w14:val="tx1"/>
                  </w14:solidFill>
                </w14:textFill>
              </w:rPr>
              <w:t>再生水稳料混合作为成品外售</w:t>
            </w:r>
            <w:r>
              <w:rPr>
                <w:rFonts w:hAnsi="Times New Roman"/>
                <w:color w:val="000000" w:themeColor="text1"/>
                <w:sz w:val="21"/>
                <w:szCs w:val="21"/>
                <w14:textFill>
                  <w14:solidFill>
                    <w14:schemeClr w14:val="tx1"/>
                  </w14:solidFill>
                </w14:textFill>
              </w:rPr>
              <w:t>。设备维护产生的废机油集中收集后暂存于现有5m</w:t>
            </w:r>
            <w:r>
              <w:rPr>
                <w:rFonts w:hAnsi="Times New Roman"/>
                <w:color w:val="000000" w:themeColor="text1"/>
                <w:sz w:val="21"/>
                <w:szCs w:val="21"/>
                <w:vertAlign w:val="superscript"/>
                <w14:textFill>
                  <w14:solidFill>
                    <w14:schemeClr w14:val="tx1"/>
                  </w14:solidFill>
                </w14:textFill>
              </w:rPr>
              <w:t>2</w:t>
            </w:r>
            <w:r>
              <w:rPr>
                <w:rFonts w:hAnsi="Times New Roman"/>
                <w:color w:val="000000" w:themeColor="text1"/>
                <w:sz w:val="21"/>
                <w:szCs w:val="21"/>
                <w14:textFill>
                  <w14:solidFill>
                    <w14:schemeClr w14:val="tx1"/>
                  </w14:solidFill>
                </w14:textFill>
              </w:rPr>
              <w:t>危废贮存点，定期交由有资质的单位处理。</w:t>
            </w:r>
          </w:p>
        </w:tc>
      </w:tr>
      <w:tr w14:paraId="31F8F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vAlign w:val="center"/>
          </w:tcPr>
          <w:p w14:paraId="3A210148">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土壤及地下水污染防治措施</w:t>
            </w:r>
          </w:p>
        </w:tc>
        <w:tc>
          <w:tcPr>
            <w:tcW w:w="8100" w:type="dxa"/>
            <w:gridSpan w:val="4"/>
            <w:tcBorders>
              <w:tl2br w:val="nil"/>
              <w:tr2bl w:val="nil"/>
            </w:tcBorders>
            <w:vAlign w:val="center"/>
          </w:tcPr>
          <w:p w14:paraId="1F3AE892">
            <w:pPr>
              <w:pStyle w:val="132"/>
              <w:widowControl w:val="0"/>
              <w:overflowPunct w:val="0"/>
              <w:adjustRightInd w:val="0"/>
              <w:snapToGrid w:val="0"/>
              <w:spacing w:line="240" w:lineRule="auto"/>
              <w:ind w:firstLine="420"/>
              <w:rPr>
                <w:rFonts w:hAnsi="Times New Roman"/>
                <w:b/>
                <w:color w:val="000000" w:themeColor="text1"/>
                <w:kern w:val="2"/>
                <w:sz w:val="21"/>
                <w:szCs w:val="21"/>
                <w14:textFill>
                  <w14:solidFill>
                    <w14:schemeClr w14:val="tx1"/>
                  </w14:solidFill>
                </w14:textFill>
              </w:rPr>
            </w:pPr>
            <w:r>
              <w:rPr>
                <w:rFonts w:hAnsi="Times New Roman"/>
                <w:color w:val="000000" w:themeColor="text1"/>
                <w:sz w:val="21"/>
                <w:szCs w:val="21"/>
                <w14:textFill>
                  <w14:solidFill>
                    <w14:schemeClr w14:val="tx1"/>
                  </w14:solidFill>
                </w14:textFill>
              </w:rPr>
              <w:t>本项目生产车间全部硬化，正常运行期不存在土壤、地下水的污染物途径。</w:t>
            </w:r>
          </w:p>
        </w:tc>
      </w:tr>
      <w:tr w14:paraId="73747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56" w:type="dxa"/>
            <w:tcBorders>
              <w:tl2br w:val="nil"/>
              <w:tr2bl w:val="nil"/>
            </w:tcBorders>
            <w:vAlign w:val="center"/>
          </w:tcPr>
          <w:p w14:paraId="367ABFBC">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生态保护措施</w:t>
            </w:r>
          </w:p>
        </w:tc>
        <w:tc>
          <w:tcPr>
            <w:tcW w:w="8100" w:type="dxa"/>
            <w:gridSpan w:val="4"/>
            <w:tcBorders>
              <w:tl2br w:val="nil"/>
              <w:tr2bl w:val="nil"/>
            </w:tcBorders>
            <w:vAlign w:val="center"/>
          </w:tcPr>
          <w:p w14:paraId="1E1A567B">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color w:val="000000" w:themeColor="text1"/>
                <w:sz w:val="21"/>
                <w:szCs w:val="21"/>
                <w14:textFill>
                  <w14:solidFill>
                    <w14:schemeClr w14:val="tx1"/>
                  </w14:solidFill>
                </w14:textFill>
              </w:rPr>
              <w:t>/</w:t>
            </w:r>
          </w:p>
        </w:tc>
      </w:tr>
      <w:tr w14:paraId="5F9FB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56" w:type="dxa"/>
            <w:tcBorders>
              <w:tl2br w:val="nil"/>
              <w:tr2bl w:val="nil"/>
            </w:tcBorders>
            <w:vAlign w:val="center"/>
          </w:tcPr>
          <w:p w14:paraId="55CFF194">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环境风险防范措施</w:t>
            </w:r>
          </w:p>
        </w:tc>
        <w:tc>
          <w:tcPr>
            <w:tcW w:w="8100" w:type="dxa"/>
            <w:gridSpan w:val="4"/>
            <w:tcBorders>
              <w:tl2br w:val="nil"/>
              <w:tr2bl w:val="nil"/>
            </w:tcBorders>
            <w:vAlign w:val="center"/>
          </w:tcPr>
          <w:p w14:paraId="4B023FE5">
            <w:pPr>
              <w:pStyle w:val="132"/>
              <w:widowControl w:val="0"/>
              <w:overflowPunct w:val="0"/>
              <w:adjustRightInd w:val="0"/>
              <w:snapToGrid w:val="0"/>
              <w:spacing w:line="240" w:lineRule="auto"/>
              <w:ind w:firstLine="420"/>
              <w:rPr>
                <w:rFonts w:hAnsi="Times New Roman"/>
                <w:color w:val="000000" w:themeColor="text1"/>
                <w:sz w:val="21"/>
                <w:szCs w:val="21"/>
                <w14:textFill>
                  <w14:solidFill>
                    <w14:schemeClr w14:val="tx1"/>
                  </w14:solidFill>
                </w14:textFill>
              </w:rPr>
            </w:pPr>
            <w:r>
              <w:rPr>
                <w:rFonts w:hint="eastAsia" w:hAnsi="Times New Roman"/>
                <w:color w:val="000000" w:themeColor="text1"/>
                <w:sz w:val="21"/>
                <w:szCs w:val="21"/>
                <w14:textFill>
                  <w14:solidFill>
                    <w14:schemeClr w14:val="tx1"/>
                  </w14:solidFill>
                </w14:textFill>
              </w:rPr>
              <w:t>①危险废物贮存点应设置一定数量的</w:t>
            </w:r>
            <w:r>
              <w:rPr>
                <w:rFonts w:hAnsi="Times New Roman"/>
                <w:color w:val="000000" w:themeColor="text1"/>
                <w:sz w:val="21"/>
                <w:szCs w:val="21"/>
                <w14:textFill>
                  <w14:solidFill>
                    <w14:schemeClr w14:val="tx1"/>
                  </w14:solidFill>
                </w14:textFill>
              </w:rPr>
              <w:t>灭火器、消防栓等应急物资，贮存场所应地面应设置围堰、导流槽、应急收集设施，采取防渗措施。贮存场所应通风、阴凉、干燥，防止热胀冷缩，发生意外，与明火或普通电气设备的间距不小于10m。加强运输过程中的安全防火工作，运输车辆配备防火、灭火器材，严禁与易燃易爆物混合装箱运输；如发生交通事故和火灾，应立即采取急救措施并及时向当地环保局等有关部门报告。</w:t>
            </w:r>
          </w:p>
          <w:p w14:paraId="25739ECC">
            <w:pPr>
              <w:pStyle w:val="132"/>
              <w:widowControl w:val="0"/>
              <w:overflowPunct w:val="0"/>
              <w:adjustRightInd w:val="0"/>
              <w:snapToGrid w:val="0"/>
              <w:spacing w:line="240" w:lineRule="auto"/>
              <w:ind w:firstLine="420"/>
              <w:rPr>
                <w:rFonts w:hAnsi="Times New Roman"/>
                <w:color w:val="000000" w:themeColor="text1"/>
                <w:sz w:val="21"/>
                <w:szCs w:val="21"/>
                <w14:textFill>
                  <w14:solidFill>
                    <w14:schemeClr w14:val="tx1"/>
                  </w14:solidFill>
                </w14:textFill>
              </w:rPr>
            </w:pPr>
            <w:r>
              <w:rPr>
                <w:rFonts w:hint="eastAsia" w:hAnsi="Times New Roman"/>
                <w:color w:val="000000" w:themeColor="text1"/>
                <w:sz w:val="21"/>
                <w:szCs w:val="21"/>
                <w14:textFill>
                  <w14:solidFill>
                    <w14:schemeClr w14:val="tx1"/>
                  </w14:solidFill>
                </w14:textFill>
              </w:rPr>
              <w:t>②</w:t>
            </w:r>
            <w:r>
              <w:rPr>
                <w:rFonts w:hAnsi="Times New Roman"/>
                <w:color w:val="000000" w:themeColor="text1"/>
                <w:sz w:val="21"/>
                <w:szCs w:val="21"/>
                <w14:textFill>
                  <w14:solidFill>
                    <w14:schemeClr w14:val="tx1"/>
                  </w14:solidFill>
                </w14:textFill>
              </w:rPr>
              <w:t>必须进行安全生产和环保管理的培训，加强安全检查，使所有操作人员熟悉自己的岗位，树立严谨规范的操作作风，并且在任何紧急状况下都能随时对工艺装置进行控制，并及时、独立、正确地实施相关应急措施。</w:t>
            </w:r>
          </w:p>
        </w:tc>
      </w:tr>
      <w:tr w14:paraId="1FE32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tl2br w:val="nil"/>
              <w:tr2bl w:val="nil"/>
            </w:tcBorders>
            <w:vAlign w:val="center"/>
          </w:tcPr>
          <w:p w14:paraId="0E57EAB5">
            <w:pPr>
              <w:pStyle w:val="132"/>
              <w:widowControl w:val="0"/>
              <w:overflowPunct w:val="0"/>
              <w:spacing w:line="240" w:lineRule="auto"/>
              <w:ind w:firstLine="0" w:firstLineChars="0"/>
              <w:jc w:val="center"/>
              <w:rPr>
                <w:rFonts w:hAnsi="Times New Roman"/>
                <w:b/>
                <w:color w:val="000000" w:themeColor="text1"/>
                <w:kern w:val="2"/>
                <w:sz w:val="21"/>
                <w:szCs w:val="21"/>
                <w14:textFill>
                  <w14:solidFill>
                    <w14:schemeClr w14:val="tx1"/>
                  </w14:solidFill>
                </w14:textFill>
              </w:rPr>
            </w:pPr>
            <w:r>
              <w:rPr>
                <w:rFonts w:hAnsi="Times New Roman"/>
                <w:b/>
                <w:color w:val="000000" w:themeColor="text1"/>
                <w:kern w:val="2"/>
                <w:sz w:val="21"/>
                <w:szCs w:val="21"/>
                <w14:textFill>
                  <w14:solidFill>
                    <w14:schemeClr w14:val="tx1"/>
                  </w14:solidFill>
                </w14:textFill>
              </w:rPr>
              <w:t>其他环境管理要求</w:t>
            </w:r>
          </w:p>
        </w:tc>
        <w:tc>
          <w:tcPr>
            <w:tcW w:w="8100" w:type="dxa"/>
            <w:gridSpan w:val="4"/>
            <w:tcBorders>
              <w:tl2br w:val="nil"/>
              <w:tr2bl w:val="nil"/>
            </w:tcBorders>
            <w:vAlign w:val="center"/>
          </w:tcPr>
          <w:p w14:paraId="5DD3D634">
            <w:pPr>
              <w:pStyle w:val="20"/>
              <w:ind w:firstLine="420" w:firstLineChars="200"/>
              <w:rPr>
                <w:rFonts w:ascii="Times New Roman" w:hAnsi="Times New Roman" w:eastAsia="宋体" w:cs="Times New Roman"/>
                <w:bCs/>
                <w:color w:val="000000" w:themeColor="text1"/>
                <w:kern w:val="0"/>
                <w14:textFill>
                  <w14:solidFill>
                    <w14:schemeClr w14:val="tx1"/>
                  </w14:solidFill>
                </w14:textFill>
              </w:rPr>
            </w:pPr>
            <w:r>
              <w:rPr>
                <w:rFonts w:ascii="Times New Roman" w:hAnsi="Times New Roman" w:eastAsia="宋体" w:cs="Times New Roman"/>
                <w:bCs/>
                <w:color w:val="000000" w:themeColor="text1"/>
                <w:kern w:val="0"/>
                <w14:textFill>
                  <w14:solidFill>
                    <w14:schemeClr w14:val="tx1"/>
                  </w14:solidFill>
                </w14:textFill>
              </w:rPr>
              <w:t>环境管理：为将本项目建设对周围环境影响降至最低，项目运营期环境管理要求如下：</w:t>
            </w:r>
          </w:p>
          <w:p w14:paraId="1EAABFA9">
            <w:pPr>
              <w:ind w:firstLine="420" w:firstLineChars="200"/>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（1）提高职工环保意识，制定并落实各项环保规章制度，将环境管理纳入到企业管理全过程中去，确保环境保护措施得到贯彻落实，最大限度地减少资源浪费和降低对环境的污染；</w:t>
            </w:r>
          </w:p>
          <w:p w14:paraId="45A12BE2">
            <w:pPr>
              <w:ind w:firstLine="420" w:firstLineChars="200"/>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（2）加强产噪设备的日常维修和保养，使其正常运转，避免非正常运转情况下的噪声影响；</w:t>
            </w:r>
          </w:p>
          <w:p w14:paraId="2957D94F">
            <w:pPr>
              <w:ind w:firstLine="420" w:firstLineChars="200"/>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（3）运营过程中产生的各类固废设备专门人员将其分类集中收集，严格按照固体废物环境影响分析中防治措施实施；</w:t>
            </w:r>
          </w:p>
          <w:p w14:paraId="22CD686D">
            <w:pPr>
              <w:ind w:firstLine="420" w:firstLineChars="200"/>
              <w:rPr>
                <w:rFonts w:eastAsia="宋体"/>
                <w:bCs/>
                <w:color w:val="000000" w:themeColor="text1"/>
                <w:kern w:val="0"/>
                <w:sz w:val="21"/>
                <w:szCs w:val="21"/>
                <w14:textFill>
                  <w14:solidFill>
                    <w14:schemeClr w14:val="tx1"/>
                  </w14:solidFill>
                </w14:textFill>
              </w:rPr>
            </w:pPr>
            <w:r>
              <w:rPr>
                <w:rFonts w:eastAsia="宋体"/>
                <w:bCs/>
                <w:color w:val="000000" w:themeColor="text1"/>
                <w:kern w:val="0"/>
                <w:sz w:val="21"/>
                <w:szCs w:val="21"/>
                <w14:textFill>
                  <w14:solidFill>
                    <w14:schemeClr w14:val="tx1"/>
                  </w14:solidFill>
                </w14:textFill>
              </w:rPr>
              <w:t>（4）本项目建成后，须按照国家要求进行竣工环境保护验收，经验收合格后，方可正式投入运营。</w:t>
            </w:r>
          </w:p>
          <w:p w14:paraId="3D2BE7C7">
            <w:pPr>
              <w:pStyle w:val="2"/>
              <w:ind w:left="480"/>
              <w:rPr>
                <w:color w:val="000000" w:themeColor="text1"/>
                <w14:textFill>
                  <w14:solidFill>
                    <w14:schemeClr w14:val="tx1"/>
                  </w14:solidFill>
                </w14:textFill>
              </w:rPr>
            </w:pPr>
          </w:p>
          <w:p w14:paraId="3B63A944">
            <w:pPr>
              <w:rPr>
                <w:color w:val="000000" w:themeColor="text1"/>
                <w14:textFill>
                  <w14:solidFill>
                    <w14:schemeClr w14:val="tx1"/>
                  </w14:solidFill>
                </w14:textFill>
              </w:rPr>
            </w:pPr>
          </w:p>
          <w:p w14:paraId="58679063">
            <w:pPr>
              <w:rPr>
                <w:color w:val="000000" w:themeColor="text1"/>
                <w14:textFill>
                  <w14:solidFill>
                    <w14:schemeClr w14:val="tx1"/>
                  </w14:solidFill>
                </w14:textFill>
              </w:rPr>
            </w:pPr>
          </w:p>
          <w:p w14:paraId="181B10AA">
            <w:pPr>
              <w:pStyle w:val="2"/>
              <w:ind w:left="480"/>
              <w:rPr>
                <w:color w:val="000000" w:themeColor="text1"/>
                <w14:textFill>
                  <w14:solidFill>
                    <w14:schemeClr w14:val="tx1"/>
                  </w14:solidFill>
                </w14:textFill>
              </w:rPr>
            </w:pPr>
          </w:p>
          <w:p w14:paraId="615B1668">
            <w:pPr>
              <w:rPr>
                <w:color w:val="000000" w:themeColor="text1"/>
                <w14:textFill>
                  <w14:solidFill>
                    <w14:schemeClr w14:val="tx1"/>
                  </w14:solidFill>
                </w14:textFill>
              </w:rPr>
            </w:pPr>
          </w:p>
          <w:p w14:paraId="108D82E4">
            <w:pPr>
              <w:rPr>
                <w:color w:val="000000" w:themeColor="text1"/>
                <w14:textFill>
                  <w14:solidFill>
                    <w14:schemeClr w14:val="tx1"/>
                  </w14:solidFill>
                </w14:textFill>
              </w:rPr>
            </w:pPr>
          </w:p>
        </w:tc>
      </w:tr>
    </w:tbl>
    <w:p w14:paraId="67CBE720">
      <w:pPr>
        <w:pStyle w:val="33"/>
        <w:adjustRightInd w:val="0"/>
        <w:snapToGrid w:val="0"/>
        <w:spacing w:before="0" w:beforeAutospacing="0" w:after="0" w:afterAutospacing="0"/>
        <w:jc w:val="both"/>
        <w:outlineLvl w:val="0"/>
        <w:rPr>
          <w:rFonts w:ascii="Times New Roman" w:hAnsi="Times New Roman" w:eastAsia="黑体"/>
          <w:snapToGrid w:val="0"/>
          <w:color w:val="000000" w:themeColor="text1"/>
          <w:sz w:val="30"/>
          <w:szCs w:val="30"/>
          <w14:textFill>
            <w14:solidFill>
              <w14:schemeClr w14:val="tx1"/>
            </w14:solidFill>
          </w14:textFill>
        </w:rPr>
        <w:sectPr>
          <w:pgSz w:w="11906" w:h="16838"/>
          <w:pgMar w:top="1701" w:right="1531" w:bottom="1701" w:left="1531" w:header="851" w:footer="851" w:gutter="0"/>
          <w:cols w:space="720" w:num="1"/>
          <w:docGrid w:linePitch="312" w:charSpace="0"/>
        </w:sectPr>
      </w:pPr>
    </w:p>
    <w:p w14:paraId="146E9C28">
      <w:pPr>
        <w:pStyle w:val="33"/>
        <w:adjustRightInd w:val="0"/>
        <w:snapToGrid w:val="0"/>
        <w:spacing w:before="0" w:beforeAutospacing="0" w:after="0" w:afterAutospacing="0"/>
        <w:ind w:firstLine="4200" w:firstLineChars="1400"/>
        <w:jc w:val="both"/>
        <w:outlineLvl w:val="0"/>
        <w:rPr>
          <w:rFonts w:ascii="Times New Roman" w:hAnsi="Times New Roman" w:eastAsia="黑体"/>
          <w:snapToGrid w:val="0"/>
          <w:color w:val="000000" w:themeColor="text1"/>
          <w:sz w:val="30"/>
          <w:szCs w:val="30"/>
          <w14:textFill>
            <w14:solidFill>
              <w14:schemeClr w14:val="tx1"/>
            </w14:solidFill>
          </w14:textFill>
        </w:rPr>
      </w:pPr>
      <w:r>
        <w:rPr>
          <w:rFonts w:ascii="Times New Roman" w:hAnsi="Times New Roman" w:eastAsia="黑体"/>
          <w:snapToGrid w:val="0"/>
          <w:color w:val="000000" w:themeColor="text1"/>
          <w:sz w:val="30"/>
          <w:szCs w:val="30"/>
          <w14:textFill>
            <w14:solidFill>
              <w14:schemeClr w14:val="tx1"/>
            </w14:solidFill>
          </w14:textFill>
        </w:rPr>
        <w:t>六、结论</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4FFD5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9354" w:type="dxa"/>
          </w:tcPr>
          <w:p w14:paraId="726962BA">
            <w:pPr>
              <w:spacing w:line="360" w:lineRule="auto"/>
              <w:ind w:firstLine="480" w:firstLineChars="200"/>
              <w:rPr>
                <w:color w:val="000000" w:themeColor="text1"/>
                <w14:textFill>
                  <w14:solidFill>
                    <w14:schemeClr w14:val="tx1"/>
                  </w14:solidFill>
                </w14:textFill>
              </w:rPr>
            </w:pPr>
            <w:r>
              <w:rPr>
                <w:rFonts w:eastAsia="宋体"/>
                <w:color w:val="000000" w:themeColor="text1"/>
                <w:kern w:val="0"/>
                <w14:textFill>
                  <w14:solidFill>
                    <w14:schemeClr w14:val="tx1"/>
                  </w14:solidFill>
                </w14:textFill>
              </w:rPr>
              <w:t>综上所述，本项目的建设符合国家产业政策要求，选址合理可行，本项目实施后，各项污染物经采取切实可行的污染防治措施后，均能实现达标排放。建设单位须切实落实环境影响报告表中提出的各项污染防治措施和环境管理要求，严格执行建设项目环境保护“三同时”制度，在确保各项污染物达标排放的前提下，从环境保护的角度考虑，本项目的建设是可行的</w:t>
            </w:r>
            <w:r>
              <w:rPr>
                <w:rFonts w:eastAsia="宋体"/>
                <w:color w:val="000000" w:themeColor="text1"/>
                <w14:textFill>
                  <w14:solidFill>
                    <w14:schemeClr w14:val="tx1"/>
                  </w14:solidFill>
                </w14:textFill>
              </w:rPr>
              <w:t>。</w:t>
            </w:r>
          </w:p>
        </w:tc>
      </w:tr>
    </w:tbl>
    <w:p w14:paraId="45C8E5A1">
      <w:pPr>
        <w:rPr>
          <w:color w:val="000000" w:themeColor="text1"/>
          <w14:textFill>
            <w14:solidFill>
              <w14:schemeClr w14:val="tx1"/>
            </w14:solidFill>
          </w14:textFill>
        </w:rPr>
        <w:sectPr>
          <w:pgSz w:w="11906" w:h="16838"/>
          <w:pgMar w:top="1701" w:right="1531" w:bottom="1701" w:left="1531" w:header="851" w:footer="851" w:gutter="0"/>
          <w:cols w:space="720" w:num="1"/>
          <w:docGrid w:linePitch="312" w:charSpace="0"/>
        </w:sectPr>
      </w:pPr>
    </w:p>
    <w:p w14:paraId="471E3E49">
      <w:pPr>
        <w:pStyle w:val="33"/>
        <w:adjustRightInd w:val="0"/>
        <w:snapToGrid w:val="0"/>
        <w:spacing w:before="0" w:beforeAutospacing="0" w:after="0" w:afterAutospacing="0"/>
        <w:outlineLvl w:val="0"/>
        <w:rPr>
          <w:rFonts w:ascii="Times New Roman" w:hAnsi="Times New Roman" w:eastAsia="黑体"/>
          <w:snapToGrid w:val="0"/>
          <w:color w:val="000000" w:themeColor="text1"/>
          <w:sz w:val="32"/>
          <w:szCs w:val="32"/>
          <w14:textFill>
            <w14:solidFill>
              <w14:schemeClr w14:val="tx1"/>
            </w14:solidFill>
          </w14:textFill>
        </w:rPr>
      </w:pPr>
      <w:r>
        <w:rPr>
          <w:rFonts w:ascii="Times New Roman" w:hAnsi="Times New Roman" w:eastAsia="黑体"/>
          <w:snapToGrid w:val="0"/>
          <w:color w:val="000000" w:themeColor="text1"/>
          <w:sz w:val="32"/>
          <w:szCs w:val="32"/>
          <w14:textFill>
            <w14:solidFill>
              <w14:schemeClr w14:val="tx1"/>
            </w14:solidFill>
          </w14:textFill>
        </w:rPr>
        <w:t>附表</w:t>
      </w:r>
    </w:p>
    <w:p w14:paraId="6E484677">
      <w:pPr>
        <w:pStyle w:val="33"/>
        <w:adjustRightInd w:val="0"/>
        <w:snapToGrid w:val="0"/>
        <w:spacing w:before="0" w:beforeAutospacing="0" w:after="0" w:afterAutospacing="0"/>
        <w:jc w:val="center"/>
        <w:outlineLvl w:val="0"/>
        <w:rPr>
          <w:rFonts w:ascii="Times New Roman" w:hAnsi="Times New Roman" w:eastAsia="宋体"/>
          <w:b/>
          <w:bCs/>
          <w:snapToGrid w:val="0"/>
          <w:color w:val="000000" w:themeColor="text1"/>
          <w:sz w:val="44"/>
          <w:szCs w:val="44"/>
          <w14:textFill>
            <w14:solidFill>
              <w14:schemeClr w14:val="tx1"/>
            </w14:solidFill>
          </w14:textFill>
        </w:rPr>
      </w:pPr>
      <w:r>
        <w:rPr>
          <w:rFonts w:ascii="Times New Roman" w:hAnsi="Times New Roman" w:eastAsia="宋体"/>
          <w:b/>
          <w:bCs/>
          <w:snapToGrid w:val="0"/>
          <w:color w:val="000000" w:themeColor="text1"/>
          <w:sz w:val="44"/>
          <w:szCs w:val="44"/>
          <w14:textFill>
            <w14:solidFill>
              <w14:schemeClr w14:val="tx1"/>
            </w14:solidFill>
          </w14:textFill>
        </w:rPr>
        <w:t>建设项目污染物排放量汇总表</w:t>
      </w:r>
    </w:p>
    <w:tbl>
      <w:tblPr>
        <w:tblStyle w:val="36"/>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545"/>
        <w:gridCol w:w="1582"/>
        <w:gridCol w:w="1114"/>
        <w:gridCol w:w="1872"/>
        <w:gridCol w:w="1563"/>
        <w:gridCol w:w="1626"/>
        <w:gridCol w:w="1606"/>
        <w:gridCol w:w="1324"/>
      </w:tblGrid>
      <w:tr w14:paraId="408FD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3" w:type="dxa"/>
            <w:tcMar>
              <w:left w:w="28" w:type="dxa"/>
              <w:right w:w="28" w:type="dxa"/>
            </w:tcMar>
            <w:vAlign w:val="center"/>
          </w:tcPr>
          <w:p w14:paraId="65C43C2A">
            <w:pPr>
              <w:widowControl/>
              <w:adjustRightInd w:val="0"/>
              <w:snapToGrid w:val="0"/>
              <w:ind w:right="211"/>
              <w:jc w:val="right"/>
              <w:rPr>
                <w:rFonts w:eastAsia="宋体"/>
                <w:b/>
                <w:bCs/>
                <w:color w:val="000000" w:themeColor="text1"/>
                <w:sz w:val="21"/>
                <w:szCs w:val="21"/>
                <w14:textFill>
                  <w14:solidFill>
                    <w14:schemeClr w14:val="tx1"/>
                  </w14:solidFill>
                </w14:textFill>
              </w:rPr>
            </w:pPr>
            <w:r>
              <w:rPr>
                <w:rFonts w:eastAsia="宋体"/>
                <w:b/>
                <w:bCs/>
                <w:color w:val="000000" w:themeColor="text1"/>
                <w:sz w:val="2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-13335</wp:posOffset>
                      </wp:positionV>
                      <wp:extent cx="995045" cy="527050"/>
                      <wp:effectExtent l="13335" t="6985" r="10795" b="8890"/>
                      <wp:wrapNone/>
                      <wp:docPr id="2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95045" cy="527050"/>
                              </a:xfrm>
                              <a:prstGeom prst="straightConnector1">
                                <a:avLst/>
                              </a:prstGeom>
                              <a:noFill/>
                              <a:ln w="9525">
                                <a:solidFill>
                                  <a:srgbClr val="000000"/>
                                </a:solidFill>
                                <a:round/>
                              </a:ln>
                              <a:effectLst/>
                            </wps:spPr>
                            <wps:bodyPr/>
                          </wps:wsp>
                        </a:graphicData>
                      </a:graphic>
                    </wp:anchor>
                  </w:drawing>
                </mc:Choice>
                <mc:Fallback>
                  <w:pict>
                    <v:shape id="直接连接符 2" o:spid="_x0000_s1026" o:spt="32" type="#_x0000_t32" style="position:absolute;left:0pt;margin-left:-0.45pt;margin-top:-1.05pt;height:41.5pt;width:78.35pt;z-index:251659264;mso-width-relative:page;mso-height-relative:page;" filled="f" stroked="t" coordsize="21600,21600" o:gfxdata="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qnL4zWAAAABwEAAA8AAAAAAAAAAQAgAAAAIgAAAGRycy9kb3ducmV2LnhtbFBL&#10;AQIUABQAAAAIAIdO4kATn4h++AEAAMsDAAAOAAAAAAAAAAEAIAAAACUBAABkcnMvZTJvRG9jLnht&#10;bFBLBQYAAAAABgAGAFkBAACPBQAAAAA=&#10;">
                      <v:fill on="f" focussize="0,0"/>
                      <v:stroke color="#000000" joinstyle="round"/>
                      <v:imagedata o:title=""/>
                      <o:lock v:ext="edit" aspectratio="f"/>
                    </v:shape>
                  </w:pict>
                </mc:Fallback>
              </mc:AlternateContent>
            </w:r>
            <w:r>
              <w:rPr>
                <w:rFonts w:eastAsia="宋体"/>
                <w:b/>
                <w:bCs/>
                <w:color w:val="000000" w:themeColor="text1"/>
                <w:sz w:val="21"/>
                <w:szCs w:val="21"/>
                <w14:textFill>
                  <w14:solidFill>
                    <w14:schemeClr w14:val="tx1"/>
                  </w14:solidFill>
                </w14:textFill>
              </w:rPr>
              <w:t>项目</w:t>
            </w:r>
          </w:p>
          <w:p w14:paraId="3444F7B1">
            <w:pPr>
              <w:widowControl/>
              <w:adjustRightInd w:val="0"/>
              <w:snapToGrid w:val="0"/>
              <w:jc w:val="center"/>
              <w:rPr>
                <w:rFonts w:eastAsia="宋体"/>
                <w:b/>
                <w:bCs/>
                <w:color w:val="000000" w:themeColor="text1"/>
                <w:sz w:val="21"/>
                <w:szCs w:val="21"/>
                <w14:textFill>
                  <w14:solidFill>
                    <w14:schemeClr w14:val="tx1"/>
                  </w14:solidFill>
                </w14:textFill>
              </w:rPr>
            </w:pPr>
          </w:p>
          <w:p w14:paraId="54DF125F">
            <w:pPr>
              <w:pStyle w:val="24"/>
              <w:adjustRightInd w:val="0"/>
              <w:ind w:firstLine="211" w:firstLineChars="100"/>
              <w:rPr>
                <w:rFonts w:eastAsia="宋体"/>
                <w:b/>
                <w:bCs/>
                <w:color w:val="000000" w:themeColor="text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分类</w:t>
            </w:r>
          </w:p>
        </w:tc>
        <w:tc>
          <w:tcPr>
            <w:tcW w:w="1535" w:type="dxa"/>
            <w:tcMar>
              <w:left w:w="28" w:type="dxa"/>
              <w:right w:w="28" w:type="dxa"/>
            </w:tcMar>
            <w:vAlign w:val="center"/>
          </w:tcPr>
          <w:p w14:paraId="0CD0B4E2">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污染物名称</w:t>
            </w:r>
          </w:p>
        </w:tc>
        <w:tc>
          <w:tcPr>
            <w:tcW w:w="1572" w:type="dxa"/>
            <w:tcMar>
              <w:left w:w="28" w:type="dxa"/>
              <w:right w:w="28" w:type="dxa"/>
            </w:tcMar>
            <w:vAlign w:val="center"/>
          </w:tcPr>
          <w:p w14:paraId="3DB80AEF">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现有工程排放量（固体废物产生量）</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1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①</w:t>
            </w:r>
            <w:r>
              <w:rPr>
                <w:rFonts w:eastAsia="宋体"/>
                <w:b/>
                <w:bCs/>
                <w:snapToGrid w:val="0"/>
                <w:color w:val="000000" w:themeColor="text1"/>
                <w:kern w:val="21"/>
                <w:sz w:val="21"/>
                <w:szCs w:val="21"/>
                <w14:textFill>
                  <w14:solidFill>
                    <w14:schemeClr w14:val="tx1"/>
                  </w14:solidFill>
                </w14:textFill>
              </w:rPr>
              <w:fldChar w:fldCharType="end"/>
            </w:r>
          </w:p>
        </w:tc>
        <w:tc>
          <w:tcPr>
            <w:tcW w:w="1107" w:type="dxa"/>
            <w:tcMar>
              <w:left w:w="28" w:type="dxa"/>
              <w:right w:w="28" w:type="dxa"/>
            </w:tcMar>
            <w:vAlign w:val="center"/>
          </w:tcPr>
          <w:p w14:paraId="58883B94">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现有工程许可排放量</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2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②</w:t>
            </w:r>
            <w:r>
              <w:rPr>
                <w:rFonts w:eastAsia="宋体"/>
                <w:b/>
                <w:bCs/>
                <w:snapToGrid w:val="0"/>
                <w:color w:val="000000" w:themeColor="text1"/>
                <w:kern w:val="21"/>
                <w:sz w:val="21"/>
                <w:szCs w:val="21"/>
                <w14:textFill>
                  <w14:solidFill>
                    <w14:schemeClr w14:val="tx1"/>
                  </w14:solidFill>
                </w14:textFill>
              </w:rPr>
              <w:fldChar w:fldCharType="end"/>
            </w:r>
          </w:p>
        </w:tc>
        <w:tc>
          <w:tcPr>
            <w:tcW w:w="1860" w:type="dxa"/>
            <w:tcMar>
              <w:left w:w="28" w:type="dxa"/>
              <w:right w:w="28" w:type="dxa"/>
            </w:tcMar>
            <w:vAlign w:val="center"/>
          </w:tcPr>
          <w:p w14:paraId="7D6284EA">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在建工程排放量（固体废物产生量）</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3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③</w:t>
            </w:r>
            <w:r>
              <w:rPr>
                <w:rFonts w:eastAsia="宋体"/>
                <w:b/>
                <w:bCs/>
                <w:snapToGrid w:val="0"/>
                <w:color w:val="000000" w:themeColor="text1"/>
                <w:kern w:val="21"/>
                <w:sz w:val="21"/>
                <w:szCs w:val="21"/>
                <w14:textFill>
                  <w14:solidFill>
                    <w14:schemeClr w14:val="tx1"/>
                  </w14:solidFill>
                </w14:textFill>
              </w:rPr>
              <w:fldChar w:fldCharType="end"/>
            </w:r>
          </w:p>
        </w:tc>
        <w:tc>
          <w:tcPr>
            <w:tcW w:w="1553" w:type="dxa"/>
            <w:tcMar>
              <w:left w:w="28" w:type="dxa"/>
              <w:right w:w="28" w:type="dxa"/>
            </w:tcMar>
            <w:vAlign w:val="center"/>
          </w:tcPr>
          <w:p w14:paraId="4791F147">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本项目排放量（固体废物产生量）</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4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④</w:t>
            </w:r>
            <w:r>
              <w:rPr>
                <w:rFonts w:eastAsia="宋体"/>
                <w:b/>
                <w:bCs/>
                <w:snapToGrid w:val="0"/>
                <w:color w:val="000000" w:themeColor="text1"/>
                <w:kern w:val="21"/>
                <w:sz w:val="21"/>
                <w:szCs w:val="21"/>
                <w14:textFill>
                  <w14:solidFill>
                    <w14:schemeClr w14:val="tx1"/>
                  </w14:solidFill>
                </w14:textFill>
              </w:rPr>
              <w:fldChar w:fldCharType="end"/>
            </w:r>
          </w:p>
        </w:tc>
        <w:tc>
          <w:tcPr>
            <w:tcW w:w="1616" w:type="dxa"/>
            <w:tcMar>
              <w:left w:w="28" w:type="dxa"/>
              <w:right w:w="28" w:type="dxa"/>
            </w:tcMar>
            <w:vAlign w:val="center"/>
          </w:tcPr>
          <w:p w14:paraId="44E21CC4">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以新带老削减量（新建项目不填）</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5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⑤</w:t>
            </w:r>
            <w:r>
              <w:rPr>
                <w:rFonts w:eastAsia="宋体"/>
                <w:b/>
                <w:bCs/>
                <w:snapToGrid w:val="0"/>
                <w:color w:val="000000" w:themeColor="text1"/>
                <w:kern w:val="21"/>
                <w:sz w:val="21"/>
                <w:szCs w:val="21"/>
                <w14:textFill>
                  <w14:solidFill>
                    <w14:schemeClr w14:val="tx1"/>
                  </w14:solidFill>
                </w14:textFill>
              </w:rPr>
              <w:fldChar w:fldCharType="end"/>
            </w:r>
          </w:p>
        </w:tc>
        <w:tc>
          <w:tcPr>
            <w:tcW w:w="1596" w:type="dxa"/>
            <w:tcMar>
              <w:left w:w="28" w:type="dxa"/>
              <w:right w:w="28" w:type="dxa"/>
            </w:tcMar>
            <w:vAlign w:val="center"/>
          </w:tcPr>
          <w:p w14:paraId="31765B3A">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本项目建成后全厂排放量（固体废物产生量）</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6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⑥</w:t>
            </w:r>
            <w:r>
              <w:rPr>
                <w:rFonts w:eastAsia="宋体"/>
                <w:b/>
                <w:bCs/>
                <w:snapToGrid w:val="0"/>
                <w:color w:val="000000" w:themeColor="text1"/>
                <w:kern w:val="21"/>
                <w:sz w:val="21"/>
                <w:szCs w:val="21"/>
                <w14:textFill>
                  <w14:solidFill>
                    <w14:schemeClr w14:val="tx1"/>
                  </w14:solidFill>
                </w14:textFill>
              </w:rPr>
              <w:fldChar w:fldCharType="end"/>
            </w:r>
          </w:p>
        </w:tc>
        <w:tc>
          <w:tcPr>
            <w:tcW w:w="1316" w:type="dxa"/>
            <w:tcMar>
              <w:left w:w="28" w:type="dxa"/>
              <w:right w:w="28" w:type="dxa"/>
            </w:tcMar>
            <w:vAlign w:val="center"/>
          </w:tcPr>
          <w:p w14:paraId="2496999D">
            <w:pPr>
              <w:widowControl/>
              <w:adjustRightInd w:val="0"/>
              <w:snapToGrid w:val="0"/>
              <w:jc w:val="center"/>
              <w:rPr>
                <w:rFonts w:eastAsia="宋体"/>
                <w:b/>
                <w:bCs/>
                <w:snapToGrid w:val="0"/>
                <w:color w:val="000000" w:themeColor="text1"/>
                <w:kern w:val="21"/>
                <w:sz w:val="21"/>
                <w:szCs w:val="21"/>
                <w14:textFill>
                  <w14:solidFill>
                    <w14:schemeClr w14:val="tx1"/>
                  </w14:solidFill>
                </w14:textFill>
              </w:rPr>
            </w:pPr>
            <w:r>
              <w:rPr>
                <w:rFonts w:eastAsia="宋体"/>
                <w:b/>
                <w:bCs/>
                <w:snapToGrid w:val="0"/>
                <w:color w:val="000000" w:themeColor="text1"/>
                <w:kern w:val="21"/>
                <w:sz w:val="21"/>
                <w:szCs w:val="21"/>
                <w14:textFill>
                  <w14:solidFill>
                    <w14:schemeClr w14:val="tx1"/>
                  </w14:solidFill>
                </w14:textFill>
              </w:rPr>
              <w:t>变化量</w:t>
            </w:r>
            <w:r>
              <w:rPr>
                <w:rFonts w:eastAsia="宋体"/>
                <w:b/>
                <w:bCs/>
                <w:snapToGrid w:val="0"/>
                <w:color w:val="000000" w:themeColor="text1"/>
                <w:kern w:val="21"/>
                <w:sz w:val="21"/>
                <w:szCs w:val="21"/>
                <w14:textFill>
                  <w14:solidFill>
                    <w14:schemeClr w14:val="tx1"/>
                  </w14:solidFill>
                </w14:textFill>
              </w:rPr>
              <w:fldChar w:fldCharType="begin"/>
            </w:r>
            <w:r>
              <w:rPr>
                <w:rFonts w:eastAsia="宋体"/>
                <w:b/>
                <w:bCs/>
                <w:snapToGrid w:val="0"/>
                <w:color w:val="000000" w:themeColor="text1"/>
                <w:kern w:val="21"/>
                <w:sz w:val="21"/>
                <w:szCs w:val="21"/>
                <w14:textFill>
                  <w14:solidFill>
                    <w14:schemeClr w14:val="tx1"/>
                  </w14:solidFill>
                </w14:textFill>
              </w:rPr>
              <w:instrText xml:space="preserve"> = 7 \* GB3 \* MERGEFORMAT </w:instrText>
            </w:r>
            <w:r>
              <w:rPr>
                <w:rFonts w:eastAsia="宋体"/>
                <w:b/>
                <w:bCs/>
                <w:snapToGrid w:val="0"/>
                <w:color w:val="000000" w:themeColor="text1"/>
                <w:kern w:val="21"/>
                <w:sz w:val="21"/>
                <w:szCs w:val="21"/>
                <w14:textFill>
                  <w14:solidFill>
                    <w14:schemeClr w14:val="tx1"/>
                  </w14:solidFill>
                </w14:textFill>
              </w:rPr>
              <w:fldChar w:fldCharType="separate"/>
            </w:r>
            <w:r>
              <w:rPr>
                <w:rFonts w:hint="eastAsia" w:ascii="宋体" w:hAnsi="宋体" w:eastAsia="宋体" w:cs="宋体"/>
                <w:b/>
                <w:bCs/>
                <w:snapToGrid w:val="0"/>
                <w:color w:val="000000" w:themeColor="text1"/>
                <w:kern w:val="21"/>
                <w:sz w:val="21"/>
                <w:szCs w:val="21"/>
                <w14:textFill>
                  <w14:solidFill>
                    <w14:schemeClr w14:val="tx1"/>
                  </w14:solidFill>
                </w14:textFill>
              </w:rPr>
              <w:t>⑦</w:t>
            </w:r>
            <w:r>
              <w:rPr>
                <w:rFonts w:eastAsia="宋体"/>
                <w:b/>
                <w:bCs/>
                <w:snapToGrid w:val="0"/>
                <w:color w:val="000000" w:themeColor="text1"/>
                <w:kern w:val="21"/>
                <w:sz w:val="21"/>
                <w:szCs w:val="21"/>
                <w14:textFill>
                  <w14:solidFill>
                    <w14:schemeClr w14:val="tx1"/>
                  </w14:solidFill>
                </w14:textFill>
              </w:rPr>
              <w:fldChar w:fldCharType="end"/>
            </w:r>
          </w:p>
        </w:tc>
      </w:tr>
      <w:tr w14:paraId="7BEEF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Align w:val="center"/>
          </w:tcPr>
          <w:p w14:paraId="6871C240">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废气</w:t>
            </w:r>
          </w:p>
        </w:tc>
        <w:tc>
          <w:tcPr>
            <w:tcW w:w="1535" w:type="dxa"/>
            <w:vAlign w:val="center"/>
          </w:tcPr>
          <w:p w14:paraId="6F360456">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颗粒物</w:t>
            </w:r>
          </w:p>
        </w:tc>
        <w:tc>
          <w:tcPr>
            <w:tcW w:w="1572" w:type="dxa"/>
            <w:vAlign w:val="center"/>
          </w:tcPr>
          <w:p w14:paraId="06515773">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0.94t/a</w:t>
            </w:r>
          </w:p>
        </w:tc>
        <w:tc>
          <w:tcPr>
            <w:tcW w:w="1107" w:type="dxa"/>
            <w:vAlign w:val="center"/>
          </w:tcPr>
          <w:p w14:paraId="79948228">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51523F40">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5B516ADE">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1.419t/a</w:t>
            </w:r>
          </w:p>
        </w:tc>
        <w:tc>
          <w:tcPr>
            <w:tcW w:w="1616" w:type="dxa"/>
            <w:vAlign w:val="center"/>
          </w:tcPr>
          <w:p w14:paraId="5D7DA0B6">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378B4CB2">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2.359t/a</w:t>
            </w:r>
          </w:p>
        </w:tc>
        <w:tc>
          <w:tcPr>
            <w:tcW w:w="1316" w:type="dxa"/>
            <w:vAlign w:val="center"/>
          </w:tcPr>
          <w:p w14:paraId="760A15B0">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+1.419t/a</w:t>
            </w:r>
          </w:p>
        </w:tc>
      </w:tr>
      <w:tr w14:paraId="48904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Merge w:val="restart"/>
            <w:vAlign w:val="center"/>
          </w:tcPr>
          <w:p w14:paraId="197925EF">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一般工业固体废物</w:t>
            </w:r>
          </w:p>
        </w:tc>
        <w:tc>
          <w:tcPr>
            <w:tcW w:w="1535" w:type="dxa"/>
            <w:vAlign w:val="center"/>
          </w:tcPr>
          <w:p w14:paraId="57B0FD64">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除尘灰</w:t>
            </w:r>
          </w:p>
        </w:tc>
        <w:tc>
          <w:tcPr>
            <w:tcW w:w="1572" w:type="dxa"/>
            <w:vAlign w:val="center"/>
          </w:tcPr>
          <w:p w14:paraId="3BF5CEAE">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128.69t/a</w:t>
            </w:r>
          </w:p>
        </w:tc>
        <w:tc>
          <w:tcPr>
            <w:tcW w:w="1107" w:type="dxa"/>
            <w:vAlign w:val="center"/>
          </w:tcPr>
          <w:p w14:paraId="6006AB85">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7AEF0400">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3E79696A">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479.51t/a</w:t>
            </w:r>
          </w:p>
        </w:tc>
        <w:tc>
          <w:tcPr>
            <w:tcW w:w="1616" w:type="dxa"/>
            <w:vAlign w:val="center"/>
          </w:tcPr>
          <w:p w14:paraId="52CDD342">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3D2E7D51">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608.2t/a</w:t>
            </w:r>
          </w:p>
        </w:tc>
        <w:tc>
          <w:tcPr>
            <w:tcW w:w="1316" w:type="dxa"/>
            <w:vAlign w:val="center"/>
          </w:tcPr>
          <w:p w14:paraId="3B8A6D4F">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+479.51t/a</w:t>
            </w:r>
          </w:p>
        </w:tc>
      </w:tr>
      <w:tr w14:paraId="103EEA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Merge w:val="continue"/>
            <w:vAlign w:val="center"/>
          </w:tcPr>
          <w:p w14:paraId="6195EDFC">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35" w:type="dxa"/>
            <w:vAlign w:val="center"/>
          </w:tcPr>
          <w:p w14:paraId="4FD7CDFD">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沉淀池沉渣</w:t>
            </w:r>
          </w:p>
        </w:tc>
        <w:tc>
          <w:tcPr>
            <w:tcW w:w="1572" w:type="dxa"/>
            <w:vAlign w:val="center"/>
          </w:tcPr>
          <w:p w14:paraId="25063CE7">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2.2t/a</w:t>
            </w:r>
          </w:p>
        </w:tc>
        <w:tc>
          <w:tcPr>
            <w:tcW w:w="1107" w:type="dxa"/>
            <w:vAlign w:val="center"/>
          </w:tcPr>
          <w:p w14:paraId="7B5B2329">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7260D367">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079B0BD6">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1t/a</w:t>
            </w:r>
          </w:p>
        </w:tc>
        <w:tc>
          <w:tcPr>
            <w:tcW w:w="1616" w:type="dxa"/>
            <w:vAlign w:val="center"/>
          </w:tcPr>
          <w:p w14:paraId="6221B621">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42550254">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3.2t/a</w:t>
            </w:r>
          </w:p>
        </w:tc>
        <w:tc>
          <w:tcPr>
            <w:tcW w:w="1316" w:type="dxa"/>
            <w:vAlign w:val="center"/>
          </w:tcPr>
          <w:p w14:paraId="52473166">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+1t/a</w:t>
            </w:r>
          </w:p>
        </w:tc>
      </w:tr>
      <w:tr w14:paraId="7306D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Merge w:val="continue"/>
            <w:vAlign w:val="center"/>
          </w:tcPr>
          <w:p w14:paraId="0D5CA1C4">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35" w:type="dxa"/>
            <w:vAlign w:val="center"/>
          </w:tcPr>
          <w:p w14:paraId="35B69945">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hint="eastAsia" w:eastAsia="宋体"/>
                <w:snapToGrid w:val="0"/>
                <w:color w:val="000000" w:themeColor="text1"/>
                <w:kern w:val="21"/>
                <w:sz w:val="21"/>
                <w:szCs w:val="21"/>
                <w14:textFill>
                  <w14:solidFill>
                    <w14:schemeClr w14:val="tx1"/>
                  </w14:solidFill>
                </w14:textFill>
              </w:rPr>
              <w:t>废砂石</w:t>
            </w:r>
          </w:p>
        </w:tc>
        <w:tc>
          <w:tcPr>
            <w:tcW w:w="1572" w:type="dxa"/>
            <w:vAlign w:val="center"/>
          </w:tcPr>
          <w:p w14:paraId="3922C754">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hint="eastAsia" w:eastAsia="宋体"/>
                <w:snapToGrid w:val="0"/>
                <w:color w:val="000000" w:themeColor="text1"/>
                <w:kern w:val="21"/>
                <w:sz w:val="21"/>
                <w:szCs w:val="21"/>
                <w14:textFill>
                  <w14:solidFill>
                    <w14:schemeClr w14:val="tx1"/>
                  </w14:solidFill>
                </w14:textFill>
              </w:rPr>
              <w:t>2</w:t>
            </w:r>
            <w:r>
              <w:rPr>
                <w:rFonts w:eastAsia="宋体"/>
                <w:snapToGrid w:val="0"/>
                <w:color w:val="000000" w:themeColor="text1"/>
                <w:kern w:val="21"/>
                <w:sz w:val="21"/>
                <w:szCs w:val="21"/>
                <w14:textFill>
                  <w14:solidFill>
                    <w14:schemeClr w14:val="tx1"/>
                  </w14:solidFill>
                </w14:textFill>
              </w:rPr>
              <w:t>0t/a</w:t>
            </w:r>
          </w:p>
        </w:tc>
        <w:tc>
          <w:tcPr>
            <w:tcW w:w="1107" w:type="dxa"/>
            <w:vAlign w:val="center"/>
          </w:tcPr>
          <w:p w14:paraId="0645C480">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3D9013F4">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5B5A4CFC">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hint="eastAsia" w:eastAsia="宋体"/>
                <w:snapToGrid w:val="0"/>
                <w:color w:val="000000" w:themeColor="text1"/>
                <w:kern w:val="21"/>
                <w:sz w:val="21"/>
                <w:szCs w:val="21"/>
                <w14:textFill>
                  <w14:solidFill>
                    <w14:schemeClr w14:val="tx1"/>
                  </w14:solidFill>
                </w14:textFill>
              </w:rPr>
              <w:t>1</w:t>
            </w:r>
            <w:r>
              <w:rPr>
                <w:rFonts w:eastAsia="宋体"/>
                <w:snapToGrid w:val="0"/>
                <w:color w:val="000000" w:themeColor="text1"/>
                <w:kern w:val="21"/>
                <w:sz w:val="21"/>
                <w:szCs w:val="21"/>
                <w14:textFill>
                  <w14:solidFill>
                    <w14:schemeClr w14:val="tx1"/>
                  </w14:solidFill>
                </w14:textFill>
              </w:rPr>
              <w:t>0t/a</w:t>
            </w:r>
          </w:p>
        </w:tc>
        <w:tc>
          <w:tcPr>
            <w:tcW w:w="1616" w:type="dxa"/>
            <w:vAlign w:val="center"/>
          </w:tcPr>
          <w:p w14:paraId="3248351E">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172A8403">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hint="eastAsia" w:eastAsia="宋体"/>
                <w:snapToGrid w:val="0"/>
                <w:color w:val="000000" w:themeColor="text1"/>
                <w:kern w:val="21"/>
                <w:sz w:val="21"/>
                <w:szCs w:val="21"/>
                <w14:textFill>
                  <w14:solidFill>
                    <w14:schemeClr w14:val="tx1"/>
                  </w14:solidFill>
                </w14:textFill>
              </w:rPr>
              <w:t>3</w:t>
            </w:r>
            <w:r>
              <w:rPr>
                <w:rFonts w:eastAsia="宋体"/>
                <w:snapToGrid w:val="0"/>
                <w:color w:val="000000" w:themeColor="text1"/>
                <w:kern w:val="21"/>
                <w:sz w:val="21"/>
                <w:szCs w:val="21"/>
                <w14:textFill>
                  <w14:solidFill>
                    <w14:schemeClr w14:val="tx1"/>
                  </w14:solidFill>
                </w14:textFill>
              </w:rPr>
              <w:t>0t/a</w:t>
            </w:r>
          </w:p>
        </w:tc>
        <w:tc>
          <w:tcPr>
            <w:tcW w:w="1316" w:type="dxa"/>
            <w:vAlign w:val="center"/>
          </w:tcPr>
          <w:p w14:paraId="55171ED6">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hint="eastAsia" w:eastAsia="宋体"/>
                <w:snapToGrid w:val="0"/>
                <w:color w:val="000000" w:themeColor="text1"/>
                <w:kern w:val="21"/>
                <w:sz w:val="21"/>
                <w:szCs w:val="21"/>
                <w14:textFill>
                  <w14:solidFill>
                    <w14:schemeClr w14:val="tx1"/>
                  </w14:solidFill>
                </w14:textFill>
              </w:rPr>
              <w:t>+</w:t>
            </w:r>
            <w:r>
              <w:rPr>
                <w:rFonts w:eastAsia="宋体"/>
                <w:snapToGrid w:val="0"/>
                <w:color w:val="000000" w:themeColor="text1"/>
                <w:kern w:val="21"/>
                <w:sz w:val="21"/>
                <w:szCs w:val="21"/>
                <w14:textFill>
                  <w14:solidFill>
                    <w14:schemeClr w14:val="tx1"/>
                  </w14:solidFill>
                </w14:textFill>
              </w:rPr>
              <w:t>10t/a</w:t>
            </w:r>
          </w:p>
        </w:tc>
      </w:tr>
      <w:tr w14:paraId="02FBF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Merge w:val="continue"/>
            <w:vAlign w:val="center"/>
          </w:tcPr>
          <w:p w14:paraId="58B9DF0B">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35" w:type="dxa"/>
            <w:vAlign w:val="center"/>
          </w:tcPr>
          <w:p w14:paraId="6DAE9A6F">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不合格品</w:t>
            </w:r>
          </w:p>
        </w:tc>
        <w:tc>
          <w:tcPr>
            <w:tcW w:w="1572" w:type="dxa"/>
            <w:vAlign w:val="center"/>
          </w:tcPr>
          <w:p w14:paraId="5E6794AD">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3000t/a</w:t>
            </w:r>
          </w:p>
        </w:tc>
        <w:tc>
          <w:tcPr>
            <w:tcW w:w="1107" w:type="dxa"/>
            <w:vAlign w:val="center"/>
          </w:tcPr>
          <w:p w14:paraId="46BF9088">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3E188986">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4E60A488">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w:t>
            </w:r>
          </w:p>
        </w:tc>
        <w:tc>
          <w:tcPr>
            <w:tcW w:w="1616" w:type="dxa"/>
            <w:vAlign w:val="center"/>
          </w:tcPr>
          <w:p w14:paraId="6C94E0DA">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2682F72B">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3000t/a</w:t>
            </w:r>
          </w:p>
        </w:tc>
        <w:tc>
          <w:tcPr>
            <w:tcW w:w="1316" w:type="dxa"/>
            <w:vAlign w:val="center"/>
          </w:tcPr>
          <w:p w14:paraId="0950FCB9">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w:t>
            </w:r>
          </w:p>
        </w:tc>
      </w:tr>
      <w:tr w14:paraId="23320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Merge w:val="continue"/>
            <w:vAlign w:val="center"/>
          </w:tcPr>
          <w:p w14:paraId="187FF7BD">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35" w:type="dxa"/>
            <w:vAlign w:val="center"/>
          </w:tcPr>
          <w:p w14:paraId="004FD18D">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分拣杂质</w:t>
            </w:r>
          </w:p>
        </w:tc>
        <w:tc>
          <w:tcPr>
            <w:tcW w:w="1572" w:type="dxa"/>
            <w:vAlign w:val="center"/>
          </w:tcPr>
          <w:p w14:paraId="1126C812">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w:t>
            </w:r>
          </w:p>
        </w:tc>
        <w:tc>
          <w:tcPr>
            <w:tcW w:w="1107" w:type="dxa"/>
            <w:vAlign w:val="center"/>
          </w:tcPr>
          <w:p w14:paraId="17D616B6">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0B32007F">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1849AC89">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50t/a</w:t>
            </w:r>
          </w:p>
        </w:tc>
        <w:tc>
          <w:tcPr>
            <w:tcW w:w="1616" w:type="dxa"/>
            <w:vAlign w:val="center"/>
          </w:tcPr>
          <w:p w14:paraId="5D6CC9BB">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318405A6">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50t/a</w:t>
            </w:r>
          </w:p>
        </w:tc>
        <w:tc>
          <w:tcPr>
            <w:tcW w:w="1316" w:type="dxa"/>
            <w:vAlign w:val="center"/>
          </w:tcPr>
          <w:p w14:paraId="30D980E1">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+50t/a</w:t>
            </w:r>
          </w:p>
        </w:tc>
      </w:tr>
      <w:tr w14:paraId="2F209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Align w:val="center"/>
          </w:tcPr>
          <w:p w14:paraId="524972E7">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危险废物</w:t>
            </w:r>
          </w:p>
        </w:tc>
        <w:tc>
          <w:tcPr>
            <w:tcW w:w="1535" w:type="dxa"/>
            <w:vAlign w:val="center"/>
          </w:tcPr>
          <w:p w14:paraId="66C9EF8B">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废机油</w:t>
            </w:r>
          </w:p>
        </w:tc>
        <w:tc>
          <w:tcPr>
            <w:tcW w:w="1572" w:type="dxa"/>
            <w:vAlign w:val="center"/>
          </w:tcPr>
          <w:p w14:paraId="6BF7895A">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0.05t/a</w:t>
            </w:r>
          </w:p>
        </w:tc>
        <w:tc>
          <w:tcPr>
            <w:tcW w:w="1107" w:type="dxa"/>
            <w:vAlign w:val="center"/>
          </w:tcPr>
          <w:p w14:paraId="125D2414">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1A3DD9C7">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51D857D9">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0.01t/a</w:t>
            </w:r>
          </w:p>
        </w:tc>
        <w:tc>
          <w:tcPr>
            <w:tcW w:w="1616" w:type="dxa"/>
            <w:vAlign w:val="center"/>
          </w:tcPr>
          <w:p w14:paraId="73AEEE47">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18F820D1">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0.06t/a</w:t>
            </w:r>
          </w:p>
        </w:tc>
        <w:tc>
          <w:tcPr>
            <w:tcW w:w="1316" w:type="dxa"/>
            <w:vAlign w:val="center"/>
          </w:tcPr>
          <w:p w14:paraId="020FB1B2">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+0.01t/a</w:t>
            </w:r>
          </w:p>
        </w:tc>
      </w:tr>
      <w:tr w14:paraId="3BA49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83" w:type="dxa"/>
            <w:vAlign w:val="center"/>
          </w:tcPr>
          <w:p w14:paraId="112F4BD2">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生活垃圾</w:t>
            </w:r>
          </w:p>
        </w:tc>
        <w:tc>
          <w:tcPr>
            <w:tcW w:w="1535" w:type="dxa"/>
            <w:vAlign w:val="center"/>
          </w:tcPr>
          <w:p w14:paraId="5E7C66DE">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生活垃圾</w:t>
            </w:r>
          </w:p>
        </w:tc>
        <w:tc>
          <w:tcPr>
            <w:tcW w:w="1572" w:type="dxa"/>
            <w:vAlign w:val="center"/>
          </w:tcPr>
          <w:p w14:paraId="65833999">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4.05t/a</w:t>
            </w:r>
          </w:p>
        </w:tc>
        <w:tc>
          <w:tcPr>
            <w:tcW w:w="1107" w:type="dxa"/>
            <w:vAlign w:val="center"/>
          </w:tcPr>
          <w:p w14:paraId="76459272">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860" w:type="dxa"/>
            <w:vAlign w:val="center"/>
          </w:tcPr>
          <w:p w14:paraId="661026E2">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53" w:type="dxa"/>
            <w:vAlign w:val="center"/>
          </w:tcPr>
          <w:p w14:paraId="14B09587">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1.35t/a</w:t>
            </w:r>
          </w:p>
        </w:tc>
        <w:tc>
          <w:tcPr>
            <w:tcW w:w="1616" w:type="dxa"/>
            <w:vAlign w:val="center"/>
          </w:tcPr>
          <w:p w14:paraId="55652552">
            <w:pPr>
              <w:widowControl/>
              <w:adjustRightInd w:val="0"/>
              <w:snapToGrid w:val="0"/>
              <w:jc w:val="center"/>
              <w:rPr>
                <w:rFonts w:eastAsia="宋体"/>
                <w:snapToGrid w:val="0"/>
                <w:color w:val="000000" w:themeColor="text1"/>
                <w:kern w:val="21"/>
                <w:sz w:val="21"/>
                <w:szCs w:val="21"/>
                <w14:textFill>
                  <w14:solidFill>
                    <w14:schemeClr w14:val="tx1"/>
                  </w14:solidFill>
                </w14:textFill>
              </w:rPr>
            </w:pPr>
          </w:p>
        </w:tc>
        <w:tc>
          <w:tcPr>
            <w:tcW w:w="1596" w:type="dxa"/>
            <w:vAlign w:val="center"/>
          </w:tcPr>
          <w:p w14:paraId="2455AD5B">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5.4t/a</w:t>
            </w:r>
          </w:p>
        </w:tc>
        <w:tc>
          <w:tcPr>
            <w:tcW w:w="1316" w:type="dxa"/>
            <w:vAlign w:val="center"/>
          </w:tcPr>
          <w:p w14:paraId="05E84B7D">
            <w:pPr>
              <w:widowControl/>
              <w:adjustRightInd w:val="0"/>
              <w:snapToGrid w:val="0"/>
              <w:jc w:val="center"/>
              <w:rPr>
                <w:rFonts w:eastAsia="宋体"/>
                <w:snapToGrid w:val="0"/>
                <w:color w:val="000000" w:themeColor="text1"/>
                <w:kern w:val="21"/>
                <w:sz w:val="21"/>
                <w:szCs w:val="21"/>
                <w14:textFill>
                  <w14:solidFill>
                    <w14:schemeClr w14:val="tx1"/>
                  </w14:solidFill>
                </w14:textFill>
              </w:rPr>
            </w:pPr>
            <w:r>
              <w:rPr>
                <w:rFonts w:eastAsia="宋体"/>
                <w:snapToGrid w:val="0"/>
                <w:color w:val="000000" w:themeColor="text1"/>
                <w:kern w:val="21"/>
                <w:sz w:val="21"/>
                <w:szCs w:val="21"/>
                <w14:textFill>
                  <w14:solidFill>
                    <w14:schemeClr w14:val="tx1"/>
                  </w14:solidFill>
                </w14:textFill>
              </w:rPr>
              <w:t>+1.35t/a</w:t>
            </w:r>
          </w:p>
        </w:tc>
      </w:tr>
    </w:tbl>
    <w:p w14:paraId="35094DA9">
      <w:pPr>
        <w:pStyle w:val="68"/>
        <w:spacing w:before="192" w:beforeLines="80" w:after="24"/>
        <w:jc w:val="left"/>
        <w:rPr>
          <w:rFonts w:ascii="Times New Roman"/>
          <w:color w:val="000000" w:themeColor="text1"/>
          <w:sz w:val="21"/>
          <w:szCs w:val="21"/>
          <w14:textFill>
            <w14:solidFill>
              <w14:schemeClr w14:val="tx1"/>
            </w14:solidFill>
          </w14:textFill>
        </w:rPr>
      </w:pPr>
      <w:r>
        <w:rPr>
          <w:rFonts w:ascii="Times New Roman"/>
          <w:color w:val="000000" w:themeColor="text1"/>
          <w:kern w:val="21"/>
          <w:sz w:val="21"/>
          <w:szCs w:val="21"/>
          <w14:textFill>
            <w14:solidFill>
              <w14:schemeClr w14:val="tx1"/>
            </w14:solidFill>
          </w14:textFill>
        </w:rPr>
        <w:t>注：</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6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⑥</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1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①</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3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③</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4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④</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5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⑤</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7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⑦</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6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⑥</w:t>
      </w:r>
      <w:r>
        <w:rPr>
          <w:rFonts w:ascii="Times New Roman"/>
          <w:color w:val="000000" w:themeColor="text1"/>
          <w:sz w:val="21"/>
          <w:szCs w:val="21"/>
          <w14:textFill>
            <w14:solidFill>
              <w14:schemeClr w14:val="tx1"/>
            </w14:solidFill>
          </w14:textFill>
        </w:rPr>
        <w:fldChar w:fldCharType="end"/>
      </w:r>
      <w:r>
        <w:rPr>
          <w:rFonts w:ascii="Times New Roman"/>
          <w:color w:val="000000" w:themeColor="text1"/>
          <w:sz w:val="21"/>
          <w:szCs w:val="21"/>
          <w14:textFill>
            <w14:solidFill>
              <w14:schemeClr w14:val="tx1"/>
            </w14:solidFill>
          </w14:textFill>
        </w:rPr>
        <w:t>-</w:t>
      </w:r>
      <w:r>
        <w:rPr>
          <w:rFonts w:ascii="Times New Roman"/>
          <w:color w:val="000000" w:themeColor="text1"/>
          <w:sz w:val="21"/>
          <w:szCs w:val="21"/>
          <w14:textFill>
            <w14:solidFill>
              <w14:schemeClr w14:val="tx1"/>
            </w14:solidFill>
          </w14:textFill>
        </w:rPr>
        <w:fldChar w:fldCharType="begin"/>
      </w:r>
      <w:r>
        <w:rPr>
          <w:rFonts w:ascii="Times New Roman"/>
          <w:color w:val="000000" w:themeColor="text1"/>
          <w:sz w:val="21"/>
          <w:szCs w:val="21"/>
          <w14:textFill>
            <w14:solidFill>
              <w14:schemeClr w14:val="tx1"/>
            </w14:solidFill>
          </w14:textFill>
        </w:rPr>
        <w:instrText xml:space="preserve"> = 1 \* GB3 \* MERGEFORMAT </w:instrText>
      </w:r>
      <w:r>
        <w:rPr>
          <w:rFonts w:ascii="Times New Roman"/>
          <w:color w:val="000000" w:themeColor="text1"/>
          <w:sz w:val="21"/>
          <w:szCs w:val="21"/>
          <w14:textFill>
            <w14:solidFill>
              <w14:schemeClr w14:val="tx1"/>
            </w14:solidFill>
          </w14:textFill>
        </w:rPr>
        <w:fldChar w:fldCharType="separate"/>
      </w:r>
      <w:r>
        <w:rPr>
          <w:rFonts w:hint="eastAsia" w:hAnsi="宋体" w:eastAsia="宋体" w:cs="宋体"/>
          <w:color w:val="000000" w:themeColor="text1"/>
          <w:sz w:val="21"/>
          <w:szCs w:val="21"/>
          <w14:textFill>
            <w14:solidFill>
              <w14:schemeClr w14:val="tx1"/>
            </w14:solidFill>
          </w14:textFill>
        </w:rPr>
        <w:t>①</w:t>
      </w:r>
      <w:r>
        <w:rPr>
          <w:rFonts w:ascii="Times New Roman"/>
          <w:color w:val="000000" w:themeColor="text1"/>
          <w:sz w:val="21"/>
          <w:szCs w:val="21"/>
          <w14:textFill>
            <w14:solidFill>
              <w14:schemeClr w14:val="tx1"/>
            </w14:solidFill>
          </w14:textFill>
        </w:rPr>
        <w:fldChar w:fldCharType="end"/>
      </w:r>
    </w:p>
    <w:sectPr>
      <w:footerReference r:id="rId5" w:type="default"/>
      <w:pgSz w:w="16838" w:h="11906" w:orient="landscape"/>
      <w:pgMar w:top="1701" w:right="1531" w:bottom="1701" w:left="153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Nimbus Roman">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monospace">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Tms Rmn">
    <w:altName w:val="FreeSerif"/>
    <w:panose1 w:val="02020603040505020304"/>
    <w:charset w:val="00"/>
    <w:family w:val="roman"/>
    <w:pitch w:val="default"/>
    <w:sig w:usb0="00000000" w:usb1="00000000" w:usb2="00000000" w:usb3="00000000" w:csb0="00000001" w:csb1="00000000"/>
  </w:font>
  <w:font w:name="serif">
    <w:altName w:val="华文仿宋"/>
    <w:panose1 w:val="00000000000000000000"/>
    <w:charset w:val="00"/>
    <w:family w:val="auto"/>
    <w:pitch w:val="default"/>
    <w:sig w:usb0="00000000" w:usb1="00000000" w:usb2="00000000" w:usb3="00000000" w:csb0="00040001" w:csb1="00000000"/>
  </w:font>
  <w:font w:name="方正大标宋简体">
    <w:altName w:val="方正书宋_GBK"/>
    <w:panose1 w:val="00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Segoe UI Symbol">
    <w:altName w:val="Noto Sans"/>
    <w:panose1 w:val="020B0502040204020203"/>
    <w:charset w:val="00"/>
    <w:family w:val="swiss"/>
    <w:pitch w:val="default"/>
    <w:sig w:usb0="00000000" w:usb1="00000000" w:usb2="00040000" w:usb3="00000000" w:csb0="00000001" w:csb1="0000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B5AD">
    <w:pPr>
      <w:pStyle w:val="24"/>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1905"/>
              <wp:wrapNone/>
              <wp:docPr id="3" name="文本框 205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13DF6ED">
                          <w:pPr>
                            <w:pStyle w:val="24"/>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文本框 205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mLyAAQ4CAAAFBAAADgAAAAAAAAABACAAAAAf&#10;AQAAZHJzL2Uyb0RvYy54bWxQSwUGAAAAAAYABgBZAQAAnwUAAAAA&#10;">
              <v:fill on="f" focussize="0,0"/>
              <v:stroke on="f"/>
              <v:imagedata o:title=""/>
              <o:lock v:ext="edit" aspectratio="f"/>
              <v:textbox inset="0mm,0mm,0mm,0mm" style="mso-fit-shape-to-text:t;">
                <w:txbxContent>
                  <w:p w14:paraId="713DF6ED">
                    <w:pPr>
                      <w:pStyle w:val="2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63EE">
    <w:pPr>
      <w:pStyle w:val="2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635" b="1905"/>
              <wp:wrapNone/>
              <wp:docPr id="2" name="文本框 205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E1F1D8D">
                          <w:pPr>
                            <w:pStyle w:val="24"/>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文本框 205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suQ4KwsCAAAFBAAADgAAAAAAAAABACAAAAAfAQAA&#10;ZHJzL2Uyb0RvYy54bWxQSwUGAAAAAAYABgBZAQAAnAUAAAAA&#10;">
              <v:fill on="f" focussize="0,0"/>
              <v:stroke on="f"/>
              <v:imagedata o:title=""/>
              <o:lock v:ext="edit" aspectratio="f"/>
              <v:textbox inset="0mm,0mm,0mm,0mm" style="mso-fit-shape-to-text:t;">
                <w:txbxContent>
                  <w:p w14:paraId="5E1F1D8D">
                    <w:pPr>
                      <w:pStyle w:val="2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2466">
    <w:pPr>
      <w:pStyle w:val="24"/>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2540" t="1905" r="0" b="0"/>
              <wp:wrapNone/>
              <wp:docPr id="1" name="文本框 205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4FB9A6B">
                          <w:pPr>
                            <w:pStyle w:val="24"/>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文本框 205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V+SdAAAAADAQAADwAAAAAAAAABACAAAAAiAAAAZHJz&#10;L2Rvd25yZXYueG1sUEsBAhQAFAAAAAgAh07iQMwM8FQMAgAABQQAAA4AAAAAAAAAAQAgAAAAHwEA&#10;AGRycy9lMm9Eb2MueG1sUEsFBgAAAAAGAAYAWQEAAJ0FAAAAAA==&#10;">
              <v:fill on="f" focussize="0,0"/>
              <v:stroke on="f"/>
              <v:imagedata o:title=""/>
              <o:lock v:ext="edit" aspectratio="f"/>
              <v:textbox inset="0mm,0mm,0mm,0mm" style="mso-fit-shape-to-text:t;">
                <w:txbxContent>
                  <w:p w14:paraId="04FB9A6B">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10A40"/>
    <w:multiLevelType w:val="singleLevel"/>
    <w:tmpl w:val="9EF10A40"/>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jMzU3MGJlY2Q1MmZmOWM5YzU1MzU2MmNkODNiM2UifQ=="/>
    <w:docVar w:name="KSO_WPS_MARK_KEY" w:val="7767997a-9ae3-4f76-99e8-df2fec223eb9"/>
  </w:docVars>
  <w:rsids>
    <w:rsidRoot w:val="00172A27"/>
    <w:rsid w:val="000060B3"/>
    <w:rsid w:val="00020FC4"/>
    <w:rsid w:val="00021AFF"/>
    <w:rsid w:val="0004364B"/>
    <w:rsid w:val="000572C4"/>
    <w:rsid w:val="00061B1F"/>
    <w:rsid w:val="00062E5D"/>
    <w:rsid w:val="00065C3C"/>
    <w:rsid w:val="000733C4"/>
    <w:rsid w:val="00074783"/>
    <w:rsid w:val="0008070B"/>
    <w:rsid w:val="000810AC"/>
    <w:rsid w:val="00081A02"/>
    <w:rsid w:val="00082231"/>
    <w:rsid w:val="00092546"/>
    <w:rsid w:val="00092D38"/>
    <w:rsid w:val="0009377B"/>
    <w:rsid w:val="000A20C9"/>
    <w:rsid w:val="000B058F"/>
    <w:rsid w:val="000B2F8E"/>
    <w:rsid w:val="000B4467"/>
    <w:rsid w:val="000B4DB9"/>
    <w:rsid w:val="000C09AC"/>
    <w:rsid w:val="000C767F"/>
    <w:rsid w:val="000D5A44"/>
    <w:rsid w:val="000E3ED2"/>
    <w:rsid w:val="000F7593"/>
    <w:rsid w:val="00131F42"/>
    <w:rsid w:val="001357F1"/>
    <w:rsid w:val="00140FA8"/>
    <w:rsid w:val="00142FEB"/>
    <w:rsid w:val="00143A2D"/>
    <w:rsid w:val="00145A41"/>
    <w:rsid w:val="00151675"/>
    <w:rsid w:val="00157435"/>
    <w:rsid w:val="00172A27"/>
    <w:rsid w:val="0017504D"/>
    <w:rsid w:val="0017671A"/>
    <w:rsid w:val="00177422"/>
    <w:rsid w:val="00184590"/>
    <w:rsid w:val="001859AC"/>
    <w:rsid w:val="001870D1"/>
    <w:rsid w:val="0018781E"/>
    <w:rsid w:val="0019262D"/>
    <w:rsid w:val="001978C2"/>
    <w:rsid w:val="001A1B35"/>
    <w:rsid w:val="001A48A2"/>
    <w:rsid w:val="001A6205"/>
    <w:rsid w:val="001A6F61"/>
    <w:rsid w:val="001B25AE"/>
    <w:rsid w:val="001B72B8"/>
    <w:rsid w:val="001C0057"/>
    <w:rsid w:val="001C27BD"/>
    <w:rsid w:val="001C2EF5"/>
    <w:rsid w:val="001C4678"/>
    <w:rsid w:val="001C676B"/>
    <w:rsid w:val="001C69B3"/>
    <w:rsid w:val="001D5595"/>
    <w:rsid w:val="001D7874"/>
    <w:rsid w:val="001D7F22"/>
    <w:rsid w:val="001F0F17"/>
    <w:rsid w:val="001F3347"/>
    <w:rsid w:val="001F69E4"/>
    <w:rsid w:val="002125B4"/>
    <w:rsid w:val="00212C08"/>
    <w:rsid w:val="002155B8"/>
    <w:rsid w:val="002179E8"/>
    <w:rsid w:val="002239B9"/>
    <w:rsid w:val="00224839"/>
    <w:rsid w:val="002249B2"/>
    <w:rsid w:val="002252A8"/>
    <w:rsid w:val="00226574"/>
    <w:rsid w:val="002278EC"/>
    <w:rsid w:val="0023280E"/>
    <w:rsid w:val="00234C85"/>
    <w:rsid w:val="002377D1"/>
    <w:rsid w:val="002506BC"/>
    <w:rsid w:val="00254345"/>
    <w:rsid w:val="00261D6C"/>
    <w:rsid w:val="00264557"/>
    <w:rsid w:val="00264588"/>
    <w:rsid w:val="00276C6F"/>
    <w:rsid w:val="002805AB"/>
    <w:rsid w:val="00284204"/>
    <w:rsid w:val="00291773"/>
    <w:rsid w:val="002A168C"/>
    <w:rsid w:val="002A3DC7"/>
    <w:rsid w:val="002B49E2"/>
    <w:rsid w:val="002B7B00"/>
    <w:rsid w:val="002B7C44"/>
    <w:rsid w:val="002C2B17"/>
    <w:rsid w:val="002C6953"/>
    <w:rsid w:val="002D18C9"/>
    <w:rsid w:val="002D3DD0"/>
    <w:rsid w:val="002E1F3A"/>
    <w:rsid w:val="002E1F9F"/>
    <w:rsid w:val="002E298A"/>
    <w:rsid w:val="002E5D17"/>
    <w:rsid w:val="00300CA0"/>
    <w:rsid w:val="00301978"/>
    <w:rsid w:val="0030332C"/>
    <w:rsid w:val="003051C2"/>
    <w:rsid w:val="00305458"/>
    <w:rsid w:val="003116F7"/>
    <w:rsid w:val="00312296"/>
    <w:rsid w:val="0031380D"/>
    <w:rsid w:val="00314F0E"/>
    <w:rsid w:val="00321D8E"/>
    <w:rsid w:val="00325928"/>
    <w:rsid w:val="00332863"/>
    <w:rsid w:val="0033684D"/>
    <w:rsid w:val="00337B42"/>
    <w:rsid w:val="00341B42"/>
    <w:rsid w:val="0034348F"/>
    <w:rsid w:val="0035457A"/>
    <w:rsid w:val="00356653"/>
    <w:rsid w:val="00357240"/>
    <w:rsid w:val="0035743F"/>
    <w:rsid w:val="00357BE2"/>
    <w:rsid w:val="0036170C"/>
    <w:rsid w:val="00366E0F"/>
    <w:rsid w:val="00377E47"/>
    <w:rsid w:val="00381A72"/>
    <w:rsid w:val="00384676"/>
    <w:rsid w:val="00390857"/>
    <w:rsid w:val="003915D7"/>
    <w:rsid w:val="003A4BF3"/>
    <w:rsid w:val="003B420D"/>
    <w:rsid w:val="003C6C16"/>
    <w:rsid w:val="003D0021"/>
    <w:rsid w:val="003D0404"/>
    <w:rsid w:val="003D794D"/>
    <w:rsid w:val="003E3058"/>
    <w:rsid w:val="003E3D42"/>
    <w:rsid w:val="003E76A9"/>
    <w:rsid w:val="003F0809"/>
    <w:rsid w:val="003F6A8C"/>
    <w:rsid w:val="003F755C"/>
    <w:rsid w:val="00400740"/>
    <w:rsid w:val="00406F01"/>
    <w:rsid w:val="00407F75"/>
    <w:rsid w:val="00411161"/>
    <w:rsid w:val="00416D50"/>
    <w:rsid w:val="00416FD5"/>
    <w:rsid w:val="00417772"/>
    <w:rsid w:val="00420E6A"/>
    <w:rsid w:val="00425A9E"/>
    <w:rsid w:val="00426D6B"/>
    <w:rsid w:val="00431E6C"/>
    <w:rsid w:val="00433CE7"/>
    <w:rsid w:val="00445E8D"/>
    <w:rsid w:val="00452738"/>
    <w:rsid w:val="00456091"/>
    <w:rsid w:val="00462A9B"/>
    <w:rsid w:val="00464984"/>
    <w:rsid w:val="00466321"/>
    <w:rsid w:val="00482577"/>
    <w:rsid w:val="00484B9B"/>
    <w:rsid w:val="004855F6"/>
    <w:rsid w:val="00485A86"/>
    <w:rsid w:val="0048661E"/>
    <w:rsid w:val="00494670"/>
    <w:rsid w:val="0049661E"/>
    <w:rsid w:val="004A07B8"/>
    <w:rsid w:val="004A3823"/>
    <w:rsid w:val="004A7A8C"/>
    <w:rsid w:val="004E294C"/>
    <w:rsid w:val="004E6946"/>
    <w:rsid w:val="004F1AD8"/>
    <w:rsid w:val="004F6355"/>
    <w:rsid w:val="005039CB"/>
    <w:rsid w:val="0050558F"/>
    <w:rsid w:val="00506286"/>
    <w:rsid w:val="005101F0"/>
    <w:rsid w:val="00510813"/>
    <w:rsid w:val="00511990"/>
    <w:rsid w:val="00511DE0"/>
    <w:rsid w:val="00514821"/>
    <w:rsid w:val="00514870"/>
    <w:rsid w:val="00514B9B"/>
    <w:rsid w:val="00517D4A"/>
    <w:rsid w:val="00517F02"/>
    <w:rsid w:val="00524303"/>
    <w:rsid w:val="005258A2"/>
    <w:rsid w:val="0053793A"/>
    <w:rsid w:val="005401AE"/>
    <w:rsid w:val="00541A4E"/>
    <w:rsid w:val="00541AF1"/>
    <w:rsid w:val="00542113"/>
    <w:rsid w:val="00542E07"/>
    <w:rsid w:val="00545424"/>
    <w:rsid w:val="00554A7B"/>
    <w:rsid w:val="00554C4A"/>
    <w:rsid w:val="0055572C"/>
    <w:rsid w:val="0056106A"/>
    <w:rsid w:val="00563F9A"/>
    <w:rsid w:val="005720AE"/>
    <w:rsid w:val="005759F9"/>
    <w:rsid w:val="00581BF4"/>
    <w:rsid w:val="00594D77"/>
    <w:rsid w:val="005969E4"/>
    <w:rsid w:val="005A06B7"/>
    <w:rsid w:val="005A1759"/>
    <w:rsid w:val="005A68A7"/>
    <w:rsid w:val="005D36AB"/>
    <w:rsid w:val="005D7881"/>
    <w:rsid w:val="005E3473"/>
    <w:rsid w:val="005F65CD"/>
    <w:rsid w:val="00600519"/>
    <w:rsid w:val="00613661"/>
    <w:rsid w:val="00616906"/>
    <w:rsid w:val="006177C3"/>
    <w:rsid w:val="00617CC3"/>
    <w:rsid w:val="0062069D"/>
    <w:rsid w:val="006216E7"/>
    <w:rsid w:val="006225DD"/>
    <w:rsid w:val="006235B6"/>
    <w:rsid w:val="006255F1"/>
    <w:rsid w:val="00627E6B"/>
    <w:rsid w:val="00637487"/>
    <w:rsid w:val="006377A6"/>
    <w:rsid w:val="00637A3D"/>
    <w:rsid w:val="006403DB"/>
    <w:rsid w:val="00640D02"/>
    <w:rsid w:val="006411EF"/>
    <w:rsid w:val="00656F61"/>
    <w:rsid w:val="006748B8"/>
    <w:rsid w:val="00676077"/>
    <w:rsid w:val="006775C3"/>
    <w:rsid w:val="0069290A"/>
    <w:rsid w:val="0069775A"/>
    <w:rsid w:val="00697813"/>
    <w:rsid w:val="006A0407"/>
    <w:rsid w:val="006A3EE8"/>
    <w:rsid w:val="006A6A33"/>
    <w:rsid w:val="006A72BF"/>
    <w:rsid w:val="006B03F2"/>
    <w:rsid w:val="006B37DC"/>
    <w:rsid w:val="006B454C"/>
    <w:rsid w:val="006B4F68"/>
    <w:rsid w:val="006C0592"/>
    <w:rsid w:val="006C272E"/>
    <w:rsid w:val="006C4319"/>
    <w:rsid w:val="006C5479"/>
    <w:rsid w:val="006D13B5"/>
    <w:rsid w:val="006E12FF"/>
    <w:rsid w:val="006E607E"/>
    <w:rsid w:val="006F44F6"/>
    <w:rsid w:val="006F57DC"/>
    <w:rsid w:val="006F7E9D"/>
    <w:rsid w:val="00706C5D"/>
    <w:rsid w:val="00732922"/>
    <w:rsid w:val="00742881"/>
    <w:rsid w:val="0075162E"/>
    <w:rsid w:val="00753B7B"/>
    <w:rsid w:val="00754034"/>
    <w:rsid w:val="00754350"/>
    <w:rsid w:val="00756556"/>
    <w:rsid w:val="007618C4"/>
    <w:rsid w:val="0076654E"/>
    <w:rsid w:val="00767980"/>
    <w:rsid w:val="00767D79"/>
    <w:rsid w:val="00770B19"/>
    <w:rsid w:val="00771917"/>
    <w:rsid w:val="0077463F"/>
    <w:rsid w:val="00774C03"/>
    <w:rsid w:val="00776C71"/>
    <w:rsid w:val="007836EA"/>
    <w:rsid w:val="00784CCE"/>
    <w:rsid w:val="00784CDA"/>
    <w:rsid w:val="00785964"/>
    <w:rsid w:val="007870C4"/>
    <w:rsid w:val="007906C4"/>
    <w:rsid w:val="00790B20"/>
    <w:rsid w:val="00792500"/>
    <w:rsid w:val="007935D0"/>
    <w:rsid w:val="007940EA"/>
    <w:rsid w:val="007967E8"/>
    <w:rsid w:val="007A2170"/>
    <w:rsid w:val="007A22BF"/>
    <w:rsid w:val="007A3323"/>
    <w:rsid w:val="007A7464"/>
    <w:rsid w:val="007B72B8"/>
    <w:rsid w:val="007B758C"/>
    <w:rsid w:val="007B7A58"/>
    <w:rsid w:val="007C023F"/>
    <w:rsid w:val="007C21B5"/>
    <w:rsid w:val="007D20E6"/>
    <w:rsid w:val="007D582A"/>
    <w:rsid w:val="007D6FF1"/>
    <w:rsid w:val="007D7DE9"/>
    <w:rsid w:val="007D7F35"/>
    <w:rsid w:val="007E4BD2"/>
    <w:rsid w:val="00801393"/>
    <w:rsid w:val="00802F88"/>
    <w:rsid w:val="008103AA"/>
    <w:rsid w:val="0081156C"/>
    <w:rsid w:val="0081293E"/>
    <w:rsid w:val="00815465"/>
    <w:rsid w:val="00817E9A"/>
    <w:rsid w:val="008306BD"/>
    <w:rsid w:val="00831A80"/>
    <w:rsid w:val="00833743"/>
    <w:rsid w:val="008340A4"/>
    <w:rsid w:val="00850794"/>
    <w:rsid w:val="00860CC5"/>
    <w:rsid w:val="0087135F"/>
    <w:rsid w:val="00872D94"/>
    <w:rsid w:val="00874A2B"/>
    <w:rsid w:val="00880364"/>
    <w:rsid w:val="00884566"/>
    <w:rsid w:val="00884D70"/>
    <w:rsid w:val="00890B8A"/>
    <w:rsid w:val="00891592"/>
    <w:rsid w:val="00891E9E"/>
    <w:rsid w:val="0089220C"/>
    <w:rsid w:val="008A2F68"/>
    <w:rsid w:val="008B4FA6"/>
    <w:rsid w:val="008B5282"/>
    <w:rsid w:val="008B76D9"/>
    <w:rsid w:val="008B7C17"/>
    <w:rsid w:val="008C2CEC"/>
    <w:rsid w:val="008C2D01"/>
    <w:rsid w:val="008C3214"/>
    <w:rsid w:val="008C40E6"/>
    <w:rsid w:val="008C704C"/>
    <w:rsid w:val="008D0F7A"/>
    <w:rsid w:val="008D1485"/>
    <w:rsid w:val="008D6773"/>
    <w:rsid w:val="008D68E4"/>
    <w:rsid w:val="008E0506"/>
    <w:rsid w:val="008E0CFF"/>
    <w:rsid w:val="008E1C22"/>
    <w:rsid w:val="008E5D6B"/>
    <w:rsid w:val="008E76F0"/>
    <w:rsid w:val="008F15FE"/>
    <w:rsid w:val="008F2D29"/>
    <w:rsid w:val="008F5187"/>
    <w:rsid w:val="008F60D8"/>
    <w:rsid w:val="0090077C"/>
    <w:rsid w:val="00901A9D"/>
    <w:rsid w:val="00902727"/>
    <w:rsid w:val="0090312B"/>
    <w:rsid w:val="0091736D"/>
    <w:rsid w:val="0093037A"/>
    <w:rsid w:val="0094154D"/>
    <w:rsid w:val="009448E5"/>
    <w:rsid w:val="00947A68"/>
    <w:rsid w:val="00951361"/>
    <w:rsid w:val="0095155F"/>
    <w:rsid w:val="00954429"/>
    <w:rsid w:val="009563CE"/>
    <w:rsid w:val="0096230D"/>
    <w:rsid w:val="00964753"/>
    <w:rsid w:val="009730B4"/>
    <w:rsid w:val="0097546D"/>
    <w:rsid w:val="00976328"/>
    <w:rsid w:val="0097680D"/>
    <w:rsid w:val="00982196"/>
    <w:rsid w:val="00982438"/>
    <w:rsid w:val="009835C2"/>
    <w:rsid w:val="0098404C"/>
    <w:rsid w:val="00985283"/>
    <w:rsid w:val="0099104A"/>
    <w:rsid w:val="00995992"/>
    <w:rsid w:val="009A03E5"/>
    <w:rsid w:val="009A0F3B"/>
    <w:rsid w:val="009A1BB4"/>
    <w:rsid w:val="009A23E8"/>
    <w:rsid w:val="009A2628"/>
    <w:rsid w:val="009A2DE4"/>
    <w:rsid w:val="009A3200"/>
    <w:rsid w:val="009A6226"/>
    <w:rsid w:val="009A78EA"/>
    <w:rsid w:val="009B0897"/>
    <w:rsid w:val="009B7BD9"/>
    <w:rsid w:val="009C21D0"/>
    <w:rsid w:val="009C7A26"/>
    <w:rsid w:val="009C7DD5"/>
    <w:rsid w:val="009D5C7F"/>
    <w:rsid w:val="009D75D3"/>
    <w:rsid w:val="009D7E85"/>
    <w:rsid w:val="009E1ED3"/>
    <w:rsid w:val="009E227D"/>
    <w:rsid w:val="009E4008"/>
    <w:rsid w:val="009E5019"/>
    <w:rsid w:val="009E5AA7"/>
    <w:rsid w:val="009F20B2"/>
    <w:rsid w:val="009F2B15"/>
    <w:rsid w:val="00A01CB1"/>
    <w:rsid w:val="00A03272"/>
    <w:rsid w:val="00A04F1B"/>
    <w:rsid w:val="00A0501B"/>
    <w:rsid w:val="00A13C61"/>
    <w:rsid w:val="00A142DD"/>
    <w:rsid w:val="00A14947"/>
    <w:rsid w:val="00A30A74"/>
    <w:rsid w:val="00A32A83"/>
    <w:rsid w:val="00A368DB"/>
    <w:rsid w:val="00A423AA"/>
    <w:rsid w:val="00A53EC6"/>
    <w:rsid w:val="00A55B02"/>
    <w:rsid w:val="00A55C0F"/>
    <w:rsid w:val="00A67A16"/>
    <w:rsid w:val="00A813FA"/>
    <w:rsid w:val="00A84335"/>
    <w:rsid w:val="00A8713F"/>
    <w:rsid w:val="00A90BA1"/>
    <w:rsid w:val="00A97A9A"/>
    <w:rsid w:val="00AA0671"/>
    <w:rsid w:val="00AA2531"/>
    <w:rsid w:val="00AB1C20"/>
    <w:rsid w:val="00AB1E09"/>
    <w:rsid w:val="00AB5330"/>
    <w:rsid w:val="00AB7747"/>
    <w:rsid w:val="00AB788E"/>
    <w:rsid w:val="00AC14CE"/>
    <w:rsid w:val="00AC2A56"/>
    <w:rsid w:val="00AC451C"/>
    <w:rsid w:val="00AC4D94"/>
    <w:rsid w:val="00AC5EFC"/>
    <w:rsid w:val="00AD055E"/>
    <w:rsid w:val="00AD47A7"/>
    <w:rsid w:val="00AF0CBF"/>
    <w:rsid w:val="00AF257F"/>
    <w:rsid w:val="00AF33CF"/>
    <w:rsid w:val="00AF4D50"/>
    <w:rsid w:val="00AF6179"/>
    <w:rsid w:val="00B0154A"/>
    <w:rsid w:val="00B1295A"/>
    <w:rsid w:val="00B175A6"/>
    <w:rsid w:val="00B20A45"/>
    <w:rsid w:val="00B22C5C"/>
    <w:rsid w:val="00B24F30"/>
    <w:rsid w:val="00B31ABF"/>
    <w:rsid w:val="00B33133"/>
    <w:rsid w:val="00B33BE3"/>
    <w:rsid w:val="00B439E8"/>
    <w:rsid w:val="00B479EC"/>
    <w:rsid w:val="00B505A2"/>
    <w:rsid w:val="00B51103"/>
    <w:rsid w:val="00B53B5D"/>
    <w:rsid w:val="00B57B1F"/>
    <w:rsid w:val="00B6055E"/>
    <w:rsid w:val="00B6158B"/>
    <w:rsid w:val="00B623E5"/>
    <w:rsid w:val="00B6317D"/>
    <w:rsid w:val="00B7723F"/>
    <w:rsid w:val="00B80534"/>
    <w:rsid w:val="00B8433C"/>
    <w:rsid w:val="00B84996"/>
    <w:rsid w:val="00B87491"/>
    <w:rsid w:val="00B946DD"/>
    <w:rsid w:val="00B94F1B"/>
    <w:rsid w:val="00BA29E9"/>
    <w:rsid w:val="00BA7142"/>
    <w:rsid w:val="00BB237C"/>
    <w:rsid w:val="00BB3DA4"/>
    <w:rsid w:val="00BB41A3"/>
    <w:rsid w:val="00BC2733"/>
    <w:rsid w:val="00BC32DC"/>
    <w:rsid w:val="00BC35B6"/>
    <w:rsid w:val="00BD1B51"/>
    <w:rsid w:val="00BD4596"/>
    <w:rsid w:val="00BE100E"/>
    <w:rsid w:val="00BE1405"/>
    <w:rsid w:val="00BE312D"/>
    <w:rsid w:val="00BE6483"/>
    <w:rsid w:val="00BF1C20"/>
    <w:rsid w:val="00C06E86"/>
    <w:rsid w:val="00C10578"/>
    <w:rsid w:val="00C112EB"/>
    <w:rsid w:val="00C135BC"/>
    <w:rsid w:val="00C15C95"/>
    <w:rsid w:val="00C17924"/>
    <w:rsid w:val="00C2596A"/>
    <w:rsid w:val="00C27537"/>
    <w:rsid w:val="00C30978"/>
    <w:rsid w:val="00C328FE"/>
    <w:rsid w:val="00C33507"/>
    <w:rsid w:val="00C41B1C"/>
    <w:rsid w:val="00C423EB"/>
    <w:rsid w:val="00C4409D"/>
    <w:rsid w:val="00C44E72"/>
    <w:rsid w:val="00C45A06"/>
    <w:rsid w:val="00C47A52"/>
    <w:rsid w:val="00C47E5B"/>
    <w:rsid w:val="00C5300A"/>
    <w:rsid w:val="00C61E4B"/>
    <w:rsid w:val="00C64BFF"/>
    <w:rsid w:val="00C67050"/>
    <w:rsid w:val="00C704E9"/>
    <w:rsid w:val="00C74AAB"/>
    <w:rsid w:val="00C763C9"/>
    <w:rsid w:val="00C7679F"/>
    <w:rsid w:val="00C80057"/>
    <w:rsid w:val="00C82232"/>
    <w:rsid w:val="00C82913"/>
    <w:rsid w:val="00C972B1"/>
    <w:rsid w:val="00CA2CCE"/>
    <w:rsid w:val="00CA43FD"/>
    <w:rsid w:val="00CA7EF8"/>
    <w:rsid w:val="00CC489B"/>
    <w:rsid w:val="00CC537A"/>
    <w:rsid w:val="00CD0144"/>
    <w:rsid w:val="00CD2BCD"/>
    <w:rsid w:val="00CD3A4C"/>
    <w:rsid w:val="00CE0AFF"/>
    <w:rsid w:val="00CE10E9"/>
    <w:rsid w:val="00CE16D4"/>
    <w:rsid w:val="00CE2910"/>
    <w:rsid w:val="00CE5393"/>
    <w:rsid w:val="00CE7A16"/>
    <w:rsid w:val="00CF2A60"/>
    <w:rsid w:val="00CF36BE"/>
    <w:rsid w:val="00CF6000"/>
    <w:rsid w:val="00D003F3"/>
    <w:rsid w:val="00D0364F"/>
    <w:rsid w:val="00D041AB"/>
    <w:rsid w:val="00D06834"/>
    <w:rsid w:val="00D07DBF"/>
    <w:rsid w:val="00D1108A"/>
    <w:rsid w:val="00D26FDB"/>
    <w:rsid w:val="00D308ED"/>
    <w:rsid w:val="00D32A98"/>
    <w:rsid w:val="00D33A98"/>
    <w:rsid w:val="00D36D86"/>
    <w:rsid w:val="00D428AA"/>
    <w:rsid w:val="00D43E20"/>
    <w:rsid w:val="00D50A34"/>
    <w:rsid w:val="00D53EFA"/>
    <w:rsid w:val="00D72607"/>
    <w:rsid w:val="00D837DF"/>
    <w:rsid w:val="00D94A7C"/>
    <w:rsid w:val="00D95896"/>
    <w:rsid w:val="00DB2983"/>
    <w:rsid w:val="00DB5173"/>
    <w:rsid w:val="00DC1257"/>
    <w:rsid w:val="00DC1BA7"/>
    <w:rsid w:val="00DC3DC0"/>
    <w:rsid w:val="00DC5B2B"/>
    <w:rsid w:val="00DD318D"/>
    <w:rsid w:val="00DD4360"/>
    <w:rsid w:val="00DD4CEA"/>
    <w:rsid w:val="00DF2823"/>
    <w:rsid w:val="00DF2E12"/>
    <w:rsid w:val="00DF3BE2"/>
    <w:rsid w:val="00DF3E35"/>
    <w:rsid w:val="00DF514A"/>
    <w:rsid w:val="00DF6690"/>
    <w:rsid w:val="00DF6804"/>
    <w:rsid w:val="00DF6F91"/>
    <w:rsid w:val="00E0358D"/>
    <w:rsid w:val="00E04323"/>
    <w:rsid w:val="00E070A2"/>
    <w:rsid w:val="00E2656A"/>
    <w:rsid w:val="00E32825"/>
    <w:rsid w:val="00E346A0"/>
    <w:rsid w:val="00E3505B"/>
    <w:rsid w:val="00E412D0"/>
    <w:rsid w:val="00E56322"/>
    <w:rsid w:val="00E60982"/>
    <w:rsid w:val="00E62C62"/>
    <w:rsid w:val="00E654C1"/>
    <w:rsid w:val="00E65D97"/>
    <w:rsid w:val="00E67339"/>
    <w:rsid w:val="00E72A5A"/>
    <w:rsid w:val="00E73354"/>
    <w:rsid w:val="00E75819"/>
    <w:rsid w:val="00E76765"/>
    <w:rsid w:val="00E801C8"/>
    <w:rsid w:val="00E84189"/>
    <w:rsid w:val="00E91AD3"/>
    <w:rsid w:val="00E9242D"/>
    <w:rsid w:val="00EA5461"/>
    <w:rsid w:val="00EB05FB"/>
    <w:rsid w:val="00EB5255"/>
    <w:rsid w:val="00EB5C47"/>
    <w:rsid w:val="00EC0B76"/>
    <w:rsid w:val="00EC2B00"/>
    <w:rsid w:val="00EC6A48"/>
    <w:rsid w:val="00ED0639"/>
    <w:rsid w:val="00EE00FD"/>
    <w:rsid w:val="00EF4755"/>
    <w:rsid w:val="00EF7135"/>
    <w:rsid w:val="00F027DB"/>
    <w:rsid w:val="00F02D1C"/>
    <w:rsid w:val="00F06D08"/>
    <w:rsid w:val="00F14376"/>
    <w:rsid w:val="00F14A7A"/>
    <w:rsid w:val="00F22985"/>
    <w:rsid w:val="00F26342"/>
    <w:rsid w:val="00F3383E"/>
    <w:rsid w:val="00F465A7"/>
    <w:rsid w:val="00F50B7C"/>
    <w:rsid w:val="00F5329B"/>
    <w:rsid w:val="00F550E6"/>
    <w:rsid w:val="00F74345"/>
    <w:rsid w:val="00F76DCB"/>
    <w:rsid w:val="00F80A0A"/>
    <w:rsid w:val="00F82B19"/>
    <w:rsid w:val="00F847A3"/>
    <w:rsid w:val="00F91705"/>
    <w:rsid w:val="00F9212D"/>
    <w:rsid w:val="00F965DA"/>
    <w:rsid w:val="00FA406A"/>
    <w:rsid w:val="00FB4431"/>
    <w:rsid w:val="00FB503A"/>
    <w:rsid w:val="00FB516C"/>
    <w:rsid w:val="00FC5D87"/>
    <w:rsid w:val="00FC5E68"/>
    <w:rsid w:val="00FD010D"/>
    <w:rsid w:val="00FD0236"/>
    <w:rsid w:val="00FD18F4"/>
    <w:rsid w:val="00FD54DB"/>
    <w:rsid w:val="00FD619F"/>
    <w:rsid w:val="00FE4C48"/>
    <w:rsid w:val="00FE6C21"/>
    <w:rsid w:val="01243DE5"/>
    <w:rsid w:val="01290F7E"/>
    <w:rsid w:val="01300E67"/>
    <w:rsid w:val="013B0DE8"/>
    <w:rsid w:val="014632E9"/>
    <w:rsid w:val="01535F39"/>
    <w:rsid w:val="015D1E09"/>
    <w:rsid w:val="015E3E2B"/>
    <w:rsid w:val="016715D3"/>
    <w:rsid w:val="016B5480"/>
    <w:rsid w:val="016D784F"/>
    <w:rsid w:val="018A1427"/>
    <w:rsid w:val="01B12E58"/>
    <w:rsid w:val="01B14C06"/>
    <w:rsid w:val="01B36DF6"/>
    <w:rsid w:val="01C60963"/>
    <w:rsid w:val="01C71CB0"/>
    <w:rsid w:val="01D85563"/>
    <w:rsid w:val="01DD59FB"/>
    <w:rsid w:val="01E05835"/>
    <w:rsid w:val="01E21263"/>
    <w:rsid w:val="01E9709B"/>
    <w:rsid w:val="01EA26BC"/>
    <w:rsid w:val="01F5748C"/>
    <w:rsid w:val="020B3973"/>
    <w:rsid w:val="02221088"/>
    <w:rsid w:val="0224362A"/>
    <w:rsid w:val="022970E3"/>
    <w:rsid w:val="02373170"/>
    <w:rsid w:val="02386C0B"/>
    <w:rsid w:val="02492953"/>
    <w:rsid w:val="02697903"/>
    <w:rsid w:val="02814DBA"/>
    <w:rsid w:val="028265A2"/>
    <w:rsid w:val="02936A01"/>
    <w:rsid w:val="02991947"/>
    <w:rsid w:val="02AC1BFE"/>
    <w:rsid w:val="02B80216"/>
    <w:rsid w:val="02C64D6D"/>
    <w:rsid w:val="02CA49C5"/>
    <w:rsid w:val="02CD1F13"/>
    <w:rsid w:val="02CF505E"/>
    <w:rsid w:val="02E32D09"/>
    <w:rsid w:val="02F96569"/>
    <w:rsid w:val="030525E8"/>
    <w:rsid w:val="03194052"/>
    <w:rsid w:val="031B3514"/>
    <w:rsid w:val="032130A3"/>
    <w:rsid w:val="03326D03"/>
    <w:rsid w:val="03355AA6"/>
    <w:rsid w:val="03434BEB"/>
    <w:rsid w:val="034D095E"/>
    <w:rsid w:val="035563E6"/>
    <w:rsid w:val="035B12CD"/>
    <w:rsid w:val="035F2640"/>
    <w:rsid w:val="036056B8"/>
    <w:rsid w:val="036363D4"/>
    <w:rsid w:val="03766581"/>
    <w:rsid w:val="03795BF7"/>
    <w:rsid w:val="0385459C"/>
    <w:rsid w:val="038C5AF2"/>
    <w:rsid w:val="03A24CB2"/>
    <w:rsid w:val="03A500F1"/>
    <w:rsid w:val="03B15391"/>
    <w:rsid w:val="03C44295"/>
    <w:rsid w:val="03CD2ADD"/>
    <w:rsid w:val="03E10F9F"/>
    <w:rsid w:val="03EA7B21"/>
    <w:rsid w:val="03FE7EAB"/>
    <w:rsid w:val="041A1655"/>
    <w:rsid w:val="041B280B"/>
    <w:rsid w:val="042C28B7"/>
    <w:rsid w:val="0438160E"/>
    <w:rsid w:val="04382C82"/>
    <w:rsid w:val="043B4291"/>
    <w:rsid w:val="04471852"/>
    <w:rsid w:val="044C1565"/>
    <w:rsid w:val="04502E75"/>
    <w:rsid w:val="045D2CDA"/>
    <w:rsid w:val="04636F64"/>
    <w:rsid w:val="04697CAA"/>
    <w:rsid w:val="046B7FE6"/>
    <w:rsid w:val="046E377A"/>
    <w:rsid w:val="046E624C"/>
    <w:rsid w:val="048B7105"/>
    <w:rsid w:val="04AC7907"/>
    <w:rsid w:val="04BD38C2"/>
    <w:rsid w:val="04C35639"/>
    <w:rsid w:val="04DD07E3"/>
    <w:rsid w:val="04DD5D12"/>
    <w:rsid w:val="04EF054E"/>
    <w:rsid w:val="04F05A45"/>
    <w:rsid w:val="05030B52"/>
    <w:rsid w:val="05086B8C"/>
    <w:rsid w:val="050C748A"/>
    <w:rsid w:val="051554AC"/>
    <w:rsid w:val="051824E8"/>
    <w:rsid w:val="05203F27"/>
    <w:rsid w:val="0522071E"/>
    <w:rsid w:val="05253354"/>
    <w:rsid w:val="052865A2"/>
    <w:rsid w:val="052D4EEB"/>
    <w:rsid w:val="053F6A98"/>
    <w:rsid w:val="05512AE0"/>
    <w:rsid w:val="055840F0"/>
    <w:rsid w:val="055A4C49"/>
    <w:rsid w:val="056441D3"/>
    <w:rsid w:val="059D6B41"/>
    <w:rsid w:val="05AF3769"/>
    <w:rsid w:val="05B90CAD"/>
    <w:rsid w:val="05BD6D87"/>
    <w:rsid w:val="05C00C41"/>
    <w:rsid w:val="05CD222A"/>
    <w:rsid w:val="05ED514F"/>
    <w:rsid w:val="05F83EAE"/>
    <w:rsid w:val="05FF6C49"/>
    <w:rsid w:val="060C6CF8"/>
    <w:rsid w:val="06181294"/>
    <w:rsid w:val="062005AC"/>
    <w:rsid w:val="06287461"/>
    <w:rsid w:val="062E2CC9"/>
    <w:rsid w:val="06390ADE"/>
    <w:rsid w:val="063E7D85"/>
    <w:rsid w:val="06425213"/>
    <w:rsid w:val="06562220"/>
    <w:rsid w:val="06573484"/>
    <w:rsid w:val="06667F49"/>
    <w:rsid w:val="06691F53"/>
    <w:rsid w:val="066C01EC"/>
    <w:rsid w:val="0676641E"/>
    <w:rsid w:val="067D77AC"/>
    <w:rsid w:val="068E19BA"/>
    <w:rsid w:val="06935E40"/>
    <w:rsid w:val="0695686B"/>
    <w:rsid w:val="06A37626"/>
    <w:rsid w:val="06A55E8C"/>
    <w:rsid w:val="06A775DE"/>
    <w:rsid w:val="06A77900"/>
    <w:rsid w:val="06B34F7C"/>
    <w:rsid w:val="06B45013"/>
    <w:rsid w:val="06B56F46"/>
    <w:rsid w:val="06C24C75"/>
    <w:rsid w:val="06C86707"/>
    <w:rsid w:val="06D03D80"/>
    <w:rsid w:val="06D416EA"/>
    <w:rsid w:val="06E25862"/>
    <w:rsid w:val="06F627A6"/>
    <w:rsid w:val="070C05A0"/>
    <w:rsid w:val="07293586"/>
    <w:rsid w:val="07295285"/>
    <w:rsid w:val="0744651C"/>
    <w:rsid w:val="074754FA"/>
    <w:rsid w:val="074A4BC0"/>
    <w:rsid w:val="075852F4"/>
    <w:rsid w:val="07636392"/>
    <w:rsid w:val="0764271A"/>
    <w:rsid w:val="07725CC5"/>
    <w:rsid w:val="07770C56"/>
    <w:rsid w:val="077A70E9"/>
    <w:rsid w:val="077B42D5"/>
    <w:rsid w:val="078C7AF7"/>
    <w:rsid w:val="07AF028D"/>
    <w:rsid w:val="07BA6679"/>
    <w:rsid w:val="07C739AD"/>
    <w:rsid w:val="07C84A57"/>
    <w:rsid w:val="07DE09B1"/>
    <w:rsid w:val="07F10205"/>
    <w:rsid w:val="07F655E8"/>
    <w:rsid w:val="07F92E63"/>
    <w:rsid w:val="08030185"/>
    <w:rsid w:val="081E49E5"/>
    <w:rsid w:val="082A6CC4"/>
    <w:rsid w:val="0837598F"/>
    <w:rsid w:val="083C1F68"/>
    <w:rsid w:val="08437AFD"/>
    <w:rsid w:val="084F33CB"/>
    <w:rsid w:val="08583F5B"/>
    <w:rsid w:val="085A5F51"/>
    <w:rsid w:val="086258EE"/>
    <w:rsid w:val="086F6867"/>
    <w:rsid w:val="0874765E"/>
    <w:rsid w:val="087A7C72"/>
    <w:rsid w:val="087D3A94"/>
    <w:rsid w:val="088776BF"/>
    <w:rsid w:val="08986B20"/>
    <w:rsid w:val="089C0A87"/>
    <w:rsid w:val="08A915C9"/>
    <w:rsid w:val="08B30EBB"/>
    <w:rsid w:val="08D35BCA"/>
    <w:rsid w:val="08D538D0"/>
    <w:rsid w:val="09074985"/>
    <w:rsid w:val="091D41AE"/>
    <w:rsid w:val="092217DD"/>
    <w:rsid w:val="09300B06"/>
    <w:rsid w:val="0932487E"/>
    <w:rsid w:val="093A7294"/>
    <w:rsid w:val="094F3120"/>
    <w:rsid w:val="095A4C29"/>
    <w:rsid w:val="09886B94"/>
    <w:rsid w:val="09942BFD"/>
    <w:rsid w:val="09A65E2A"/>
    <w:rsid w:val="09A71DD4"/>
    <w:rsid w:val="09C435FB"/>
    <w:rsid w:val="09C556F2"/>
    <w:rsid w:val="09CB6139"/>
    <w:rsid w:val="09D16E5A"/>
    <w:rsid w:val="0A136820"/>
    <w:rsid w:val="0A263993"/>
    <w:rsid w:val="0A2D3AC2"/>
    <w:rsid w:val="0A2F484F"/>
    <w:rsid w:val="0A3264A8"/>
    <w:rsid w:val="0A425D7C"/>
    <w:rsid w:val="0A456833"/>
    <w:rsid w:val="0A704055"/>
    <w:rsid w:val="0A8B19CC"/>
    <w:rsid w:val="0A8E04E2"/>
    <w:rsid w:val="0A9B0294"/>
    <w:rsid w:val="0A9F4195"/>
    <w:rsid w:val="0AA06674"/>
    <w:rsid w:val="0AA755DF"/>
    <w:rsid w:val="0AC97464"/>
    <w:rsid w:val="0ACE522B"/>
    <w:rsid w:val="0AD2152B"/>
    <w:rsid w:val="0ADB0F46"/>
    <w:rsid w:val="0AE965D8"/>
    <w:rsid w:val="0AED49F2"/>
    <w:rsid w:val="0AF67B2D"/>
    <w:rsid w:val="0AF75F5E"/>
    <w:rsid w:val="0B051D30"/>
    <w:rsid w:val="0B120D44"/>
    <w:rsid w:val="0B1C1BCC"/>
    <w:rsid w:val="0B3B3792"/>
    <w:rsid w:val="0B492353"/>
    <w:rsid w:val="0B4A355A"/>
    <w:rsid w:val="0B5B3BFD"/>
    <w:rsid w:val="0B662F05"/>
    <w:rsid w:val="0B6A0083"/>
    <w:rsid w:val="0B78249A"/>
    <w:rsid w:val="0BA778C0"/>
    <w:rsid w:val="0BB06CD5"/>
    <w:rsid w:val="0BBC6667"/>
    <w:rsid w:val="0BD117C4"/>
    <w:rsid w:val="0BD27BF6"/>
    <w:rsid w:val="0BE63B9D"/>
    <w:rsid w:val="0BE67BA2"/>
    <w:rsid w:val="0BEF62DE"/>
    <w:rsid w:val="0BF05890"/>
    <w:rsid w:val="0BF574CD"/>
    <w:rsid w:val="0BFB0A2C"/>
    <w:rsid w:val="0C0222C9"/>
    <w:rsid w:val="0C0318CE"/>
    <w:rsid w:val="0C140339"/>
    <w:rsid w:val="0C1464BD"/>
    <w:rsid w:val="0C234952"/>
    <w:rsid w:val="0C38517A"/>
    <w:rsid w:val="0C3B3C7D"/>
    <w:rsid w:val="0C481684"/>
    <w:rsid w:val="0C5372B8"/>
    <w:rsid w:val="0C6F5DE9"/>
    <w:rsid w:val="0C754C22"/>
    <w:rsid w:val="0C813C70"/>
    <w:rsid w:val="0C9A38E2"/>
    <w:rsid w:val="0C9B098C"/>
    <w:rsid w:val="0CA3324F"/>
    <w:rsid w:val="0CAB2EAE"/>
    <w:rsid w:val="0CAD0AD3"/>
    <w:rsid w:val="0CCA3020"/>
    <w:rsid w:val="0CCB5044"/>
    <w:rsid w:val="0CD24353"/>
    <w:rsid w:val="0CE972B8"/>
    <w:rsid w:val="0CF602B9"/>
    <w:rsid w:val="0D06403A"/>
    <w:rsid w:val="0D1006CC"/>
    <w:rsid w:val="0D124418"/>
    <w:rsid w:val="0D307F43"/>
    <w:rsid w:val="0D346A4C"/>
    <w:rsid w:val="0D396133"/>
    <w:rsid w:val="0D3B49E7"/>
    <w:rsid w:val="0D3D5EE8"/>
    <w:rsid w:val="0D5C45C0"/>
    <w:rsid w:val="0D5C636E"/>
    <w:rsid w:val="0D621C7D"/>
    <w:rsid w:val="0D686756"/>
    <w:rsid w:val="0D6B4803"/>
    <w:rsid w:val="0D732A9A"/>
    <w:rsid w:val="0D881EE8"/>
    <w:rsid w:val="0D8B0A01"/>
    <w:rsid w:val="0D8F1F77"/>
    <w:rsid w:val="0D931343"/>
    <w:rsid w:val="0D960D6E"/>
    <w:rsid w:val="0DA053DC"/>
    <w:rsid w:val="0DA80FAA"/>
    <w:rsid w:val="0DBE02FF"/>
    <w:rsid w:val="0DC14423"/>
    <w:rsid w:val="0DCA6D51"/>
    <w:rsid w:val="0DD42D65"/>
    <w:rsid w:val="0E012A71"/>
    <w:rsid w:val="0E0D7668"/>
    <w:rsid w:val="0E1E7A30"/>
    <w:rsid w:val="0E214A2E"/>
    <w:rsid w:val="0E287E81"/>
    <w:rsid w:val="0E356210"/>
    <w:rsid w:val="0E5415A8"/>
    <w:rsid w:val="0E620D89"/>
    <w:rsid w:val="0E721BC1"/>
    <w:rsid w:val="0E73034D"/>
    <w:rsid w:val="0E735E12"/>
    <w:rsid w:val="0E97758D"/>
    <w:rsid w:val="0EA87EFB"/>
    <w:rsid w:val="0EBB23A0"/>
    <w:rsid w:val="0EBC2445"/>
    <w:rsid w:val="0EC878B1"/>
    <w:rsid w:val="0ECF491D"/>
    <w:rsid w:val="0ED27293"/>
    <w:rsid w:val="0ED879FC"/>
    <w:rsid w:val="0EE77EB9"/>
    <w:rsid w:val="0EED0A4E"/>
    <w:rsid w:val="0EF44384"/>
    <w:rsid w:val="0EFE3455"/>
    <w:rsid w:val="0F13775A"/>
    <w:rsid w:val="0F1E6C89"/>
    <w:rsid w:val="0F2353C0"/>
    <w:rsid w:val="0F311512"/>
    <w:rsid w:val="0F3B1FA5"/>
    <w:rsid w:val="0F400ED6"/>
    <w:rsid w:val="0F5F45FE"/>
    <w:rsid w:val="0F920503"/>
    <w:rsid w:val="0F9A112B"/>
    <w:rsid w:val="0FA20284"/>
    <w:rsid w:val="0FA4224E"/>
    <w:rsid w:val="0FAB7A23"/>
    <w:rsid w:val="0FD101B9"/>
    <w:rsid w:val="0FE62385"/>
    <w:rsid w:val="0FE87504"/>
    <w:rsid w:val="0FF30ADF"/>
    <w:rsid w:val="100C3DE8"/>
    <w:rsid w:val="1025513D"/>
    <w:rsid w:val="10474C5A"/>
    <w:rsid w:val="105D482A"/>
    <w:rsid w:val="1065378B"/>
    <w:rsid w:val="106A6FF4"/>
    <w:rsid w:val="106D2F64"/>
    <w:rsid w:val="106F2D3C"/>
    <w:rsid w:val="107470E6"/>
    <w:rsid w:val="10777E38"/>
    <w:rsid w:val="10944248"/>
    <w:rsid w:val="10A87B1C"/>
    <w:rsid w:val="10B4760D"/>
    <w:rsid w:val="10B63710"/>
    <w:rsid w:val="10D60D02"/>
    <w:rsid w:val="10DC0A1F"/>
    <w:rsid w:val="10DE353E"/>
    <w:rsid w:val="10EF74F9"/>
    <w:rsid w:val="10F10820"/>
    <w:rsid w:val="10F14527"/>
    <w:rsid w:val="10F7015B"/>
    <w:rsid w:val="110C73C0"/>
    <w:rsid w:val="110F7B9B"/>
    <w:rsid w:val="111070DD"/>
    <w:rsid w:val="11124F95"/>
    <w:rsid w:val="11127F9F"/>
    <w:rsid w:val="111C215F"/>
    <w:rsid w:val="111C2F7A"/>
    <w:rsid w:val="1123407B"/>
    <w:rsid w:val="112E390A"/>
    <w:rsid w:val="114809B7"/>
    <w:rsid w:val="115E6EC6"/>
    <w:rsid w:val="11621A79"/>
    <w:rsid w:val="11665CA1"/>
    <w:rsid w:val="116E2B13"/>
    <w:rsid w:val="117D54BF"/>
    <w:rsid w:val="118B304D"/>
    <w:rsid w:val="11962CAF"/>
    <w:rsid w:val="11965BC6"/>
    <w:rsid w:val="11967974"/>
    <w:rsid w:val="11A85694"/>
    <w:rsid w:val="11DC6E08"/>
    <w:rsid w:val="11DE571E"/>
    <w:rsid w:val="11E701D0"/>
    <w:rsid w:val="11EF74A4"/>
    <w:rsid w:val="11FE36EC"/>
    <w:rsid w:val="120B0362"/>
    <w:rsid w:val="12103BCB"/>
    <w:rsid w:val="121D0BF1"/>
    <w:rsid w:val="121F50BD"/>
    <w:rsid w:val="123326F1"/>
    <w:rsid w:val="12496901"/>
    <w:rsid w:val="126D11A1"/>
    <w:rsid w:val="12767ED2"/>
    <w:rsid w:val="127C6B6A"/>
    <w:rsid w:val="127F5776"/>
    <w:rsid w:val="129B7938"/>
    <w:rsid w:val="12AA12B5"/>
    <w:rsid w:val="12B43452"/>
    <w:rsid w:val="12C15904"/>
    <w:rsid w:val="12C62274"/>
    <w:rsid w:val="12C81DAF"/>
    <w:rsid w:val="12E701A3"/>
    <w:rsid w:val="12F828D9"/>
    <w:rsid w:val="130E4BEC"/>
    <w:rsid w:val="130E6021"/>
    <w:rsid w:val="130F3E82"/>
    <w:rsid w:val="13106362"/>
    <w:rsid w:val="13133E59"/>
    <w:rsid w:val="131C5CBD"/>
    <w:rsid w:val="132077BC"/>
    <w:rsid w:val="13254E32"/>
    <w:rsid w:val="13255454"/>
    <w:rsid w:val="13280AA0"/>
    <w:rsid w:val="132B24FB"/>
    <w:rsid w:val="133833D9"/>
    <w:rsid w:val="134353AB"/>
    <w:rsid w:val="134A0A16"/>
    <w:rsid w:val="135154B6"/>
    <w:rsid w:val="13524F31"/>
    <w:rsid w:val="13683256"/>
    <w:rsid w:val="13810459"/>
    <w:rsid w:val="138F3A77"/>
    <w:rsid w:val="13951726"/>
    <w:rsid w:val="139A439A"/>
    <w:rsid w:val="13B5623C"/>
    <w:rsid w:val="13B83494"/>
    <w:rsid w:val="13C36CF9"/>
    <w:rsid w:val="13DD7ADC"/>
    <w:rsid w:val="13F137A9"/>
    <w:rsid w:val="14007086"/>
    <w:rsid w:val="140F5DD3"/>
    <w:rsid w:val="141A663B"/>
    <w:rsid w:val="141D4258"/>
    <w:rsid w:val="143771ED"/>
    <w:rsid w:val="14396509"/>
    <w:rsid w:val="144D1515"/>
    <w:rsid w:val="145C58ED"/>
    <w:rsid w:val="14726477"/>
    <w:rsid w:val="14775D08"/>
    <w:rsid w:val="14796B32"/>
    <w:rsid w:val="14882F71"/>
    <w:rsid w:val="14AD224B"/>
    <w:rsid w:val="14B52807"/>
    <w:rsid w:val="14C67172"/>
    <w:rsid w:val="14CA53E1"/>
    <w:rsid w:val="14D44F91"/>
    <w:rsid w:val="14DB04C0"/>
    <w:rsid w:val="14DD2C3C"/>
    <w:rsid w:val="14E37560"/>
    <w:rsid w:val="14E87AD6"/>
    <w:rsid w:val="14FA7026"/>
    <w:rsid w:val="14FC60B6"/>
    <w:rsid w:val="150414F2"/>
    <w:rsid w:val="150A3137"/>
    <w:rsid w:val="151969E9"/>
    <w:rsid w:val="151B5C07"/>
    <w:rsid w:val="15226166"/>
    <w:rsid w:val="153923B0"/>
    <w:rsid w:val="154946F3"/>
    <w:rsid w:val="154C6F5F"/>
    <w:rsid w:val="156032BE"/>
    <w:rsid w:val="15714980"/>
    <w:rsid w:val="159229F2"/>
    <w:rsid w:val="15943F3F"/>
    <w:rsid w:val="15A967C0"/>
    <w:rsid w:val="15B40311"/>
    <w:rsid w:val="15D119EE"/>
    <w:rsid w:val="15DF65B5"/>
    <w:rsid w:val="15EC0125"/>
    <w:rsid w:val="15EE5FD1"/>
    <w:rsid w:val="15EF0244"/>
    <w:rsid w:val="16087E1D"/>
    <w:rsid w:val="16197E6B"/>
    <w:rsid w:val="16392EE1"/>
    <w:rsid w:val="164F3550"/>
    <w:rsid w:val="165F2F7A"/>
    <w:rsid w:val="16661FBB"/>
    <w:rsid w:val="167B756A"/>
    <w:rsid w:val="167F2DC6"/>
    <w:rsid w:val="16857E4E"/>
    <w:rsid w:val="168940BC"/>
    <w:rsid w:val="16A06964"/>
    <w:rsid w:val="16A36643"/>
    <w:rsid w:val="16A62408"/>
    <w:rsid w:val="16A74D1B"/>
    <w:rsid w:val="16A90231"/>
    <w:rsid w:val="16AA427D"/>
    <w:rsid w:val="16BA2357"/>
    <w:rsid w:val="16C25AF3"/>
    <w:rsid w:val="16E42161"/>
    <w:rsid w:val="16EC10BD"/>
    <w:rsid w:val="1720665E"/>
    <w:rsid w:val="17304902"/>
    <w:rsid w:val="173B59D3"/>
    <w:rsid w:val="174A1FCC"/>
    <w:rsid w:val="174F6F43"/>
    <w:rsid w:val="175C79C5"/>
    <w:rsid w:val="175E75E4"/>
    <w:rsid w:val="17626C76"/>
    <w:rsid w:val="17701D14"/>
    <w:rsid w:val="17735226"/>
    <w:rsid w:val="177C0B67"/>
    <w:rsid w:val="177D5A8A"/>
    <w:rsid w:val="1783099B"/>
    <w:rsid w:val="17884356"/>
    <w:rsid w:val="179C0E04"/>
    <w:rsid w:val="179E7583"/>
    <w:rsid w:val="17BE0483"/>
    <w:rsid w:val="17BF5E77"/>
    <w:rsid w:val="17F4660C"/>
    <w:rsid w:val="17F522F9"/>
    <w:rsid w:val="1807527A"/>
    <w:rsid w:val="180B62BF"/>
    <w:rsid w:val="18207E76"/>
    <w:rsid w:val="1833416F"/>
    <w:rsid w:val="18364120"/>
    <w:rsid w:val="184B3C75"/>
    <w:rsid w:val="184E71FB"/>
    <w:rsid w:val="185B1342"/>
    <w:rsid w:val="18641508"/>
    <w:rsid w:val="18707AA2"/>
    <w:rsid w:val="187542E1"/>
    <w:rsid w:val="18786730"/>
    <w:rsid w:val="187F5606"/>
    <w:rsid w:val="18857E40"/>
    <w:rsid w:val="18871812"/>
    <w:rsid w:val="18950986"/>
    <w:rsid w:val="189F624C"/>
    <w:rsid w:val="18A40670"/>
    <w:rsid w:val="18C8188B"/>
    <w:rsid w:val="18DB72CC"/>
    <w:rsid w:val="18DD7E13"/>
    <w:rsid w:val="18F16EF6"/>
    <w:rsid w:val="18F63FE6"/>
    <w:rsid w:val="18FA3566"/>
    <w:rsid w:val="1920632B"/>
    <w:rsid w:val="19223BF5"/>
    <w:rsid w:val="193F2A7A"/>
    <w:rsid w:val="19525E10"/>
    <w:rsid w:val="196A0064"/>
    <w:rsid w:val="196C0E30"/>
    <w:rsid w:val="198C1AE8"/>
    <w:rsid w:val="19A02401"/>
    <w:rsid w:val="19A76BC3"/>
    <w:rsid w:val="19BA1796"/>
    <w:rsid w:val="19BF0BCC"/>
    <w:rsid w:val="19C15C6E"/>
    <w:rsid w:val="19C44E1E"/>
    <w:rsid w:val="19D91596"/>
    <w:rsid w:val="19DC74D2"/>
    <w:rsid w:val="19ED10FE"/>
    <w:rsid w:val="19F53529"/>
    <w:rsid w:val="19FB70C4"/>
    <w:rsid w:val="1A0A0E60"/>
    <w:rsid w:val="1A0A53A3"/>
    <w:rsid w:val="1A12268D"/>
    <w:rsid w:val="1A1C66C0"/>
    <w:rsid w:val="1A322049"/>
    <w:rsid w:val="1A322D4F"/>
    <w:rsid w:val="1A325F89"/>
    <w:rsid w:val="1A396DC5"/>
    <w:rsid w:val="1A3D3083"/>
    <w:rsid w:val="1A42393B"/>
    <w:rsid w:val="1A490E57"/>
    <w:rsid w:val="1A511E59"/>
    <w:rsid w:val="1A525246"/>
    <w:rsid w:val="1A700A12"/>
    <w:rsid w:val="1A7647E7"/>
    <w:rsid w:val="1A84575D"/>
    <w:rsid w:val="1A9609E5"/>
    <w:rsid w:val="1AA475A6"/>
    <w:rsid w:val="1AAC2D66"/>
    <w:rsid w:val="1AAD45DE"/>
    <w:rsid w:val="1AB62E35"/>
    <w:rsid w:val="1ABA2925"/>
    <w:rsid w:val="1ABC21A7"/>
    <w:rsid w:val="1AC01575"/>
    <w:rsid w:val="1AD30E0C"/>
    <w:rsid w:val="1AE6371B"/>
    <w:rsid w:val="1AFA462D"/>
    <w:rsid w:val="1AFE2D38"/>
    <w:rsid w:val="1B023204"/>
    <w:rsid w:val="1B046F80"/>
    <w:rsid w:val="1B097409"/>
    <w:rsid w:val="1B185594"/>
    <w:rsid w:val="1B1B7066"/>
    <w:rsid w:val="1B270062"/>
    <w:rsid w:val="1B325D77"/>
    <w:rsid w:val="1B3267B5"/>
    <w:rsid w:val="1B334486"/>
    <w:rsid w:val="1B40161D"/>
    <w:rsid w:val="1B432FF8"/>
    <w:rsid w:val="1B441859"/>
    <w:rsid w:val="1B4818AB"/>
    <w:rsid w:val="1B4B7A22"/>
    <w:rsid w:val="1B5416B5"/>
    <w:rsid w:val="1B6606B1"/>
    <w:rsid w:val="1B972C67"/>
    <w:rsid w:val="1BB03EA9"/>
    <w:rsid w:val="1BC44E52"/>
    <w:rsid w:val="1BD366BC"/>
    <w:rsid w:val="1BD417C5"/>
    <w:rsid w:val="1BED4A4E"/>
    <w:rsid w:val="1BF658EF"/>
    <w:rsid w:val="1BF94053"/>
    <w:rsid w:val="1C060BEE"/>
    <w:rsid w:val="1C0C0F5F"/>
    <w:rsid w:val="1C2A60FB"/>
    <w:rsid w:val="1C447638"/>
    <w:rsid w:val="1C541E06"/>
    <w:rsid w:val="1C5A43C0"/>
    <w:rsid w:val="1C5D17BA"/>
    <w:rsid w:val="1C5E7925"/>
    <w:rsid w:val="1C6074FD"/>
    <w:rsid w:val="1C6866E3"/>
    <w:rsid w:val="1C715266"/>
    <w:rsid w:val="1C7755BB"/>
    <w:rsid w:val="1C7B7E93"/>
    <w:rsid w:val="1CAA5C24"/>
    <w:rsid w:val="1CAE64BA"/>
    <w:rsid w:val="1CB621F2"/>
    <w:rsid w:val="1CD13F56"/>
    <w:rsid w:val="1CD64FCE"/>
    <w:rsid w:val="1CF20731"/>
    <w:rsid w:val="1CF3211F"/>
    <w:rsid w:val="1CFA6A30"/>
    <w:rsid w:val="1CFD070F"/>
    <w:rsid w:val="1CFE5291"/>
    <w:rsid w:val="1D057D11"/>
    <w:rsid w:val="1D0A61BF"/>
    <w:rsid w:val="1D0C0362"/>
    <w:rsid w:val="1D17405F"/>
    <w:rsid w:val="1D1E3640"/>
    <w:rsid w:val="1D2048E0"/>
    <w:rsid w:val="1D2E5CF8"/>
    <w:rsid w:val="1D305121"/>
    <w:rsid w:val="1D5F5A06"/>
    <w:rsid w:val="1D5F6196"/>
    <w:rsid w:val="1D604AF7"/>
    <w:rsid w:val="1D6132A5"/>
    <w:rsid w:val="1D6A259D"/>
    <w:rsid w:val="1D880AB9"/>
    <w:rsid w:val="1D8E56D5"/>
    <w:rsid w:val="1D900946"/>
    <w:rsid w:val="1D917300"/>
    <w:rsid w:val="1DA453B5"/>
    <w:rsid w:val="1DAD0520"/>
    <w:rsid w:val="1DB04EB3"/>
    <w:rsid w:val="1DBB18AD"/>
    <w:rsid w:val="1DBE355A"/>
    <w:rsid w:val="1DCC523A"/>
    <w:rsid w:val="1DD72298"/>
    <w:rsid w:val="1DD731C0"/>
    <w:rsid w:val="1DDE4B7D"/>
    <w:rsid w:val="1DE06B47"/>
    <w:rsid w:val="1DFA5967"/>
    <w:rsid w:val="1E20605B"/>
    <w:rsid w:val="1E3F014A"/>
    <w:rsid w:val="1E407CEF"/>
    <w:rsid w:val="1E426B6D"/>
    <w:rsid w:val="1E4642A4"/>
    <w:rsid w:val="1E503619"/>
    <w:rsid w:val="1E616B7C"/>
    <w:rsid w:val="1E650DFA"/>
    <w:rsid w:val="1E6A32C9"/>
    <w:rsid w:val="1E7679C4"/>
    <w:rsid w:val="1E7A43DA"/>
    <w:rsid w:val="1E832A83"/>
    <w:rsid w:val="1E8C716C"/>
    <w:rsid w:val="1E951AD7"/>
    <w:rsid w:val="1EA11026"/>
    <w:rsid w:val="1EA21DC7"/>
    <w:rsid w:val="1EA84497"/>
    <w:rsid w:val="1EB46425"/>
    <w:rsid w:val="1EB5530C"/>
    <w:rsid w:val="1EBA0E90"/>
    <w:rsid w:val="1EBE4862"/>
    <w:rsid w:val="1EC81FA1"/>
    <w:rsid w:val="1ED04C36"/>
    <w:rsid w:val="1ED1160E"/>
    <w:rsid w:val="1EDA17E8"/>
    <w:rsid w:val="1EDB0354"/>
    <w:rsid w:val="1EDD53B1"/>
    <w:rsid w:val="1EE931C8"/>
    <w:rsid w:val="1EFA5A5A"/>
    <w:rsid w:val="1F1C0DD2"/>
    <w:rsid w:val="1F386500"/>
    <w:rsid w:val="1F4B590F"/>
    <w:rsid w:val="1F51280E"/>
    <w:rsid w:val="1F523E3D"/>
    <w:rsid w:val="1F5F16CE"/>
    <w:rsid w:val="1F60423E"/>
    <w:rsid w:val="1F642E60"/>
    <w:rsid w:val="1F8B5FCD"/>
    <w:rsid w:val="1F972DF0"/>
    <w:rsid w:val="1FA12306"/>
    <w:rsid w:val="1FA336FB"/>
    <w:rsid w:val="1FAB6CE1"/>
    <w:rsid w:val="1FBA6F24"/>
    <w:rsid w:val="1FD72A1A"/>
    <w:rsid w:val="1FDC6E9A"/>
    <w:rsid w:val="1FE7539E"/>
    <w:rsid w:val="1FF42774"/>
    <w:rsid w:val="20057523"/>
    <w:rsid w:val="200709A1"/>
    <w:rsid w:val="201F73B2"/>
    <w:rsid w:val="202E163D"/>
    <w:rsid w:val="203D3885"/>
    <w:rsid w:val="20555C6E"/>
    <w:rsid w:val="20670821"/>
    <w:rsid w:val="20671BE0"/>
    <w:rsid w:val="206D14A8"/>
    <w:rsid w:val="206E3DD1"/>
    <w:rsid w:val="206F242E"/>
    <w:rsid w:val="20777D1D"/>
    <w:rsid w:val="2091237A"/>
    <w:rsid w:val="209424C4"/>
    <w:rsid w:val="20963CB8"/>
    <w:rsid w:val="20982969"/>
    <w:rsid w:val="20A81A1B"/>
    <w:rsid w:val="20B07FB6"/>
    <w:rsid w:val="20B646FB"/>
    <w:rsid w:val="20BF5AA4"/>
    <w:rsid w:val="20E004A0"/>
    <w:rsid w:val="20ED234F"/>
    <w:rsid w:val="20F4727C"/>
    <w:rsid w:val="2107261C"/>
    <w:rsid w:val="21093CBF"/>
    <w:rsid w:val="211A2370"/>
    <w:rsid w:val="211A72B5"/>
    <w:rsid w:val="212452EC"/>
    <w:rsid w:val="213B74B1"/>
    <w:rsid w:val="215A2310"/>
    <w:rsid w:val="215A38C2"/>
    <w:rsid w:val="215B0191"/>
    <w:rsid w:val="21674692"/>
    <w:rsid w:val="21711C44"/>
    <w:rsid w:val="217851BC"/>
    <w:rsid w:val="21794E8F"/>
    <w:rsid w:val="21817CF9"/>
    <w:rsid w:val="218477E9"/>
    <w:rsid w:val="218C0E50"/>
    <w:rsid w:val="219709C9"/>
    <w:rsid w:val="21AB0DA1"/>
    <w:rsid w:val="21BA4B57"/>
    <w:rsid w:val="21CD1C73"/>
    <w:rsid w:val="21DE318A"/>
    <w:rsid w:val="21E44CE2"/>
    <w:rsid w:val="21EF5B80"/>
    <w:rsid w:val="21F66641"/>
    <w:rsid w:val="220B1CB9"/>
    <w:rsid w:val="22335AF9"/>
    <w:rsid w:val="223C6316"/>
    <w:rsid w:val="2241392C"/>
    <w:rsid w:val="22475C80"/>
    <w:rsid w:val="224C6C75"/>
    <w:rsid w:val="224D22D1"/>
    <w:rsid w:val="22576990"/>
    <w:rsid w:val="22596EC8"/>
    <w:rsid w:val="226255A8"/>
    <w:rsid w:val="2277743A"/>
    <w:rsid w:val="22873A35"/>
    <w:rsid w:val="228E7279"/>
    <w:rsid w:val="229D2BDF"/>
    <w:rsid w:val="22C263E7"/>
    <w:rsid w:val="22C449B5"/>
    <w:rsid w:val="22D1390C"/>
    <w:rsid w:val="22D72F36"/>
    <w:rsid w:val="22D95913"/>
    <w:rsid w:val="22F1214B"/>
    <w:rsid w:val="22F47480"/>
    <w:rsid w:val="23065AF6"/>
    <w:rsid w:val="230E580F"/>
    <w:rsid w:val="230F31B4"/>
    <w:rsid w:val="23103A2A"/>
    <w:rsid w:val="231A0405"/>
    <w:rsid w:val="231C5244"/>
    <w:rsid w:val="233414E3"/>
    <w:rsid w:val="23405B13"/>
    <w:rsid w:val="23474F72"/>
    <w:rsid w:val="234D3200"/>
    <w:rsid w:val="23506488"/>
    <w:rsid w:val="235269F6"/>
    <w:rsid w:val="2354671D"/>
    <w:rsid w:val="237C10C0"/>
    <w:rsid w:val="239025EF"/>
    <w:rsid w:val="23926C0D"/>
    <w:rsid w:val="23C95987"/>
    <w:rsid w:val="23DC1B5F"/>
    <w:rsid w:val="23DE1C48"/>
    <w:rsid w:val="23E55435"/>
    <w:rsid w:val="23F30C56"/>
    <w:rsid w:val="23FC47B6"/>
    <w:rsid w:val="23FC5D5D"/>
    <w:rsid w:val="240210CD"/>
    <w:rsid w:val="241213B7"/>
    <w:rsid w:val="241C0BFF"/>
    <w:rsid w:val="24202469"/>
    <w:rsid w:val="242038AB"/>
    <w:rsid w:val="24242630"/>
    <w:rsid w:val="24301B1B"/>
    <w:rsid w:val="24371F75"/>
    <w:rsid w:val="2446111D"/>
    <w:rsid w:val="24464ADE"/>
    <w:rsid w:val="244A503E"/>
    <w:rsid w:val="24514750"/>
    <w:rsid w:val="24523BCF"/>
    <w:rsid w:val="245A2BF3"/>
    <w:rsid w:val="24692C63"/>
    <w:rsid w:val="24775F67"/>
    <w:rsid w:val="24942439"/>
    <w:rsid w:val="24981AA9"/>
    <w:rsid w:val="24AE3584"/>
    <w:rsid w:val="24BD373E"/>
    <w:rsid w:val="24BF09F7"/>
    <w:rsid w:val="24DE09DE"/>
    <w:rsid w:val="24E2181C"/>
    <w:rsid w:val="24EF7670"/>
    <w:rsid w:val="24F609FE"/>
    <w:rsid w:val="24F9136D"/>
    <w:rsid w:val="2504765F"/>
    <w:rsid w:val="25140E84"/>
    <w:rsid w:val="251F4747"/>
    <w:rsid w:val="25294D1E"/>
    <w:rsid w:val="252B5E4E"/>
    <w:rsid w:val="252D53FE"/>
    <w:rsid w:val="254B1C3C"/>
    <w:rsid w:val="255A2E1B"/>
    <w:rsid w:val="25671385"/>
    <w:rsid w:val="25675458"/>
    <w:rsid w:val="256E67E6"/>
    <w:rsid w:val="2585493F"/>
    <w:rsid w:val="258F159E"/>
    <w:rsid w:val="2591405F"/>
    <w:rsid w:val="25A20B86"/>
    <w:rsid w:val="25A77F4A"/>
    <w:rsid w:val="25B02770"/>
    <w:rsid w:val="25CF2AAF"/>
    <w:rsid w:val="25D30D3F"/>
    <w:rsid w:val="25D52EC4"/>
    <w:rsid w:val="25DE1BBE"/>
    <w:rsid w:val="25DF00BB"/>
    <w:rsid w:val="25E06CBE"/>
    <w:rsid w:val="25EC2D81"/>
    <w:rsid w:val="25F45F40"/>
    <w:rsid w:val="25F62C8E"/>
    <w:rsid w:val="25FC2C76"/>
    <w:rsid w:val="26000FFC"/>
    <w:rsid w:val="26195550"/>
    <w:rsid w:val="26251590"/>
    <w:rsid w:val="26274DE8"/>
    <w:rsid w:val="26320878"/>
    <w:rsid w:val="263C4E9C"/>
    <w:rsid w:val="26485170"/>
    <w:rsid w:val="264A723C"/>
    <w:rsid w:val="26520633"/>
    <w:rsid w:val="26591048"/>
    <w:rsid w:val="26630E46"/>
    <w:rsid w:val="26643A86"/>
    <w:rsid w:val="266F075E"/>
    <w:rsid w:val="26713A0D"/>
    <w:rsid w:val="26721B6B"/>
    <w:rsid w:val="267F0F2D"/>
    <w:rsid w:val="26812549"/>
    <w:rsid w:val="26846159"/>
    <w:rsid w:val="268B018C"/>
    <w:rsid w:val="26924756"/>
    <w:rsid w:val="26971D6D"/>
    <w:rsid w:val="26A07C0F"/>
    <w:rsid w:val="26A33AB5"/>
    <w:rsid w:val="26B93CEA"/>
    <w:rsid w:val="26B96187"/>
    <w:rsid w:val="26CC5449"/>
    <w:rsid w:val="26CF7759"/>
    <w:rsid w:val="26DD00C8"/>
    <w:rsid w:val="26DF701C"/>
    <w:rsid w:val="26E8081A"/>
    <w:rsid w:val="26EF5A9C"/>
    <w:rsid w:val="26F7280B"/>
    <w:rsid w:val="26FD2518"/>
    <w:rsid w:val="27250692"/>
    <w:rsid w:val="273917E8"/>
    <w:rsid w:val="273D2914"/>
    <w:rsid w:val="274A3283"/>
    <w:rsid w:val="27541DED"/>
    <w:rsid w:val="275D4D64"/>
    <w:rsid w:val="277057A2"/>
    <w:rsid w:val="27800622"/>
    <w:rsid w:val="27850E49"/>
    <w:rsid w:val="27A845CF"/>
    <w:rsid w:val="27A85401"/>
    <w:rsid w:val="27A85D92"/>
    <w:rsid w:val="27AC6AEC"/>
    <w:rsid w:val="27AD6260"/>
    <w:rsid w:val="27B32A52"/>
    <w:rsid w:val="27B92076"/>
    <w:rsid w:val="27CF3AEB"/>
    <w:rsid w:val="27E631D6"/>
    <w:rsid w:val="27E80457"/>
    <w:rsid w:val="27FE6412"/>
    <w:rsid w:val="280D6486"/>
    <w:rsid w:val="280F7286"/>
    <w:rsid w:val="284321AC"/>
    <w:rsid w:val="28470748"/>
    <w:rsid w:val="28481571"/>
    <w:rsid w:val="28534889"/>
    <w:rsid w:val="28552771"/>
    <w:rsid w:val="285E03E3"/>
    <w:rsid w:val="286A64CE"/>
    <w:rsid w:val="287224DB"/>
    <w:rsid w:val="288205DB"/>
    <w:rsid w:val="2884317E"/>
    <w:rsid w:val="28930C7B"/>
    <w:rsid w:val="289A34CC"/>
    <w:rsid w:val="28A979D1"/>
    <w:rsid w:val="28AD4A6F"/>
    <w:rsid w:val="28C826B1"/>
    <w:rsid w:val="28DE37DE"/>
    <w:rsid w:val="28E0207F"/>
    <w:rsid w:val="28E60557"/>
    <w:rsid w:val="28EC2844"/>
    <w:rsid w:val="28F22477"/>
    <w:rsid w:val="28F30287"/>
    <w:rsid w:val="290851A4"/>
    <w:rsid w:val="290D4B5D"/>
    <w:rsid w:val="29115E06"/>
    <w:rsid w:val="291C5C1A"/>
    <w:rsid w:val="29206EB8"/>
    <w:rsid w:val="292875F4"/>
    <w:rsid w:val="2930455F"/>
    <w:rsid w:val="29527341"/>
    <w:rsid w:val="29595666"/>
    <w:rsid w:val="295D2844"/>
    <w:rsid w:val="29693E94"/>
    <w:rsid w:val="297354C4"/>
    <w:rsid w:val="297E0FC2"/>
    <w:rsid w:val="2987431B"/>
    <w:rsid w:val="29874881"/>
    <w:rsid w:val="29A32D6B"/>
    <w:rsid w:val="29A50C45"/>
    <w:rsid w:val="29A808AE"/>
    <w:rsid w:val="29B375F1"/>
    <w:rsid w:val="29E277A3"/>
    <w:rsid w:val="29E325E0"/>
    <w:rsid w:val="29E4090D"/>
    <w:rsid w:val="29EB523B"/>
    <w:rsid w:val="29F37C02"/>
    <w:rsid w:val="29F959EB"/>
    <w:rsid w:val="29FE0C4B"/>
    <w:rsid w:val="2A015762"/>
    <w:rsid w:val="2A027A0A"/>
    <w:rsid w:val="2A0E2346"/>
    <w:rsid w:val="2A1254DB"/>
    <w:rsid w:val="2A142C55"/>
    <w:rsid w:val="2A1A1BF6"/>
    <w:rsid w:val="2A2102CB"/>
    <w:rsid w:val="2A2F5120"/>
    <w:rsid w:val="2A400567"/>
    <w:rsid w:val="2A452503"/>
    <w:rsid w:val="2A557F75"/>
    <w:rsid w:val="2A566386"/>
    <w:rsid w:val="2A58075F"/>
    <w:rsid w:val="2A7C2483"/>
    <w:rsid w:val="2A7C3C8A"/>
    <w:rsid w:val="2A912CCD"/>
    <w:rsid w:val="2A9F5694"/>
    <w:rsid w:val="2AA046B1"/>
    <w:rsid w:val="2AB23619"/>
    <w:rsid w:val="2AD4533E"/>
    <w:rsid w:val="2AE70486"/>
    <w:rsid w:val="2AF41EDA"/>
    <w:rsid w:val="2AF43B82"/>
    <w:rsid w:val="2AF53B88"/>
    <w:rsid w:val="2AF91248"/>
    <w:rsid w:val="2B0A0F4F"/>
    <w:rsid w:val="2B0B1774"/>
    <w:rsid w:val="2B2067D5"/>
    <w:rsid w:val="2B313718"/>
    <w:rsid w:val="2B3E30FF"/>
    <w:rsid w:val="2B4C572C"/>
    <w:rsid w:val="2B4F0E68"/>
    <w:rsid w:val="2B57328C"/>
    <w:rsid w:val="2B5D3585"/>
    <w:rsid w:val="2B7667C9"/>
    <w:rsid w:val="2B8D75A5"/>
    <w:rsid w:val="2B9056CA"/>
    <w:rsid w:val="2B934ACD"/>
    <w:rsid w:val="2B9351F9"/>
    <w:rsid w:val="2B957D5F"/>
    <w:rsid w:val="2BA421EE"/>
    <w:rsid w:val="2BA936A8"/>
    <w:rsid w:val="2BB61F5F"/>
    <w:rsid w:val="2BB62C95"/>
    <w:rsid w:val="2BBF41CD"/>
    <w:rsid w:val="2BC43604"/>
    <w:rsid w:val="2BC66ED9"/>
    <w:rsid w:val="2BCC4DEC"/>
    <w:rsid w:val="2BD0497A"/>
    <w:rsid w:val="2BD80E5D"/>
    <w:rsid w:val="2BE101ED"/>
    <w:rsid w:val="2BE1128A"/>
    <w:rsid w:val="2BE60E77"/>
    <w:rsid w:val="2BF12FDA"/>
    <w:rsid w:val="2BFF47C5"/>
    <w:rsid w:val="2C0370C9"/>
    <w:rsid w:val="2C0E09FB"/>
    <w:rsid w:val="2C1125C1"/>
    <w:rsid w:val="2C153E60"/>
    <w:rsid w:val="2C1F4EFE"/>
    <w:rsid w:val="2C27372F"/>
    <w:rsid w:val="2C2C601B"/>
    <w:rsid w:val="2C315A5A"/>
    <w:rsid w:val="2C4B1C25"/>
    <w:rsid w:val="2C5A3F68"/>
    <w:rsid w:val="2C7F2FCE"/>
    <w:rsid w:val="2C7F4FF3"/>
    <w:rsid w:val="2C9009DA"/>
    <w:rsid w:val="2CA23219"/>
    <w:rsid w:val="2CFE66A2"/>
    <w:rsid w:val="2D0A773C"/>
    <w:rsid w:val="2D251B69"/>
    <w:rsid w:val="2D2D74EA"/>
    <w:rsid w:val="2D357376"/>
    <w:rsid w:val="2D3E729D"/>
    <w:rsid w:val="2D3E7F52"/>
    <w:rsid w:val="2D482013"/>
    <w:rsid w:val="2D4B586F"/>
    <w:rsid w:val="2D5B7F98"/>
    <w:rsid w:val="2D5E0EE3"/>
    <w:rsid w:val="2D5E1836"/>
    <w:rsid w:val="2D644DCF"/>
    <w:rsid w:val="2D6C3F53"/>
    <w:rsid w:val="2D8E3834"/>
    <w:rsid w:val="2D97772C"/>
    <w:rsid w:val="2D9E56F5"/>
    <w:rsid w:val="2DA75FF5"/>
    <w:rsid w:val="2DC31CCB"/>
    <w:rsid w:val="2DD65871"/>
    <w:rsid w:val="2DDF53F9"/>
    <w:rsid w:val="2DE47F8D"/>
    <w:rsid w:val="2DEF3A1F"/>
    <w:rsid w:val="2DFA1131"/>
    <w:rsid w:val="2E045ADA"/>
    <w:rsid w:val="2E227962"/>
    <w:rsid w:val="2E2C5491"/>
    <w:rsid w:val="2E3309F3"/>
    <w:rsid w:val="2E351701"/>
    <w:rsid w:val="2E3A5135"/>
    <w:rsid w:val="2E497DF1"/>
    <w:rsid w:val="2E4D365F"/>
    <w:rsid w:val="2E5A0250"/>
    <w:rsid w:val="2E667F96"/>
    <w:rsid w:val="2E780446"/>
    <w:rsid w:val="2E7C1A67"/>
    <w:rsid w:val="2E8226AB"/>
    <w:rsid w:val="2E89551F"/>
    <w:rsid w:val="2E9B138C"/>
    <w:rsid w:val="2EA27501"/>
    <w:rsid w:val="2EB40924"/>
    <w:rsid w:val="2EBA6F40"/>
    <w:rsid w:val="2EBC2BE8"/>
    <w:rsid w:val="2ED55B28"/>
    <w:rsid w:val="2EDE5DAD"/>
    <w:rsid w:val="2EE67D35"/>
    <w:rsid w:val="2EF91817"/>
    <w:rsid w:val="2EFA10EB"/>
    <w:rsid w:val="2EFB40B0"/>
    <w:rsid w:val="2EFC1B12"/>
    <w:rsid w:val="2EFC30B5"/>
    <w:rsid w:val="2EFD3AB2"/>
    <w:rsid w:val="2F004906"/>
    <w:rsid w:val="2F04515B"/>
    <w:rsid w:val="2F06773C"/>
    <w:rsid w:val="2F081A5A"/>
    <w:rsid w:val="2F0B0247"/>
    <w:rsid w:val="2F166E3A"/>
    <w:rsid w:val="2F260C62"/>
    <w:rsid w:val="2F2E6FE6"/>
    <w:rsid w:val="2F4A1497"/>
    <w:rsid w:val="2F560A17"/>
    <w:rsid w:val="2F576BC2"/>
    <w:rsid w:val="2F5975B4"/>
    <w:rsid w:val="2F5F7FD2"/>
    <w:rsid w:val="2F8436E5"/>
    <w:rsid w:val="2FB00389"/>
    <w:rsid w:val="2FB25651"/>
    <w:rsid w:val="2FD065E6"/>
    <w:rsid w:val="2FD96870"/>
    <w:rsid w:val="2FDA5BCD"/>
    <w:rsid w:val="2FDC6E72"/>
    <w:rsid w:val="2FE52480"/>
    <w:rsid w:val="2FF15814"/>
    <w:rsid w:val="301B7BB2"/>
    <w:rsid w:val="302D7E5F"/>
    <w:rsid w:val="30302D15"/>
    <w:rsid w:val="3038636F"/>
    <w:rsid w:val="304E7940"/>
    <w:rsid w:val="30550795"/>
    <w:rsid w:val="30580BC9"/>
    <w:rsid w:val="30592E63"/>
    <w:rsid w:val="305C4B24"/>
    <w:rsid w:val="305E11D1"/>
    <w:rsid w:val="30700881"/>
    <w:rsid w:val="30782C0F"/>
    <w:rsid w:val="307B75C9"/>
    <w:rsid w:val="30915A7F"/>
    <w:rsid w:val="3097418D"/>
    <w:rsid w:val="30B05F05"/>
    <w:rsid w:val="30C45E54"/>
    <w:rsid w:val="30C7385A"/>
    <w:rsid w:val="30DC13F0"/>
    <w:rsid w:val="30E87F27"/>
    <w:rsid w:val="30FB73CE"/>
    <w:rsid w:val="30FF5F0E"/>
    <w:rsid w:val="31015165"/>
    <w:rsid w:val="310A207A"/>
    <w:rsid w:val="310C54EF"/>
    <w:rsid w:val="310E5FC1"/>
    <w:rsid w:val="311C566D"/>
    <w:rsid w:val="311E2ED7"/>
    <w:rsid w:val="3122509A"/>
    <w:rsid w:val="3134299C"/>
    <w:rsid w:val="313945C5"/>
    <w:rsid w:val="314E07A0"/>
    <w:rsid w:val="314F1BC2"/>
    <w:rsid w:val="3151760A"/>
    <w:rsid w:val="315619EE"/>
    <w:rsid w:val="315C449C"/>
    <w:rsid w:val="31605B7D"/>
    <w:rsid w:val="31794E91"/>
    <w:rsid w:val="319475D5"/>
    <w:rsid w:val="319D5A2E"/>
    <w:rsid w:val="319E61D5"/>
    <w:rsid w:val="31AD68E8"/>
    <w:rsid w:val="31B1601B"/>
    <w:rsid w:val="31B82709"/>
    <w:rsid w:val="31BE4C87"/>
    <w:rsid w:val="31D05482"/>
    <w:rsid w:val="31D85422"/>
    <w:rsid w:val="31DD626C"/>
    <w:rsid w:val="31DF7AB1"/>
    <w:rsid w:val="31E7004C"/>
    <w:rsid w:val="32024E86"/>
    <w:rsid w:val="32096215"/>
    <w:rsid w:val="32116E77"/>
    <w:rsid w:val="32201B28"/>
    <w:rsid w:val="3226622A"/>
    <w:rsid w:val="322F5617"/>
    <w:rsid w:val="323F445F"/>
    <w:rsid w:val="32400B34"/>
    <w:rsid w:val="32477C86"/>
    <w:rsid w:val="324E5765"/>
    <w:rsid w:val="324F44D1"/>
    <w:rsid w:val="32560D2E"/>
    <w:rsid w:val="325A3E25"/>
    <w:rsid w:val="326434B1"/>
    <w:rsid w:val="32677589"/>
    <w:rsid w:val="327A2FCA"/>
    <w:rsid w:val="327A4F11"/>
    <w:rsid w:val="327C2EF0"/>
    <w:rsid w:val="327C583D"/>
    <w:rsid w:val="327D503D"/>
    <w:rsid w:val="327E78F6"/>
    <w:rsid w:val="329B63B6"/>
    <w:rsid w:val="329E6876"/>
    <w:rsid w:val="329F26D5"/>
    <w:rsid w:val="32BF2D77"/>
    <w:rsid w:val="32C563D2"/>
    <w:rsid w:val="32CB171C"/>
    <w:rsid w:val="32D0288E"/>
    <w:rsid w:val="32EA22BA"/>
    <w:rsid w:val="32EB3324"/>
    <w:rsid w:val="32FB3B09"/>
    <w:rsid w:val="32FD24F4"/>
    <w:rsid w:val="331035D3"/>
    <w:rsid w:val="331667A4"/>
    <w:rsid w:val="331E5FDE"/>
    <w:rsid w:val="33244988"/>
    <w:rsid w:val="33294694"/>
    <w:rsid w:val="333015F2"/>
    <w:rsid w:val="3344723B"/>
    <w:rsid w:val="334B6320"/>
    <w:rsid w:val="334D3A4F"/>
    <w:rsid w:val="336B2A6A"/>
    <w:rsid w:val="33753436"/>
    <w:rsid w:val="33817769"/>
    <w:rsid w:val="33925D96"/>
    <w:rsid w:val="33932D32"/>
    <w:rsid w:val="33945FB2"/>
    <w:rsid w:val="339E0BDF"/>
    <w:rsid w:val="33A50B28"/>
    <w:rsid w:val="33AB34BE"/>
    <w:rsid w:val="33B0446E"/>
    <w:rsid w:val="33B6641F"/>
    <w:rsid w:val="33C134D1"/>
    <w:rsid w:val="33CA6F53"/>
    <w:rsid w:val="33D60378"/>
    <w:rsid w:val="33D934D4"/>
    <w:rsid w:val="33DC72A5"/>
    <w:rsid w:val="33E5680D"/>
    <w:rsid w:val="33ED175D"/>
    <w:rsid w:val="33F60B28"/>
    <w:rsid w:val="33FE2F6A"/>
    <w:rsid w:val="33FF778B"/>
    <w:rsid w:val="340940F5"/>
    <w:rsid w:val="340E07E5"/>
    <w:rsid w:val="341405EE"/>
    <w:rsid w:val="34180991"/>
    <w:rsid w:val="3421711A"/>
    <w:rsid w:val="34235BF7"/>
    <w:rsid w:val="343045A8"/>
    <w:rsid w:val="34356023"/>
    <w:rsid w:val="34357503"/>
    <w:rsid w:val="3440288D"/>
    <w:rsid w:val="344D6EC4"/>
    <w:rsid w:val="34534933"/>
    <w:rsid w:val="34732316"/>
    <w:rsid w:val="34750DCE"/>
    <w:rsid w:val="347625D0"/>
    <w:rsid w:val="347E4B88"/>
    <w:rsid w:val="348240B1"/>
    <w:rsid w:val="348C4EDB"/>
    <w:rsid w:val="348F2D59"/>
    <w:rsid w:val="349604B7"/>
    <w:rsid w:val="34961283"/>
    <w:rsid w:val="34993108"/>
    <w:rsid w:val="34A2025B"/>
    <w:rsid w:val="34D55D7F"/>
    <w:rsid w:val="34E328EF"/>
    <w:rsid w:val="34F420CF"/>
    <w:rsid w:val="34F45FEF"/>
    <w:rsid w:val="350607E9"/>
    <w:rsid w:val="35127835"/>
    <w:rsid w:val="35245F11"/>
    <w:rsid w:val="35262D71"/>
    <w:rsid w:val="35397F8C"/>
    <w:rsid w:val="354126B0"/>
    <w:rsid w:val="35416219"/>
    <w:rsid w:val="354A6BCE"/>
    <w:rsid w:val="354E0A93"/>
    <w:rsid w:val="35506B54"/>
    <w:rsid w:val="35614329"/>
    <w:rsid w:val="356674DA"/>
    <w:rsid w:val="358C5FA8"/>
    <w:rsid w:val="35995CFF"/>
    <w:rsid w:val="35A973C7"/>
    <w:rsid w:val="35AE50EE"/>
    <w:rsid w:val="35B13326"/>
    <w:rsid w:val="35C15DF1"/>
    <w:rsid w:val="35C97A69"/>
    <w:rsid w:val="35D2691D"/>
    <w:rsid w:val="35D3202C"/>
    <w:rsid w:val="35DF6BB2"/>
    <w:rsid w:val="35E974E6"/>
    <w:rsid w:val="35F23780"/>
    <w:rsid w:val="35FB7F8E"/>
    <w:rsid w:val="3601230C"/>
    <w:rsid w:val="36015455"/>
    <w:rsid w:val="36074A7F"/>
    <w:rsid w:val="36130EC7"/>
    <w:rsid w:val="361614B1"/>
    <w:rsid w:val="36344E76"/>
    <w:rsid w:val="3634554E"/>
    <w:rsid w:val="36372C24"/>
    <w:rsid w:val="363C4DEE"/>
    <w:rsid w:val="36597E41"/>
    <w:rsid w:val="36674E48"/>
    <w:rsid w:val="36720DA8"/>
    <w:rsid w:val="36750A67"/>
    <w:rsid w:val="368005A4"/>
    <w:rsid w:val="36835E6A"/>
    <w:rsid w:val="36871A9C"/>
    <w:rsid w:val="368D3D3E"/>
    <w:rsid w:val="36923549"/>
    <w:rsid w:val="36975D4F"/>
    <w:rsid w:val="36A14795"/>
    <w:rsid w:val="36A93B22"/>
    <w:rsid w:val="36B50ACB"/>
    <w:rsid w:val="36B74F1C"/>
    <w:rsid w:val="36B75FBF"/>
    <w:rsid w:val="36BD0C45"/>
    <w:rsid w:val="370A0339"/>
    <w:rsid w:val="372343AE"/>
    <w:rsid w:val="373E113C"/>
    <w:rsid w:val="374E6F28"/>
    <w:rsid w:val="37585548"/>
    <w:rsid w:val="375A4BCA"/>
    <w:rsid w:val="37696DCB"/>
    <w:rsid w:val="376A2BED"/>
    <w:rsid w:val="37734130"/>
    <w:rsid w:val="37814FA5"/>
    <w:rsid w:val="378E2D18"/>
    <w:rsid w:val="37AF3387"/>
    <w:rsid w:val="37C036A0"/>
    <w:rsid w:val="37C0428D"/>
    <w:rsid w:val="37CA01F4"/>
    <w:rsid w:val="37CD55EE"/>
    <w:rsid w:val="37E00298"/>
    <w:rsid w:val="37E1109A"/>
    <w:rsid w:val="37F62D87"/>
    <w:rsid w:val="380472B3"/>
    <w:rsid w:val="380D7DD7"/>
    <w:rsid w:val="380F4FE6"/>
    <w:rsid w:val="381C4571"/>
    <w:rsid w:val="382216D7"/>
    <w:rsid w:val="382611A3"/>
    <w:rsid w:val="383430F6"/>
    <w:rsid w:val="38443AFE"/>
    <w:rsid w:val="38486C0E"/>
    <w:rsid w:val="384D2BD3"/>
    <w:rsid w:val="387D65FD"/>
    <w:rsid w:val="387E0FDF"/>
    <w:rsid w:val="387E6AA8"/>
    <w:rsid w:val="387F1390"/>
    <w:rsid w:val="38812C3F"/>
    <w:rsid w:val="388365F5"/>
    <w:rsid w:val="389E5191"/>
    <w:rsid w:val="38B302F9"/>
    <w:rsid w:val="38C533D9"/>
    <w:rsid w:val="38C82CB9"/>
    <w:rsid w:val="38C82D59"/>
    <w:rsid w:val="38CF17B1"/>
    <w:rsid w:val="38D96BC3"/>
    <w:rsid w:val="38ED0DCF"/>
    <w:rsid w:val="38F12CD3"/>
    <w:rsid w:val="38F94775"/>
    <w:rsid w:val="38FD3E94"/>
    <w:rsid w:val="39250974"/>
    <w:rsid w:val="392853F4"/>
    <w:rsid w:val="3929719C"/>
    <w:rsid w:val="392971ED"/>
    <w:rsid w:val="392F530D"/>
    <w:rsid w:val="39325651"/>
    <w:rsid w:val="393C6ED0"/>
    <w:rsid w:val="39490127"/>
    <w:rsid w:val="395D0BF4"/>
    <w:rsid w:val="39982D65"/>
    <w:rsid w:val="399A1E48"/>
    <w:rsid w:val="399D5494"/>
    <w:rsid w:val="39A73C34"/>
    <w:rsid w:val="39C66799"/>
    <w:rsid w:val="39CC45D5"/>
    <w:rsid w:val="39CC497B"/>
    <w:rsid w:val="39D163B9"/>
    <w:rsid w:val="39D91A7A"/>
    <w:rsid w:val="39E00648"/>
    <w:rsid w:val="39E00D64"/>
    <w:rsid w:val="39E66E3B"/>
    <w:rsid w:val="3A0C6C42"/>
    <w:rsid w:val="3A127C30"/>
    <w:rsid w:val="3A156792"/>
    <w:rsid w:val="3A1F234D"/>
    <w:rsid w:val="3A2814E9"/>
    <w:rsid w:val="3A37318F"/>
    <w:rsid w:val="3A464B75"/>
    <w:rsid w:val="3A4705D9"/>
    <w:rsid w:val="3A4818A4"/>
    <w:rsid w:val="3A52002D"/>
    <w:rsid w:val="3A560DAB"/>
    <w:rsid w:val="3A571EB2"/>
    <w:rsid w:val="3A5B0034"/>
    <w:rsid w:val="3A5E4C24"/>
    <w:rsid w:val="3A75111C"/>
    <w:rsid w:val="3A8106BD"/>
    <w:rsid w:val="3A8302D4"/>
    <w:rsid w:val="3A872856"/>
    <w:rsid w:val="3A945022"/>
    <w:rsid w:val="3A951776"/>
    <w:rsid w:val="3A98265A"/>
    <w:rsid w:val="3AAB7D6D"/>
    <w:rsid w:val="3AB02FA5"/>
    <w:rsid w:val="3AC03D2A"/>
    <w:rsid w:val="3ACA4067"/>
    <w:rsid w:val="3ACC14DD"/>
    <w:rsid w:val="3AD21A39"/>
    <w:rsid w:val="3AD852CC"/>
    <w:rsid w:val="3AE64D7F"/>
    <w:rsid w:val="3AEC222F"/>
    <w:rsid w:val="3B3760F2"/>
    <w:rsid w:val="3B3763D1"/>
    <w:rsid w:val="3B670F85"/>
    <w:rsid w:val="3B793606"/>
    <w:rsid w:val="3B840582"/>
    <w:rsid w:val="3B8B4EFE"/>
    <w:rsid w:val="3BDF1D94"/>
    <w:rsid w:val="3BE42E37"/>
    <w:rsid w:val="3BE80786"/>
    <w:rsid w:val="3BF84C04"/>
    <w:rsid w:val="3C0C409C"/>
    <w:rsid w:val="3C2D2B00"/>
    <w:rsid w:val="3C2F0C3F"/>
    <w:rsid w:val="3C2F6E1E"/>
    <w:rsid w:val="3C4F64BA"/>
    <w:rsid w:val="3C571F32"/>
    <w:rsid w:val="3C597D99"/>
    <w:rsid w:val="3C687118"/>
    <w:rsid w:val="3C6E1A55"/>
    <w:rsid w:val="3C706E90"/>
    <w:rsid w:val="3C767EEA"/>
    <w:rsid w:val="3C812E4B"/>
    <w:rsid w:val="3C8D7A42"/>
    <w:rsid w:val="3CA1449A"/>
    <w:rsid w:val="3CA1529C"/>
    <w:rsid w:val="3CB1566E"/>
    <w:rsid w:val="3CB60D47"/>
    <w:rsid w:val="3CD259ED"/>
    <w:rsid w:val="3CD83BB3"/>
    <w:rsid w:val="3CDA245A"/>
    <w:rsid w:val="3CE533DA"/>
    <w:rsid w:val="3CEA43DA"/>
    <w:rsid w:val="3CEF221F"/>
    <w:rsid w:val="3CF80E44"/>
    <w:rsid w:val="3D155512"/>
    <w:rsid w:val="3D1E06B7"/>
    <w:rsid w:val="3D314871"/>
    <w:rsid w:val="3D383E4E"/>
    <w:rsid w:val="3D3B262F"/>
    <w:rsid w:val="3D4A1AD8"/>
    <w:rsid w:val="3D5C0ECA"/>
    <w:rsid w:val="3D6452C4"/>
    <w:rsid w:val="3D7C3859"/>
    <w:rsid w:val="3D970895"/>
    <w:rsid w:val="3D9B23BD"/>
    <w:rsid w:val="3DB63298"/>
    <w:rsid w:val="3DCC651F"/>
    <w:rsid w:val="3DDC7DCD"/>
    <w:rsid w:val="3E027FBC"/>
    <w:rsid w:val="3E12290A"/>
    <w:rsid w:val="3E143A42"/>
    <w:rsid w:val="3E15655F"/>
    <w:rsid w:val="3E2B587A"/>
    <w:rsid w:val="3E332389"/>
    <w:rsid w:val="3E3C2552"/>
    <w:rsid w:val="3E3C3916"/>
    <w:rsid w:val="3E3C63FC"/>
    <w:rsid w:val="3E3E74C9"/>
    <w:rsid w:val="3E5C0828"/>
    <w:rsid w:val="3E5F1305"/>
    <w:rsid w:val="3E703177"/>
    <w:rsid w:val="3E726B96"/>
    <w:rsid w:val="3E7A20D1"/>
    <w:rsid w:val="3E832EAB"/>
    <w:rsid w:val="3E8B30D2"/>
    <w:rsid w:val="3E95467F"/>
    <w:rsid w:val="3E9D2874"/>
    <w:rsid w:val="3E9F6695"/>
    <w:rsid w:val="3EB837DF"/>
    <w:rsid w:val="3ED66A2F"/>
    <w:rsid w:val="3ED951C1"/>
    <w:rsid w:val="3EDA0523"/>
    <w:rsid w:val="3EE02A81"/>
    <w:rsid w:val="3EE52F89"/>
    <w:rsid w:val="3EF166E2"/>
    <w:rsid w:val="3F0215D7"/>
    <w:rsid w:val="3F137373"/>
    <w:rsid w:val="3F141D55"/>
    <w:rsid w:val="3F1E31CF"/>
    <w:rsid w:val="3F2562A9"/>
    <w:rsid w:val="3F316DAB"/>
    <w:rsid w:val="3F32667F"/>
    <w:rsid w:val="3F464795"/>
    <w:rsid w:val="3F55089F"/>
    <w:rsid w:val="3F655D86"/>
    <w:rsid w:val="3F6B271C"/>
    <w:rsid w:val="3F710F55"/>
    <w:rsid w:val="3F7874B3"/>
    <w:rsid w:val="3F7A428D"/>
    <w:rsid w:val="3F9A79C9"/>
    <w:rsid w:val="3FB60937"/>
    <w:rsid w:val="3FB91177"/>
    <w:rsid w:val="3FC03791"/>
    <w:rsid w:val="3FC079FF"/>
    <w:rsid w:val="3FC27987"/>
    <w:rsid w:val="3FC4377B"/>
    <w:rsid w:val="3FC45529"/>
    <w:rsid w:val="3FC574F3"/>
    <w:rsid w:val="3FD074F4"/>
    <w:rsid w:val="3FE9638E"/>
    <w:rsid w:val="3FF322B2"/>
    <w:rsid w:val="4004039A"/>
    <w:rsid w:val="40077B0C"/>
    <w:rsid w:val="40082889"/>
    <w:rsid w:val="400A6A9B"/>
    <w:rsid w:val="40186A6B"/>
    <w:rsid w:val="401E2B79"/>
    <w:rsid w:val="402563FA"/>
    <w:rsid w:val="402661E4"/>
    <w:rsid w:val="40404FDD"/>
    <w:rsid w:val="40452BBD"/>
    <w:rsid w:val="405368AD"/>
    <w:rsid w:val="406F0816"/>
    <w:rsid w:val="407817DF"/>
    <w:rsid w:val="40786D85"/>
    <w:rsid w:val="407A6407"/>
    <w:rsid w:val="408336A1"/>
    <w:rsid w:val="40A21476"/>
    <w:rsid w:val="40AC6FF4"/>
    <w:rsid w:val="40BF2677"/>
    <w:rsid w:val="40C20BFD"/>
    <w:rsid w:val="40DF5ACF"/>
    <w:rsid w:val="41452699"/>
    <w:rsid w:val="414A5F02"/>
    <w:rsid w:val="41597785"/>
    <w:rsid w:val="41670862"/>
    <w:rsid w:val="416D27D0"/>
    <w:rsid w:val="417F133E"/>
    <w:rsid w:val="41832427"/>
    <w:rsid w:val="419E7FFC"/>
    <w:rsid w:val="41AE140A"/>
    <w:rsid w:val="41B00741"/>
    <w:rsid w:val="41C87584"/>
    <w:rsid w:val="41E41EB2"/>
    <w:rsid w:val="41E97007"/>
    <w:rsid w:val="41EB0134"/>
    <w:rsid w:val="4200449D"/>
    <w:rsid w:val="42086587"/>
    <w:rsid w:val="420D3981"/>
    <w:rsid w:val="42154762"/>
    <w:rsid w:val="42181B5C"/>
    <w:rsid w:val="4224225E"/>
    <w:rsid w:val="422932ED"/>
    <w:rsid w:val="422B4F64"/>
    <w:rsid w:val="423224F1"/>
    <w:rsid w:val="423A3BCC"/>
    <w:rsid w:val="42424032"/>
    <w:rsid w:val="424E57D2"/>
    <w:rsid w:val="42576B28"/>
    <w:rsid w:val="4258029E"/>
    <w:rsid w:val="426E5C20"/>
    <w:rsid w:val="426E79CE"/>
    <w:rsid w:val="4274774E"/>
    <w:rsid w:val="42925DB2"/>
    <w:rsid w:val="4299679D"/>
    <w:rsid w:val="42A11B51"/>
    <w:rsid w:val="42A82014"/>
    <w:rsid w:val="42A85E68"/>
    <w:rsid w:val="42B26C49"/>
    <w:rsid w:val="42DC0DDB"/>
    <w:rsid w:val="42DD77E3"/>
    <w:rsid w:val="42E52B59"/>
    <w:rsid w:val="42E61C5A"/>
    <w:rsid w:val="430622FC"/>
    <w:rsid w:val="430B3B67"/>
    <w:rsid w:val="430E2A1F"/>
    <w:rsid w:val="431F6F1A"/>
    <w:rsid w:val="433A6FE6"/>
    <w:rsid w:val="43414752"/>
    <w:rsid w:val="434150E2"/>
    <w:rsid w:val="43480868"/>
    <w:rsid w:val="43504A37"/>
    <w:rsid w:val="4350713C"/>
    <w:rsid w:val="43597291"/>
    <w:rsid w:val="436653E0"/>
    <w:rsid w:val="436672AC"/>
    <w:rsid w:val="436C03B1"/>
    <w:rsid w:val="438A1420"/>
    <w:rsid w:val="438D7088"/>
    <w:rsid w:val="43903D74"/>
    <w:rsid w:val="43A263BB"/>
    <w:rsid w:val="43A833B4"/>
    <w:rsid w:val="43AC1405"/>
    <w:rsid w:val="43B07060"/>
    <w:rsid w:val="43B4696F"/>
    <w:rsid w:val="43C4431A"/>
    <w:rsid w:val="43CE66E0"/>
    <w:rsid w:val="43F244FE"/>
    <w:rsid w:val="4404415D"/>
    <w:rsid w:val="440B5AEC"/>
    <w:rsid w:val="4425370C"/>
    <w:rsid w:val="442C0270"/>
    <w:rsid w:val="44365E73"/>
    <w:rsid w:val="444111FF"/>
    <w:rsid w:val="44431A60"/>
    <w:rsid w:val="44485675"/>
    <w:rsid w:val="444912FF"/>
    <w:rsid w:val="444B167E"/>
    <w:rsid w:val="447637BC"/>
    <w:rsid w:val="447C0AC8"/>
    <w:rsid w:val="448E07FB"/>
    <w:rsid w:val="44A928CC"/>
    <w:rsid w:val="44A973E3"/>
    <w:rsid w:val="44B33B29"/>
    <w:rsid w:val="44B951CC"/>
    <w:rsid w:val="44BB636E"/>
    <w:rsid w:val="44C66F15"/>
    <w:rsid w:val="44CD14E0"/>
    <w:rsid w:val="44D51F86"/>
    <w:rsid w:val="44D8515A"/>
    <w:rsid w:val="44DA711D"/>
    <w:rsid w:val="44DB26F1"/>
    <w:rsid w:val="44DF0A86"/>
    <w:rsid w:val="44EA06CE"/>
    <w:rsid w:val="44F20B0B"/>
    <w:rsid w:val="451E392D"/>
    <w:rsid w:val="452237D6"/>
    <w:rsid w:val="45260A34"/>
    <w:rsid w:val="452E5F4C"/>
    <w:rsid w:val="453A644F"/>
    <w:rsid w:val="454B7F97"/>
    <w:rsid w:val="45570BED"/>
    <w:rsid w:val="45612018"/>
    <w:rsid w:val="45723C79"/>
    <w:rsid w:val="457D4222"/>
    <w:rsid w:val="457F0236"/>
    <w:rsid w:val="458946E9"/>
    <w:rsid w:val="45A47C0E"/>
    <w:rsid w:val="45AD2F03"/>
    <w:rsid w:val="45B84A42"/>
    <w:rsid w:val="45BB3DA2"/>
    <w:rsid w:val="45BD5A54"/>
    <w:rsid w:val="45BE27E4"/>
    <w:rsid w:val="45CD7313"/>
    <w:rsid w:val="45F95DEC"/>
    <w:rsid w:val="45FE0AE9"/>
    <w:rsid w:val="46107633"/>
    <w:rsid w:val="462A0D32"/>
    <w:rsid w:val="46484079"/>
    <w:rsid w:val="46577FD6"/>
    <w:rsid w:val="466B5306"/>
    <w:rsid w:val="467311CC"/>
    <w:rsid w:val="467E25FD"/>
    <w:rsid w:val="46804AC7"/>
    <w:rsid w:val="46823F4C"/>
    <w:rsid w:val="468F1A4B"/>
    <w:rsid w:val="469F3711"/>
    <w:rsid w:val="46A053AB"/>
    <w:rsid w:val="46A13FE1"/>
    <w:rsid w:val="46A2560E"/>
    <w:rsid w:val="46AA5246"/>
    <w:rsid w:val="46B23E62"/>
    <w:rsid w:val="46BF1272"/>
    <w:rsid w:val="46C551E9"/>
    <w:rsid w:val="46C6757A"/>
    <w:rsid w:val="46D41B1D"/>
    <w:rsid w:val="46D955A7"/>
    <w:rsid w:val="46E22556"/>
    <w:rsid w:val="46E56DD6"/>
    <w:rsid w:val="47020FC5"/>
    <w:rsid w:val="4703610C"/>
    <w:rsid w:val="47046B53"/>
    <w:rsid w:val="470F2C6D"/>
    <w:rsid w:val="47133957"/>
    <w:rsid w:val="475963AD"/>
    <w:rsid w:val="47596E9F"/>
    <w:rsid w:val="47601659"/>
    <w:rsid w:val="47613FA5"/>
    <w:rsid w:val="47637D1D"/>
    <w:rsid w:val="478349BA"/>
    <w:rsid w:val="479A186F"/>
    <w:rsid w:val="47A07E0C"/>
    <w:rsid w:val="47AC3472"/>
    <w:rsid w:val="47C8415E"/>
    <w:rsid w:val="47DE7578"/>
    <w:rsid w:val="47E24744"/>
    <w:rsid w:val="47E85025"/>
    <w:rsid w:val="47EB386F"/>
    <w:rsid w:val="47FE1767"/>
    <w:rsid w:val="480B6240"/>
    <w:rsid w:val="480C2A3F"/>
    <w:rsid w:val="480D546A"/>
    <w:rsid w:val="482A4765"/>
    <w:rsid w:val="483556DB"/>
    <w:rsid w:val="48396CD0"/>
    <w:rsid w:val="483E0063"/>
    <w:rsid w:val="485365AC"/>
    <w:rsid w:val="486355FF"/>
    <w:rsid w:val="4870272E"/>
    <w:rsid w:val="48725244"/>
    <w:rsid w:val="48744ADB"/>
    <w:rsid w:val="487E12BC"/>
    <w:rsid w:val="488006FB"/>
    <w:rsid w:val="48852174"/>
    <w:rsid w:val="488753CA"/>
    <w:rsid w:val="488D0130"/>
    <w:rsid w:val="48957328"/>
    <w:rsid w:val="48A91760"/>
    <w:rsid w:val="48DA5DBD"/>
    <w:rsid w:val="48F00ECF"/>
    <w:rsid w:val="48F75DB0"/>
    <w:rsid w:val="48FA7DB5"/>
    <w:rsid w:val="48FD1AAC"/>
    <w:rsid w:val="49025314"/>
    <w:rsid w:val="491B2F55"/>
    <w:rsid w:val="49287916"/>
    <w:rsid w:val="49496A9F"/>
    <w:rsid w:val="49560405"/>
    <w:rsid w:val="49880E97"/>
    <w:rsid w:val="49940662"/>
    <w:rsid w:val="499918F5"/>
    <w:rsid w:val="49993B51"/>
    <w:rsid w:val="49AE2DA6"/>
    <w:rsid w:val="49AF5037"/>
    <w:rsid w:val="49D20523"/>
    <w:rsid w:val="49DA50C7"/>
    <w:rsid w:val="49DC57A5"/>
    <w:rsid w:val="49DC7715"/>
    <w:rsid w:val="49DD1FDE"/>
    <w:rsid w:val="49EB7B56"/>
    <w:rsid w:val="4A0008D3"/>
    <w:rsid w:val="4A023139"/>
    <w:rsid w:val="4A123F85"/>
    <w:rsid w:val="4A1672C9"/>
    <w:rsid w:val="4A173ABF"/>
    <w:rsid w:val="4A19215D"/>
    <w:rsid w:val="4A266B52"/>
    <w:rsid w:val="4A363944"/>
    <w:rsid w:val="4A3B1FCE"/>
    <w:rsid w:val="4A4200BE"/>
    <w:rsid w:val="4A7B576F"/>
    <w:rsid w:val="4A837208"/>
    <w:rsid w:val="4A873D23"/>
    <w:rsid w:val="4A9C3D82"/>
    <w:rsid w:val="4A9C7F45"/>
    <w:rsid w:val="4AAD305D"/>
    <w:rsid w:val="4AB80F92"/>
    <w:rsid w:val="4ABA38C8"/>
    <w:rsid w:val="4AC62A9D"/>
    <w:rsid w:val="4ACD70AD"/>
    <w:rsid w:val="4ACF1226"/>
    <w:rsid w:val="4AD36F68"/>
    <w:rsid w:val="4AD64BDE"/>
    <w:rsid w:val="4ADB1FE2"/>
    <w:rsid w:val="4AE42F23"/>
    <w:rsid w:val="4AF00DD1"/>
    <w:rsid w:val="4AF561A9"/>
    <w:rsid w:val="4B20746B"/>
    <w:rsid w:val="4B2D2C81"/>
    <w:rsid w:val="4B3B5C2E"/>
    <w:rsid w:val="4B3C128B"/>
    <w:rsid w:val="4B3E50C2"/>
    <w:rsid w:val="4B45356B"/>
    <w:rsid w:val="4B5C12B7"/>
    <w:rsid w:val="4B773605"/>
    <w:rsid w:val="4B7B576B"/>
    <w:rsid w:val="4B9009B5"/>
    <w:rsid w:val="4BAB1C93"/>
    <w:rsid w:val="4BC214A2"/>
    <w:rsid w:val="4BE21F6D"/>
    <w:rsid w:val="4BE9395F"/>
    <w:rsid w:val="4BEA505D"/>
    <w:rsid w:val="4BEA7576"/>
    <w:rsid w:val="4BEB0728"/>
    <w:rsid w:val="4BF947AC"/>
    <w:rsid w:val="4C017B05"/>
    <w:rsid w:val="4C062FD1"/>
    <w:rsid w:val="4C160075"/>
    <w:rsid w:val="4C2F5D43"/>
    <w:rsid w:val="4C4113CF"/>
    <w:rsid w:val="4C4A0649"/>
    <w:rsid w:val="4C664A17"/>
    <w:rsid w:val="4C6E4CA0"/>
    <w:rsid w:val="4C7E5ECA"/>
    <w:rsid w:val="4C810E93"/>
    <w:rsid w:val="4C876AA5"/>
    <w:rsid w:val="4C8A2ADB"/>
    <w:rsid w:val="4CA76B86"/>
    <w:rsid w:val="4CAC69C6"/>
    <w:rsid w:val="4CBF1232"/>
    <w:rsid w:val="4CC56132"/>
    <w:rsid w:val="4CCE3E8B"/>
    <w:rsid w:val="4CD174D7"/>
    <w:rsid w:val="4CD44CCB"/>
    <w:rsid w:val="4CE76320"/>
    <w:rsid w:val="4CE76B0A"/>
    <w:rsid w:val="4CEB2D61"/>
    <w:rsid w:val="4CEB4EC0"/>
    <w:rsid w:val="4CF7058C"/>
    <w:rsid w:val="4CF842DA"/>
    <w:rsid w:val="4D0A4797"/>
    <w:rsid w:val="4D0E00FB"/>
    <w:rsid w:val="4D176606"/>
    <w:rsid w:val="4D2C1219"/>
    <w:rsid w:val="4D331F40"/>
    <w:rsid w:val="4D425940"/>
    <w:rsid w:val="4D451D9A"/>
    <w:rsid w:val="4D491639"/>
    <w:rsid w:val="4D4E1657"/>
    <w:rsid w:val="4D56136F"/>
    <w:rsid w:val="4D6B3488"/>
    <w:rsid w:val="4D74050B"/>
    <w:rsid w:val="4D747EEA"/>
    <w:rsid w:val="4D7D140D"/>
    <w:rsid w:val="4D7F33D7"/>
    <w:rsid w:val="4D867F38"/>
    <w:rsid w:val="4D8A1A47"/>
    <w:rsid w:val="4DA568A3"/>
    <w:rsid w:val="4DAB1FDE"/>
    <w:rsid w:val="4DAC584E"/>
    <w:rsid w:val="4DAE2A9E"/>
    <w:rsid w:val="4DB07B6F"/>
    <w:rsid w:val="4DB210B7"/>
    <w:rsid w:val="4DBD0F93"/>
    <w:rsid w:val="4DBE6397"/>
    <w:rsid w:val="4DC1754C"/>
    <w:rsid w:val="4DC30625"/>
    <w:rsid w:val="4DCB3F26"/>
    <w:rsid w:val="4DCC6685"/>
    <w:rsid w:val="4DCE77D9"/>
    <w:rsid w:val="4DDA41EB"/>
    <w:rsid w:val="4DDA685F"/>
    <w:rsid w:val="4DDD3C5A"/>
    <w:rsid w:val="4DE42C73"/>
    <w:rsid w:val="4DEC4FB0"/>
    <w:rsid w:val="4E067654"/>
    <w:rsid w:val="4E075D8A"/>
    <w:rsid w:val="4E223A45"/>
    <w:rsid w:val="4E326A7F"/>
    <w:rsid w:val="4E4361B3"/>
    <w:rsid w:val="4E4E04CC"/>
    <w:rsid w:val="4E6030DD"/>
    <w:rsid w:val="4E6B0186"/>
    <w:rsid w:val="4E6D3230"/>
    <w:rsid w:val="4E717C59"/>
    <w:rsid w:val="4E724C90"/>
    <w:rsid w:val="4E7E543D"/>
    <w:rsid w:val="4E817CB8"/>
    <w:rsid w:val="4E8640D1"/>
    <w:rsid w:val="4E870795"/>
    <w:rsid w:val="4E8C2811"/>
    <w:rsid w:val="4E8E33B9"/>
    <w:rsid w:val="4EA824BA"/>
    <w:rsid w:val="4EB235F2"/>
    <w:rsid w:val="4EB47EFD"/>
    <w:rsid w:val="4EC00FAD"/>
    <w:rsid w:val="4ECE0172"/>
    <w:rsid w:val="4ED1405E"/>
    <w:rsid w:val="4ED9586C"/>
    <w:rsid w:val="4EE15F2D"/>
    <w:rsid w:val="4F0447C2"/>
    <w:rsid w:val="4F1F5DEC"/>
    <w:rsid w:val="4F2002A2"/>
    <w:rsid w:val="4F3115BC"/>
    <w:rsid w:val="4F367449"/>
    <w:rsid w:val="4F387B9A"/>
    <w:rsid w:val="4F4302F4"/>
    <w:rsid w:val="4F4934B7"/>
    <w:rsid w:val="4F5663A6"/>
    <w:rsid w:val="4F5E3164"/>
    <w:rsid w:val="4F5F526E"/>
    <w:rsid w:val="4F8016F7"/>
    <w:rsid w:val="4F803DEB"/>
    <w:rsid w:val="4F83534C"/>
    <w:rsid w:val="4F8F4C36"/>
    <w:rsid w:val="4F912F4E"/>
    <w:rsid w:val="4F9843DC"/>
    <w:rsid w:val="4F9F0090"/>
    <w:rsid w:val="4FA937A7"/>
    <w:rsid w:val="4FB355BA"/>
    <w:rsid w:val="4FBF5D0D"/>
    <w:rsid w:val="4FC62A8C"/>
    <w:rsid w:val="4FD10E19"/>
    <w:rsid w:val="4FD11901"/>
    <w:rsid w:val="4FD45EB3"/>
    <w:rsid w:val="4FD74CEB"/>
    <w:rsid w:val="4FE20F0D"/>
    <w:rsid w:val="4FE51552"/>
    <w:rsid w:val="4FF21C3E"/>
    <w:rsid w:val="4FFA0037"/>
    <w:rsid w:val="5006393C"/>
    <w:rsid w:val="501871E4"/>
    <w:rsid w:val="501C792F"/>
    <w:rsid w:val="50285660"/>
    <w:rsid w:val="502E69EF"/>
    <w:rsid w:val="50504C4B"/>
    <w:rsid w:val="505B5E9B"/>
    <w:rsid w:val="505C17AE"/>
    <w:rsid w:val="50765380"/>
    <w:rsid w:val="5076546A"/>
    <w:rsid w:val="507C1E50"/>
    <w:rsid w:val="507C4219"/>
    <w:rsid w:val="50836D3A"/>
    <w:rsid w:val="50997AB9"/>
    <w:rsid w:val="509C6E7C"/>
    <w:rsid w:val="50B1552B"/>
    <w:rsid w:val="50B4752B"/>
    <w:rsid w:val="50CE2F82"/>
    <w:rsid w:val="50DF1CCF"/>
    <w:rsid w:val="50EE69B4"/>
    <w:rsid w:val="50F847D0"/>
    <w:rsid w:val="510462A4"/>
    <w:rsid w:val="510C53F7"/>
    <w:rsid w:val="51453FF0"/>
    <w:rsid w:val="5162104E"/>
    <w:rsid w:val="51644DBE"/>
    <w:rsid w:val="51705511"/>
    <w:rsid w:val="517A4432"/>
    <w:rsid w:val="517E73A1"/>
    <w:rsid w:val="51874608"/>
    <w:rsid w:val="51B118A2"/>
    <w:rsid w:val="51BB7069"/>
    <w:rsid w:val="51C24ABD"/>
    <w:rsid w:val="51D966BD"/>
    <w:rsid w:val="51DC3FD4"/>
    <w:rsid w:val="51DF2696"/>
    <w:rsid w:val="51E57C49"/>
    <w:rsid w:val="51FA302C"/>
    <w:rsid w:val="521C154C"/>
    <w:rsid w:val="521F6422"/>
    <w:rsid w:val="522402D4"/>
    <w:rsid w:val="522D117C"/>
    <w:rsid w:val="524D19FA"/>
    <w:rsid w:val="52576A5A"/>
    <w:rsid w:val="525F5585"/>
    <w:rsid w:val="526F3A1A"/>
    <w:rsid w:val="5277467D"/>
    <w:rsid w:val="5281374D"/>
    <w:rsid w:val="528B7935"/>
    <w:rsid w:val="52A00FB0"/>
    <w:rsid w:val="52B14033"/>
    <w:rsid w:val="52C005DB"/>
    <w:rsid w:val="52C8189C"/>
    <w:rsid w:val="52DF6A40"/>
    <w:rsid w:val="52E8557B"/>
    <w:rsid w:val="52F62EFC"/>
    <w:rsid w:val="530B071F"/>
    <w:rsid w:val="53144CAA"/>
    <w:rsid w:val="531C193F"/>
    <w:rsid w:val="53237D85"/>
    <w:rsid w:val="534D5DA0"/>
    <w:rsid w:val="5365781A"/>
    <w:rsid w:val="536F17F8"/>
    <w:rsid w:val="5385582A"/>
    <w:rsid w:val="538C6674"/>
    <w:rsid w:val="538F119C"/>
    <w:rsid w:val="53923E52"/>
    <w:rsid w:val="539528F8"/>
    <w:rsid w:val="53A039CC"/>
    <w:rsid w:val="53A1505A"/>
    <w:rsid w:val="53A76E72"/>
    <w:rsid w:val="53B47B37"/>
    <w:rsid w:val="53CF544C"/>
    <w:rsid w:val="53CF6434"/>
    <w:rsid w:val="53D0139F"/>
    <w:rsid w:val="53D9454D"/>
    <w:rsid w:val="53DF1A38"/>
    <w:rsid w:val="53FB308C"/>
    <w:rsid w:val="54063E08"/>
    <w:rsid w:val="540746A4"/>
    <w:rsid w:val="540B32CF"/>
    <w:rsid w:val="54117A60"/>
    <w:rsid w:val="5413297B"/>
    <w:rsid w:val="54143A8C"/>
    <w:rsid w:val="541A471A"/>
    <w:rsid w:val="543437E8"/>
    <w:rsid w:val="543A2620"/>
    <w:rsid w:val="5454111A"/>
    <w:rsid w:val="545E3D46"/>
    <w:rsid w:val="54893416"/>
    <w:rsid w:val="549A4653"/>
    <w:rsid w:val="54A83213"/>
    <w:rsid w:val="54B27BEE"/>
    <w:rsid w:val="54D74CB2"/>
    <w:rsid w:val="54D7595E"/>
    <w:rsid w:val="54D93D90"/>
    <w:rsid w:val="54DF6509"/>
    <w:rsid w:val="54E04AB2"/>
    <w:rsid w:val="54F621D1"/>
    <w:rsid w:val="54F73313"/>
    <w:rsid w:val="54F80955"/>
    <w:rsid w:val="54FF0D12"/>
    <w:rsid w:val="550112BA"/>
    <w:rsid w:val="55173EF5"/>
    <w:rsid w:val="552503C0"/>
    <w:rsid w:val="552555D1"/>
    <w:rsid w:val="55256612"/>
    <w:rsid w:val="552D3F4B"/>
    <w:rsid w:val="555170A7"/>
    <w:rsid w:val="5587536D"/>
    <w:rsid w:val="55967510"/>
    <w:rsid w:val="55982FA4"/>
    <w:rsid w:val="559B174B"/>
    <w:rsid w:val="55A734CB"/>
    <w:rsid w:val="55AE01B3"/>
    <w:rsid w:val="55CB6554"/>
    <w:rsid w:val="55CE0CF4"/>
    <w:rsid w:val="55D45164"/>
    <w:rsid w:val="55DC4079"/>
    <w:rsid w:val="55E82C9F"/>
    <w:rsid w:val="55EE542D"/>
    <w:rsid w:val="55EE706F"/>
    <w:rsid w:val="55F34962"/>
    <w:rsid w:val="55F45FE4"/>
    <w:rsid w:val="55F53170"/>
    <w:rsid w:val="55FF3307"/>
    <w:rsid w:val="560B5F54"/>
    <w:rsid w:val="561D19DF"/>
    <w:rsid w:val="56310FE7"/>
    <w:rsid w:val="564872B7"/>
    <w:rsid w:val="565B5D36"/>
    <w:rsid w:val="56673C9B"/>
    <w:rsid w:val="567A0BDF"/>
    <w:rsid w:val="56AF7EA1"/>
    <w:rsid w:val="56B22A9C"/>
    <w:rsid w:val="56D05170"/>
    <w:rsid w:val="56D90F7A"/>
    <w:rsid w:val="56D952A8"/>
    <w:rsid w:val="56E3312C"/>
    <w:rsid w:val="56E524FD"/>
    <w:rsid w:val="56F82F49"/>
    <w:rsid w:val="570044DC"/>
    <w:rsid w:val="57040AB0"/>
    <w:rsid w:val="57104080"/>
    <w:rsid w:val="571050A0"/>
    <w:rsid w:val="571132F2"/>
    <w:rsid w:val="5722214C"/>
    <w:rsid w:val="573C5EAB"/>
    <w:rsid w:val="574134AB"/>
    <w:rsid w:val="57473CD8"/>
    <w:rsid w:val="574808E2"/>
    <w:rsid w:val="57713D91"/>
    <w:rsid w:val="57875151"/>
    <w:rsid w:val="5795690B"/>
    <w:rsid w:val="579932E7"/>
    <w:rsid w:val="579A2AEC"/>
    <w:rsid w:val="579E79C6"/>
    <w:rsid w:val="57A23F4A"/>
    <w:rsid w:val="57B669EE"/>
    <w:rsid w:val="57B72A76"/>
    <w:rsid w:val="57BB325E"/>
    <w:rsid w:val="57BE6921"/>
    <w:rsid w:val="57C3426C"/>
    <w:rsid w:val="57C96849"/>
    <w:rsid w:val="57CD4D3F"/>
    <w:rsid w:val="57CE1F93"/>
    <w:rsid w:val="57D04F5B"/>
    <w:rsid w:val="57E5652D"/>
    <w:rsid w:val="57E67137"/>
    <w:rsid w:val="57EF4CB5"/>
    <w:rsid w:val="57FA6E46"/>
    <w:rsid w:val="57FD466A"/>
    <w:rsid w:val="580A59C7"/>
    <w:rsid w:val="580C1B18"/>
    <w:rsid w:val="580E15DF"/>
    <w:rsid w:val="580E19EF"/>
    <w:rsid w:val="58353D5C"/>
    <w:rsid w:val="58437F14"/>
    <w:rsid w:val="5844083F"/>
    <w:rsid w:val="586373F7"/>
    <w:rsid w:val="586E02D0"/>
    <w:rsid w:val="587F7076"/>
    <w:rsid w:val="588743D1"/>
    <w:rsid w:val="5887701A"/>
    <w:rsid w:val="5888546B"/>
    <w:rsid w:val="5895585D"/>
    <w:rsid w:val="58A3713D"/>
    <w:rsid w:val="58C344FF"/>
    <w:rsid w:val="58CE0D6F"/>
    <w:rsid w:val="58D534FD"/>
    <w:rsid w:val="58D81171"/>
    <w:rsid w:val="58FC02AD"/>
    <w:rsid w:val="5915074C"/>
    <w:rsid w:val="59171710"/>
    <w:rsid w:val="59236B44"/>
    <w:rsid w:val="592F5CB1"/>
    <w:rsid w:val="59495171"/>
    <w:rsid w:val="59637DED"/>
    <w:rsid w:val="597162CA"/>
    <w:rsid w:val="5986358F"/>
    <w:rsid w:val="59891163"/>
    <w:rsid w:val="59A13EEB"/>
    <w:rsid w:val="59B12B6A"/>
    <w:rsid w:val="59B5509A"/>
    <w:rsid w:val="59BD5424"/>
    <w:rsid w:val="59C0439F"/>
    <w:rsid w:val="59C906CB"/>
    <w:rsid w:val="59DF2B60"/>
    <w:rsid w:val="59FE08CD"/>
    <w:rsid w:val="5A0C7DA1"/>
    <w:rsid w:val="5A290952"/>
    <w:rsid w:val="5A467B8D"/>
    <w:rsid w:val="5A4C54B9"/>
    <w:rsid w:val="5A4D4BF7"/>
    <w:rsid w:val="5A581B10"/>
    <w:rsid w:val="5A6921A6"/>
    <w:rsid w:val="5A6B086C"/>
    <w:rsid w:val="5A7766A9"/>
    <w:rsid w:val="5A850AC5"/>
    <w:rsid w:val="5A9E0AAC"/>
    <w:rsid w:val="5AA131CC"/>
    <w:rsid w:val="5AAB188A"/>
    <w:rsid w:val="5ABE2233"/>
    <w:rsid w:val="5AC71F19"/>
    <w:rsid w:val="5AD84127"/>
    <w:rsid w:val="5AEC372E"/>
    <w:rsid w:val="5B346F49"/>
    <w:rsid w:val="5B38295C"/>
    <w:rsid w:val="5B5A5FB0"/>
    <w:rsid w:val="5B5F3AC4"/>
    <w:rsid w:val="5B667984"/>
    <w:rsid w:val="5B672084"/>
    <w:rsid w:val="5B6E42E3"/>
    <w:rsid w:val="5B995DA1"/>
    <w:rsid w:val="5BB66E97"/>
    <w:rsid w:val="5BBF0F6C"/>
    <w:rsid w:val="5BC1663E"/>
    <w:rsid w:val="5BCB1D3D"/>
    <w:rsid w:val="5BCB4608"/>
    <w:rsid w:val="5BCB515D"/>
    <w:rsid w:val="5BCE7A03"/>
    <w:rsid w:val="5BDF5D95"/>
    <w:rsid w:val="5BE81608"/>
    <w:rsid w:val="5BEC60DC"/>
    <w:rsid w:val="5BF22FC6"/>
    <w:rsid w:val="5BF95560"/>
    <w:rsid w:val="5BFE7528"/>
    <w:rsid w:val="5C0E6052"/>
    <w:rsid w:val="5C0F3B78"/>
    <w:rsid w:val="5C2515ED"/>
    <w:rsid w:val="5C305201"/>
    <w:rsid w:val="5C3A25B5"/>
    <w:rsid w:val="5C3B6ACA"/>
    <w:rsid w:val="5C5E240A"/>
    <w:rsid w:val="5C60526B"/>
    <w:rsid w:val="5C62014C"/>
    <w:rsid w:val="5C6F7AEE"/>
    <w:rsid w:val="5C770C8A"/>
    <w:rsid w:val="5C7D7635"/>
    <w:rsid w:val="5CA24CEF"/>
    <w:rsid w:val="5CB34ABF"/>
    <w:rsid w:val="5CB564CD"/>
    <w:rsid w:val="5CB73131"/>
    <w:rsid w:val="5CC8048C"/>
    <w:rsid w:val="5CD511E5"/>
    <w:rsid w:val="5CD97142"/>
    <w:rsid w:val="5CDA3D70"/>
    <w:rsid w:val="5CE36C28"/>
    <w:rsid w:val="5CF8285E"/>
    <w:rsid w:val="5CFC7735"/>
    <w:rsid w:val="5D1366E9"/>
    <w:rsid w:val="5D1A2A7C"/>
    <w:rsid w:val="5D2D533D"/>
    <w:rsid w:val="5D3452E2"/>
    <w:rsid w:val="5D694DC9"/>
    <w:rsid w:val="5D6D4FFA"/>
    <w:rsid w:val="5D881E34"/>
    <w:rsid w:val="5D9435B8"/>
    <w:rsid w:val="5D9702C9"/>
    <w:rsid w:val="5DA34FCE"/>
    <w:rsid w:val="5DB1480C"/>
    <w:rsid w:val="5DC33857"/>
    <w:rsid w:val="5DC81209"/>
    <w:rsid w:val="5DD859B1"/>
    <w:rsid w:val="5E2467F1"/>
    <w:rsid w:val="5E335697"/>
    <w:rsid w:val="5E394EDC"/>
    <w:rsid w:val="5E421FE3"/>
    <w:rsid w:val="5E570305"/>
    <w:rsid w:val="5E705E81"/>
    <w:rsid w:val="5E801731"/>
    <w:rsid w:val="5E8C41B2"/>
    <w:rsid w:val="5E8E7FEA"/>
    <w:rsid w:val="5E947BB0"/>
    <w:rsid w:val="5E9B7945"/>
    <w:rsid w:val="5EA50266"/>
    <w:rsid w:val="5EB153BA"/>
    <w:rsid w:val="5EB24FCB"/>
    <w:rsid w:val="5ECA6EE1"/>
    <w:rsid w:val="5ECB7C8A"/>
    <w:rsid w:val="5ECE21DF"/>
    <w:rsid w:val="5ED75CF8"/>
    <w:rsid w:val="5ED82947"/>
    <w:rsid w:val="5EE74ED9"/>
    <w:rsid w:val="5EF01071"/>
    <w:rsid w:val="5F0326CA"/>
    <w:rsid w:val="5F1A2B43"/>
    <w:rsid w:val="5F21483D"/>
    <w:rsid w:val="5F21609C"/>
    <w:rsid w:val="5F265461"/>
    <w:rsid w:val="5F34244C"/>
    <w:rsid w:val="5F3D500E"/>
    <w:rsid w:val="5F405520"/>
    <w:rsid w:val="5F585836"/>
    <w:rsid w:val="5F6D42D3"/>
    <w:rsid w:val="5F725EAE"/>
    <w:rsid w:val="5F797C86"/>
    <w:rsid w:val="5F7A755A"/>
    <w:rsid w:val="5F813196"/>
    <w:rsid w:val="5F8811CD"/>
    <w:rsid w:val="5F944DA8"/>
    <w:rsid w:val="5FB711E9"/>
    <w:rsid w:val="5FB73766"/>
    <w:rsid w:val="5FB837BB"/>
    <w:rsid w:val="5FC34379"/>
    <w:rsid w:val="5FC66252"/>
    <w:rsid w:val="5FC7646A"/>
    <w:rsid w:val="5FC8476A"/>
    <w:rsid w:val="5FCB281D"/>
    <w:rsid w:val="5FE3520A"/>
    <w:rsid w:val="5FE64912"/>
    <w:rsid w:val="5FF732A1"/>
    <w:rsid w:val="60064858"/>
    <w:rsid w:val="600F0E5B"/>
    <w:rsid w:val="6014175D"/>
    <w:rsid w:val="60210200"/>
    <w:rsid w:val="60391B98"/>
    <w:rsid w:val="603973BA"/>
    <w:rsid w:val="603A282E"/>
    <w:rsid w:val="6044373D"/>
    <w:rsid w:val="606138D0"/>
    <w:rsid w:val="606B1752"/>
    <w:rsid w:val="606B3AEB"/>
    <w:rsid w:val="606E21DA"/>
    <w:rsid w:val="60811393"/>
    <w:rsid w:val="60895512"/>
    <w:rsid w:val="609D1ADD"/>
    <w:rsid w:val="60A34428"/>
    <w:rsid w:val="60AC578B"/>
    <w:rsid w:val="60B57F7E"/>
    <w:rsid w:val="60C34D4A"/>
    <w:rsid w:val="60CC405A"/>
    <w:rsid w:val="60CC4D75"/>
    <w:rsid w:val="60DE5787"/>
    <w:rsid w:val="60FF5E7C"/>
    <w:rsid w:val="610268CB"/>
    <w:rsid w:val="612915F6"/>
    <w:rsid w:val="613D458E"/>
    <w:rsid w:val="61501056"/>
    <w:rsid w:val="6170330B"/>
    <w:rsid w:val="61783F6D"/>
    <w:rsid w:val="617C1860"/>
    <w:rsid w:val="6184529B"/>
    <w:rsid w:val="61932F93"/>
    <w:rsid w:val="61967981"/>
    <w:rsid w:val="619B3FD0"/>
    <w:rsid w:val="619C02CB"/>
    <w:rsid w:val="619E67BE"/>
    <w:rsid w:val="61D8543F"/>
    <w:rsid w:val="61E215D8"/>
    <w:rsid w:val="61E63FF8"/>
    <w:rsid w:val="61EF3C1A"/>
    <w:rsid w:val="61F37D81"/>
    <w:rsid w:val="61F87B17"/>
    <w:rsid w:val="6214154C"/>
    <w:rsid w:val="621B3775"/>
    <w:rsid w:val="62231791"/>
    <w:rsid w:val="62364782"/>
    <w:rsid w:val="623D6084"/>
    <w:rsid w:val="624071E4"/>
    <w:rsid w:val="62555001"/>
    <w:rsid w:val="62586279"/>
    <w:rsid w:val="62593D9F"/>
    <w:rsid w:val="625D20FB"/>
    <w:rsid w:val="62610D92"/>
    <w:rsid w:val="626369CC"/>
    <w:rsid w:val="62650996"/>
    <w:rsid w:val="628141DB"/>
    <w:rsid w:val="62A728D4"/>
    <w:rsid w:val="62AE40EB"/>
    <w:rsid w:val="62B6414F"/>
    <w:rsid w:val="62B92A90"/>
    <w:rsid w:val="62BD1ECB"/>
    <w:rsid w:val="62C44E14"/>
    <w:rsid w:val="62DD3E94"/>
    <w:rsid w:val="62E96ED1"/>
    <w:rsid w:val="62EB39C7"/>
    <w:rsid w:val="62F111DB"/>
    <w:rsid w:val="62F3079A"/>
    <w:rsid w:val="62F6339C"/>
    <w:rsid w:val="62FA5870"/>
    <w:rsid w:val="63152276"/>
    <w:rsid w:val="63274257"/>
    <w:rsid w:val="63371638"/>
    <w:rsid w:val="633C5D7D"/>
    <w:rsid w:val="63471E49"/>
    <w:rsid w:val="63750E89"/>
    <w:rsid w:val="63852CB2"/>
    <w:rsid w:val="6394356A"/>
    <w:rsid w:val="639A3BCC"/>
    <w:rsid w:val="63A159FD"/>
    <w:rsid w:val="63C21678"/>
    <w:rsid w:val="63C4681C"/>
    <w:rsid w:val="63C61B2C"/>
    <w:rsid w:val="63CF5EC7"/>
    <w:rsid w:val="63D40BE9"/>
    <w:rsid w:val="63F944A2"/>
    <w:rsid w:val="640312B6"/>
    <w:rsid w:val="64102431"/>
    <w:rsid w:val="64167FCE"/>
    <w:rsid w:val="64231154"/>
    <w:rsid w:val="642921A6"/>
    <w:rsid w:val="64333D20"/>
    <w:rsid w:val="64384D2D"/>
    <w:rsid w:val="645F6310"/>
    <w:rsid w:val="64665189"/>
    <w:rsid w:val="64680066"/>
    <w:rsid w:val="648B2089"/>
    <w:rsid w:val="648B3FB8"/>
    <w:rsid w:val="648D6752"/>
    <w:rsid w:val="64912421"/>
    <w:rsid w:val="649F5C8F"/>
    <w:rsid w:val="64A13C45"/>
    <w:rsid w:val="64A33D5A"/>
    <w:rsid w:val="64A5243A"/>
    <w:rsid w:val="64BD02AC"/>
    <w:rsid w:val="64C7660B"/>
    <w:rsid w:val="64E16127"/>
    <w:rsid w:val="64E744B3"/>
    <w:rsid w:val="64F531DE"/>
    <w:rsid w:val="65004BD2"/>
    <w:rsid w:val="650224CC"/>
    <w:rsid w:val="650B6A07"/>
    <w:rsid w:val="65220AC7"/>
    <w:rsid w:val="65373578"/>
    <w:rsid w:val="65390EF9"/>
    <w:rsid w:val="65420B1A"/>
    <w:rsid w:val="656D3CD1"/>
    <w:rsid w:val="656F7435"/>
    <w:rsid w:val="657709F2"/>
    <w:rsid w:val="6578453C"/>
    <w:rsid w:val="65827169"/>
    <w:rsid w:val="658B72E8"/>
    <w:rsid w:val="65B519A0"/>
    <w:rsid w:val="65B603BC"/>
    <w:rsid w:val="65BF660F"/>
    <w:rsid w:val="65C26130"/>
    <w:rsid w:val="65CB435F"/>
    <w:rsid w:val="65CD3194"/>
    <w:rsid w:val="65EC0A86"/>
    <w:rsid w:val="65F83F8D"/>
    <w:rsid w:val="65F938CF"/>
    <w:rsid w:val="65FA7647"/>
    <w:rsid w:val="65FC30A5"/>
    <w:rsid w:val="66001677"/>
    <w:rsid w:val="6612673F"/>
    <w:rsid w:val="66291D8D"/>
    <w:rsid w:val="665B162B"/>
    <w:rsid w:val="665D5554"/>
    <w:rsid w:val="66651E20"/>
    <w:rsid w:val="66664CDC"/>
    <w:rsid w:val="667945C9"/>
    <w:rsid w:val="66955B2C"/>
    <w:rsid w:val="669E53DB"/>
    <w:rsid w:val="66AA2E1B"/>
    <w:rsid w:val="66AE5B30"/>
    <w:rsid w:val="66B174E6"/>
    <w:rsid w:val="66BC2B4E"/>
    <w:rsid w:val="67006EDF"/>
    <w:rsid w:val="6703252B"/>
    <w:rsid w:val="670352EA"/>
    <w:rsid w:val="670D7BCE"/>
    <w:rsid w:val="67136834"/>
    <w:rsid w:val="6715573C"/>
    <w:rsid w:val="671F124A"/>
    <w:rsid w:val="67214517"/>
    <w:rsid w:val="67220C03"/>
    <w:rsid w:val="67394694"/>
    <w:rsid w:val="67424E02"/>
    <w:rsid w:val="67492634"/>
    <w:rsid w:val="674A631B"/>
    <w:rsid w:val="674C0ADE"/>
    <w:rsid w:val="67580AC9"/>
    <w:rsid w:val="67636BA3"/>
    <w:rsid w:val="676D5D61"/>
    <w:rsid w:val="677A33C6"/>
    <w:rsid w:val="677C29D6"/>
    <w:rsid w:val="678A09AE"/>
    <w:rsid w:val="678C7ADC"/>
    <w:rsid w:val="67B0603E"/>
    <w:rsid w:val="67BF46A4"/>
    <w:rsid w:val="67C05ADD"/>
    <w:rsid w:val="67CF1B68"/>
    <w:rsid w:val="67E96DB7"/>
    <w:rsid w:val="67FF34CB"/>
    <w:rsid w:val="68000B88"/>
    <w:rsid w:val="680651BF"/>
    <w:rsid w:val="681F6961"/>
    <w:rsid w:val="682B1D3A"/>
    <w:rsid w:val="682E35D8"/>
    <w:rsid w:val="68395D68"/>
    <w:rsid w:val="6855244F"/>
    <w:rsid w:val="68610A2F"/>
    <w:rsid w:val="686A23AC"/>
    <w:rsid w:val="68725BBA"/>
    <w:rsid w:val="687731D1"/>
    <w:rsid w:val="68790CF7"/>
    <w:rsid w:val="687B3F66"/>
    <w:rsid w:val="687E4864"/>
    <w:rsid w:val="68805514"/>
    <w:rsid w:val="6881570E"/>
    <w:rsid w:val="688F051A"/>
    <w:rsid w:val="689216B4"/>
    <w:rsid w:val="68A85933"/>
    <w:rsid w:val="68B44F9A"/>
    <w:rsid w:val="68B60A76"/>
    <w:rsid w:val="68B63683"/>
    <w:rsid w:val="68B91843"/>
    <w:rsid w:val="68BB3D9E"/>
    <w:rsid w:val="68CB035B"/>
    <w:rsid w:val="68D20407"/>
    <w:rsid w:val="68D806D2"/>
    <w:rsid w:val="68E54E95"/>
    <w:rsid w:val="68E7605B"/>
    <w:rsid w:val="68ED3493"/>
    <w:rsid w:val="69087CC4"/>
    <w:rsid w:val="69175C8F"/>
    <w:rsid w:val="69184D2C"/>
    <w:rsid w:val="691A3D02"/>
    <w:rsid w:val="69272501"/>
    <w:rsid w:val="69316E2F"/>
    <w:rsid w:val="69362744"/>
    <w:rsid w:val="69391B93"/>
    <w:rsid w:val="694E2071"/>
    <w:rsid w:val="69502A03"/>
    <w:rsid w:val="69647260"/>
    <w:rsid w:val="6974326C"/>
    <w:rsid w:val="69766163"/>
    <w:rsid w:val="69784A57"/>
    <w:rsid w:val="69796AD5"/>
    <w:rsid w:val="697A3B33"/>
    <w:rsid w:val="698536CB"/>
    <w:rsid w:val="699459A7"/>
    <w:rsid w:val="69956E52"/>
    <w:rsid w:val="69A952BE"/>
    <w:rsid w:val="69AD64AC"/>
    <w:rsid w:val="69B12A25"/>
    <w:rsid w:val="69B22E71"/>
    <w:rsid w:val="69D44760"/>
    <w:rsid w:val="69D63CA9"/>
    <w:rsid w:val="69DB026F"/>
    <w:rsid w:val="69E50B0C"/>
    <w:rsid w:val="69F66377"/>
    <w:rsid w:val="6A097E59"/>
    <w:rsid w:val="6A0C76BC"/>
    <w:rsid w:val="6A0E3FDC"/>
    <w:rsid w:val="6A0E6CF5"/>
    <w:rsid w:val="6A350C4E"/>
    <w:rsid w:val="6A495184"/>
    <w:rsid w:val="6A4D07DC"/>
    <w:rsid w:val="6A520EC7"/>
    <w:rsid w:val="6A59520C"/>
    <w:rsid w:val="6A5E4D61"/>
    <w:rsid w:val="6A696B49"/>
    <w:rsid w:val="6A742635"/>
    <w:rsid w:val="6A813E93"/>
    <w:rsid w:val="6A870835"/>
    <w:rsid w:val="6A8952F1"/>
    <w:rsid w:val="6A895806"/>
    <w:rsid w:val="6A8B6AC0"/>
    <w:rsid w:val="6A953DC8"/>
    <w:rsid w:val="6A977874"/>
    <w:rsid w:val="6AB21ED7"/>
    <w:rsid w:val="6AB27E6E"/>
    <w:rsid w:val="6AB46016"/>
    <w:rsid w:val="6ABA1153"/>
    <w:rsid w:val="6ABA502A"/>
    <w:rsid w:val="6ABE50E7"/>
    <w:rsid w:val="6ACD7A6C"/>
    <w:rsid w:val="6AD1530D"/>
    <w:rsid w:val="6AE82164"/>
    <w:rsid w:val="6AEB355E"/>
    <w:rsid w:val="6AF75017"/>
    <w:rsid w:val="6AF87E20"/>
    <w:rsid w:val="6B077539"/>
    <w:rsid w:val="6B1A7CC3"/>
    <w:rsid w:val="6B2C7041"/>
    <w:rsid w:val="6B322639"/>
    <w:rsid w:val="6B6A2EAF"/>
    <w:rsid w:val="6B70089B"/>
    <w:rsid w:val="6B7D0AFE"/>
    <w:rsid w:val="6B7F6FEB"/>
    <w:rsid w:val="6B9C16E0"/>
    <w:rsid w:val="6BA77929"/>
    <w:rsid w:val="6BAF7447"/>
    <w:rsid w:val="6BB868A5"/>
    <w:rsid w:val="6BBD3F31"/>
    <w:rsid w:val="6BD21369"/>
    <w:rsid w:val="6BDF3567"/>
    <w:rsid w:val="6BEB065B"/>
    <w:rsid w:val="6BF4654D"/>
    <w:rsid w:val="6BF627ED"/>
    <w:rsid w:val="6C0E79A8"/>
    <w:rsid w:val="6C424AC5"/>
    <w:rsid w:val="6C4433CA"/>
    <w:rsid w:val="6C552406"/>
    <w:rsid w:val="6C5561F8"/>
    <w:rsid w:val="6C5775A1"/>
    <w:rsid w:val="6C5D623A"/>
    <w:rsid w:val="6C636C38"/>
    <w:rsid w:val="6C691082"/>
    <w:rsid w:val="6C80389A"/>
    <w:rsid w:val="6CB00A5F"/>
    <w:rsid w:val="6CBD0550"/>
    <w:rsid w:val="6CD504C6"/>
    <w:rsid w:val="6CDF1783"/>
    <w:rsid w:val="6CDF50DF"/>
    <w:rsid w:val="6CE60925"/>
    <w:rsid w:val="6CEB7CE9"/>
    <w:rsid w:val="6D0019E7"/>
    <w:rsid w:val="6D0C406C"/>
    <w:rsid w:val="6D0F1C2A"/>
    <w:rsid w:val="6D0F4B4D"/>
    <w:rsid w:val="6D2511D0"/>
    <w:rsid w:val="6D4D0611"/>
    <w:rsid w:val="6D5E495F"/>
    <w:rsid w:val="6D6A3304"/>
    <w:rsid w:val="6D772727"/>
    <w:rsid w:val="6D8343C6"/>
    <w:rsid w:val="6D8F25AF"/>
    <w:rsid w:val="6D9B170F"/>
    <w:rsid w:val="6DB34098"/>
    <w:rsid w:val="6DB545B6"/>
    <w:rsid w:val="6DB602F7"/>
    <w:rsid w:val="6DD049FF"/>
    <w:rsid w:val="6DE02FB4"/>
    <w:rsid w:val="6DED2731"/>
    <w:rsid w:val="6DF37406"/>
    <w:rsid w:val="6DFE0CD9"/>
    <w:rsid w:val="6E0D0654"/>
    <w:rsid w:val="6E35746E"/>
    <w:rsid w:val="6E514CED"/>
    <w:rsid w:val="6E7206C2"/>
    <w:rsid w:val="6E751F61"/>
    <w:rsid w:val="6E761835"/>
    <w:rsid w:val="6E764243"/>
    <w:rsid w:val="6E8126B3"/>
    <w:rsid w:val="6E907F65"/>
    <w:rsid w:val="6E99292A"/>
    <w:rsid w:val="6EAD23D4"/>
    <w:rsid w:val="6EB563D5"/>
    <w:rsid w:val="6EBC38EA"/>
    <w:rsid w:val="6EBF5E07"/>
    <w:rsid w:val="6ED92677"/>
    <w:rsid w:val="6EE328FB"/>
    <w:rsid w:val="6EEB7B77"/>
    <w:rsid w:val="6EF15679"/>
    <w:rsid w:val="6EFF5FE0"/>
    <w:rsid w:val="6F15104E"/>
    <w:rsid w:val="6F225983"/>
    <w:rsid w:val="6F2B6AC3"/>
    <w:rsid w:val="6F324AED"/>
    <w:rsid w:val="6F35524C"/>
    <w:rsid w:val="6F4656AB"/>
    <w:rsid w:val="6F510E8C"/>
    <w:rsid w:val="6F5B422B"/>
    <w:rsid w:val="6F5F30A8"/>
    <w:rsid w:val="6F653D83"/>
    <w:rsid w:val="6F7E59CD"/>
    <w:rsid w:val="6F844470"/>
    <w:rsid w:val="6F8C3549"/>
    <w:rsid w:val="6F9F11B8"/>
    <w:rsid w:val="6FE8508A"/>
    <w:rsid w:val="6FFC5590"/>
    <w:rsid w:val="700D7F77"/>
    <w:rsid w:val="70100B90"/>
    <w:rsid w:val="70135569"/>
    <w:rsid w:val="701A3E4B"/>
    <w:rsid w:val="703C641C"/>
    <w:rsid w:val="704749F3"/>
    <w:rsid w:val="704F5FC8"/>
    <w:rsid w:val="704F61FE"/>
    <w:rsid w:val="70527469"/>
    <w:rsid w:val="70564A33"/>
    <w:rsid w:val="705A1FE0"/>
    <w:rsid w:val="705E774C"/>
    <w:rsid w:val="70622071"/>
    <w:rsid w:val="7065527D"/>
    <w:rsid w:val="706D087C"/>
    <w:rsid w:val="706D1DD0"/>
    <w:rsid w:val="70856B87"/>
    <w:rsid w:val="70882294"/>
    <w:rsid w:val="708F6BDE"/>
    <w:rsid w:val="70B84CE8"/>
    <w:rsid w:val="70BD374B"/>
    <w:rsid w:val="70CA73BF"/>
    <w:rsid w:val="70CC4CE6"/>
    <w:rsid w:val="70D311C0"/>
    <w:rsid w:val="70D527EE"/>
    <w:rsid w:val="70D94A22"/>
    <w:rsid w:val="70E53BA3"/>
    <w:rsid w:val="70EF6BBF"/>
    <w:rsid w:val="70F20AA7"/>
    <w:rsid w:val="70F408C3"/>
    <w:rsid w:val="7121017E"/>
    <w:rsid w:val="713175D4"/>
    <w:rsid w:val="71323F04"/>
    <w:rsid w:val="71324139"/>
    <w:rsid w:val="713779A1"/>
    <w:rsid w:val="71394D99"/>
    <w:rsid w:val="715776FB"/>
    <w:rsid w:val="715B5300"/>
    <w:rsid w:val="715C264E"/>
    <w:rsid w:val="717E67C1"/>
    <w:rsid w:val="718A62D9"/>
    <w:rsid w:val="719B2098"/>
    <w:rsid w:val="719F62EB"/>
    <w:rsid w:val="71B0505E"/>
    <w:rsid w:val="71B25A17"/>
    <w:rsid w:val="71CF7BDA"/>
    <w:rsid w:val="71D00B9E"/>
    <w:rsid w:val="71D27F8A"/>
    <w:rsid w:val="71EF7CA5"/>
    <w:rsid w:val="71FA5E13"/>
    <w:rsid w:val="71FD5A2A"/>
    <w:rsid w:val="71FE3596"/>
    <w:rsid w:val="72021A69"/>
    <w:rsid w:val="72177CA7"/>
    <w:rsid w:val="721E1928"/>
    <w:rsid w:val="722D38F5"/>
    <w:rsid w:val="722E1DAB"/>
    <w:rsid w:val="723B701D"/>
    <w:rsid w:val="72553024"/>
    <w:rsid w:val="725A7E9A"/>
    <w:rsid w:val="725D6F93"/>
    <w:rsid w:val="72805399"/>
    <w:rsid w:val="72836BC3"/>
    <w:rsid w:val="728A58AF"/>
    <w:rsid w:val="728B316B"/>
    <w:rsid w:val="728C459E"/>
    <w:rsid w:val="72A90FFE"/>
    <w:rsid w:val="72BC0CEF"/>
    <w:rsid w:val="72C80ADC"/>
    <w:rsid w:val="72CB03A1"/>
    <w:rsid w:val="72CD3B5B"/>
    <w:rsid w:val="72DE3002"/>
    <w:rsid w:val="72EB7991"/>
    <w:rsid w:val="72F4129B"/>
    <w:rsid w:val="72F84FAC"/>
    <w:rsid w:val="72F96A29"/>
    <w:rsid w:val="730F0D66"/>
    <w:rsid w:val="73122968"/>
    <w:rsid w:val="731F5D5E"/>
    <w:rsid w:val="732B6917"/>
    <w:rsid w:val="732D7394"/>
    <w:rsid w:val="733C7224"/>
    <w:rsid w:val="733F48EB"/>
    <w:rsid w:val="7349576A"/>
    <w:rsid w:val="734A1D78"/>
    <w:rsid w:val="734F2472"/>
    <w:rsid w:val="73656370"/>
    <w:rsid w:val="7375439F"/>
    <w:rsid w:val="737B402A"/>
    <w:rsid w:val="737F2C2B"/>
    <w:rsid w:val="73985FC7"/>
    <w:rsid w:val="73AB6F28"/>
    <w:rsid w:val="73C51AD5"/>
    <w:rsid w:val="73D8292E"/>
    <w:rsid w:val="73DA0DE8"/>
    <w:rsid w:val="73DD1542"/>
    <w:rsid w:val="73E23154"/>
    <w:rsid w:val="73EF4563"/>
    <w:rsid w:val="73F0217B"/>
    <w:rsid w:val="73F3093F"/>
    <w:rsid w:val="74132E82"/>
    <w:rsid w:val="741E793C"/>
    <w:rsid w:val="7439758C"/>
    <w:rsid w:val="743B50B2"/>
    <w:rsid w:val="74486B83"/>
    <w:rsid w:val="744C3709"/>
    <w:rsid w:val="74502460"/>
    <w:rsid w:val="745E3944"/>
    <w:rsid w:val="74611465"/>
    <w:rsid w:val="746F2B24"/>
    <w:rsid w:val="747873C6"/>
    <w:rsid w:val="748867C3"/>
    <w:rsid w:val="74A0585D"/>
    <w:rsid w:val="74A44628"/>
    <w:rsid w:val="74A74786"/>
    <w:rsid w:val="74B17ACB"/>
    <w:rsid w:val="74E06D99"/>
    <w:rsid w:val="74EB6AD9"/>
    <w:rsid w:val="74FC64A0"/>
    <w:rsid w:val="750E0A19"/>
    <w:rsid w:val="75104791"/>
    <w:rsid w:val="75134281"/>
    <w:rsid w:val="751348BB"/>
    <w:rsid w:val="752215F0"/>
    <w:rsid w:val="752E2E69"/>
    <w:rsid w:val="75300C86"/>
    <w:rsid w:val="753606CB"/>
    <w:rsid w:val="7539458F"/>
    <w:rsid w:val="75522648"/>
    <w:rsid w:val="75653B49"/>
    <w:rsid w:val="757545F4"/>
    <w:rsid w:val="75A16618"/>
    <w:rsid w:val="75BF40A3"/>
    <w:rsid w:val="75CA0EC0"/>
    <w:rsid w:val="75CF63FA"/>
    <w:rsid w:val="75DC4673"/>
    <w:rsid w:val="75E55C1E"/>
    <w:rsid w:val="75EB7A92"/>
    <w:rsid w:val="760A0995"/>
    <w:rsid w:val="760F67F7"/>
    <w:rsid w:val="76170E29"/>
    <w:rsid w:val="762F4D04"/>
    <w:rsid w:val="7635099D"/>
    <w:rsid w:val="763A3B3A"/>
    <w:rsid w:val="765D17F5"/>
    <w:rsid w:val="76B97A38"/>
    <w:rsid w:val="76BD6F25"/>
    <w:rsid w:val="76BE5652"/>
    <w:rsid w:val="76CF72A2"/>
    <w:rsid w:val="76D96AB0"/>
    <w:rsid w:val="76DE5835"/>
    <w:rsid w:val="76FA5345"/>
    <w:rsid w:val="771205DB"/>
    <w:rsid w:val="77204A34"/>
    <w:rsid w:val="77286C33"/>
    <w:rsid w:val="773A581B"/>
    <w:rsid w:val="77755A6D"/>
    <w:rsid w:val="77762421"/>
    <w:rsid w:val="77816E36"/>
    <w:rsid w:val="77844FC2"/>
    <w:rsid w:val="778773C4"/>
    <w:rsid w:val="77AE787A"/>
    <w:rsid w:val="77B56B1F"/>
    <w:rsid w:val="77BB774E"/>
    <w:rsid w:val="77C034D0"/>
    <w:rsid w:val="77CE2561"/>
    <w:rsid w:val="77D64E38"/>
    <w:rsid w:val="77D7287E"/>
    <w:rsid w:val="77DC104E"/>
    <w:rsid w:val="77E175A8"/>
    <w:rsid w:val="77EB3293"/>
    <w:rsid w:val="77F0473F"/>
    <w:rsid w:val="780879A1"/>
    <w:rsid w:val="780F09F4"/>
    <w:rsid w:val="781A5A03"/>
    <w:rsid w:val="781F6570"/>
    <w:rsid w:val="78376C91"/>
    <w:rsid w:val="783C589D"/>
    <w:rsid w:val="78403B4A"/>
    <w:rsid w:val="78421D54"/>
    <w:rsid w:val="78567FDF"/>
    <w:rsid w:val="78690F90"/>
    <w:rsid w:val="78700B0A"/>
    <w:rsid w:val="78871EB3"/>
    <w:rsid w:val="78961451"/>
    <w:rsid w:val="78A90480"/>
    <w:rsid w:val="78AB0D08"/>
    <w:rsid w:val="78C607D5"/>
    <w:rsid w:val="78C64E50"/>
    <w:rsid w:val="78D23D85"/>
    <w:rsid w:val="78D55D36"/>
    <w:rsid w:val="78D5640F"/>
    <w:rsid w:val="78E92AD9"/>
    <w:rsid w:val="78EA52F9"/>
    <w:rsid w:val="79052133"/>
    <w:rsid w:val="7929090E"/>
    <w:rsid w:val="792B4802"/>
    <w:rsid w:val="793A1000"/>
    <w:rsid w:val="793F5645"/>
    <w:rsid w:val="794A5D15"/>
    <w:rsid w:val="7954054F"/>
    <w:rsid w:val="795804B5"/>
    <w:rsid w:val="796E1425"/>
    <w:rsid w:val="797145B8"/>
    <w:rsid w:val="7997722F"/>
    <w:rsid w:val="79A52A09"/>
    <w:rsid w:val="79BD4C0D"/>
    <w:rsid w:val="79EA1A55"/>
    <w:rsid w:val="79F83286"/>
    <w:rsid w:val="7A07356F"/>
    <w:rsid w:val="7A0A4CFB"/>
    <w:rsid w:val="7A2A599F"/>
    <w:rsid w:val="7A2E14B4"/>
    <w:rsid w:val="7A364017"/>
    <w:rsid w:val="7A5941D6"/>
    <w:rsid w:val="7A644C9E"/>
    <w:rsid w:val="7A6B62B2"/>
    <w:rsid w:val="7A756B6C"/>
    <w:rsid w:val="7A8265E1"/>
    <w:rsid w:val="7A8F43AA"/>
    <w:rsid w:val="7A9015B7"/>
    <w:rsid w:val="7A924399"/>
    <w:rsid w:val="7A992DE6"/>
    <w:rsid w:val="7A9B413F"/>
    <w:rsid w:val="7AC04B95"/>
    <w:rsid w:val="7AC356F3"/>
    <w:rsid w:val="7ACF13F5"/>
    <w:rsid w:val="7AE30252"/>
    <w:rsid w:val="7B084015"/>
    <w:rsid w:val="7B173005"/>
    <w:rsid w:val="7B1D0128"/>
    <w:rsid w:val="7B1D5512"/>
    <w:rsid w:val="7B2A40D3"/>
    <w:rsid w:val="7B2E0EA7"/>
    <w:rsid w:val="7B44085E"/>
    <w:rsid w:val="7B4E6C95"/>
    <w:rsid w:val="7B6356F4"/>
    <w:rsid w:val="7B686D42"/>
    <w:rsid w:val="7B714208"/>
    <w:rsid w:val="7B841746"/>
    <w:rsid w:val="7B93399C"/>
    <w:rsid w:val="7BA47D4E"/>
    <w:rsid w:val="7BA75723"/>
    <w:rsid w:val="7BB152B3"/>
    <w:rsid w:val="7BC97F01"/>
    <w:rsid w:val="7BDA0AE3"/>
    <w:rsid w:val="7BF3304D"/>
    <w:rsid w:val="7C1508DF"/>
    <w:rsid w:val="7C1E0F3A"/>
    <w:rsid w:val="7C1E27EC"/>
    <w:rsid w:val="7C351360"/>
    <w:rsid w:val="7C4411B5"/>
    <w:rsid w:val="7C4F0DB2"/>
    <w:rsid w:val="7C5D44B5"/>
    <w:rsid w:val="7C605350"/>
    <w:rsid w:val="7C683105"/>
    <w:rsid w:val="7C6C5AC7"/>
    <w:rsid w:val="7C7717C0"/>
    <w:rsid w:val="7C790503"/>
    <w:rsid w:val="7C79171A"/>
    <w:rsid w:val="7C7E2011"/>
    <w:rsid w:val="7C8265DA"/>
    <w:rsid w:val="7C8527A8"/>
    <w:rsid w:val="7C8C617B"/>
    <w:rsid w:val="7C921941"/>
    <w:rsid w:val="7CA1666B"/>
    <w:rsid w:val="7CB37140"/>
    <w:rsid w:val="7CC6544B"/>
    <w:rsid w:val="7CCA6FCD"/>
    <w:rsid w:val="7CEA1D6C"/>
    <w:rsid w:val="7CF91CEC"/>
    <w:rsid w:val="7D0239FF"/>
    <w:rsid w:val="7D061F5A"/>
    <w:rsid w:val="7D064C6C"/>
    <w:rsid w:val="7D22196E"/>
    <w:rsid w:val="7D225DBB"/>
    <w:rsid w:val="7D24162A"/>
    <w:rsid w:val="7D3228E5"/>
    <w:rsid w:val="7D473B88"/>
    <w:rsid w:val="7D4D4616"/>
    <w:rsid w:val="7D4E4B76"/>
    <w:rsid w:val="7D547FD2"/>
    <w:rsid w:val="7D56494C"/>
    <w:rsid w:val="7D5D078F"/>
    <w:rsid w:val="7D5E40CD"/>
    <w:rsid w:val="7D6D0DEB"/>
    <w:rsid w:val="7D731D61"/>
    <w:rsid w:val="7D8313A7"/>
    <w:rsid w:val="7D87580C"/>
    <w:rsid w:val="7D8F17FD"/>
    <w:rsid w:val="7D935B5C"/>
    <w:rsid w:val="7D9D21A4"/>
    <w:rsid w:val="7D9E3063"/>
    <w:rsid w:val="7DA0129B"/>
    <w:rsid w:val="7DA751E9"/>
    <w:rsid w:val="7DA93E25"/>
    <w:rsid w:val="7DBC3708"/>
    <w:rsid w:val="7DC223A1"/>
    <w:rsid w:val="7DCD56F2"/>
    <w:rsid w:val="7DDB4F69"/>
    <w:rsid w:val="7DE55565"/>
    <w:rsid w:val="7DED573B"/>
    <w:rsid w:val="7DF32EA2"/>
    <w:rsid w:val="7DF52C61"/>
    <w:rsid w:val="7E10135E"/>
    <w:rsid w:val="7E24305B"/>
    <w:rsid w:val="7E357016"/>
    <w:rsid w:val="7E417769"/>
    <w:rsid w:val="7E5C0A47"/>
    <w:rsid w:val="7E933D3D"/>
    <w:rsid w:val="7E99396E"/>
    <w:rsid w:val="7EA07CF1"/>
    <w:rsid w:val="7EA76E61"/>
    <w:rsid w:val="7EBC4651"/>
    <w:rsid w:val="7EC363D0"/>
    <w:rsid w:val="7EC62364"/>
    <w:rsid w:val="7ED3341E"/>
    <w:rsid w:val="7ED607F9"/>
    <w:rsid w:val="7EDD5ECF"/>
    <w:rsid w:val="7EE051FD"/>
    <w:rsid w:val="7F001CE7"/>
    <w:rsid w:val="7F053213"/>
    <w:rsid w:val="7F1E3F4E"/>
    <w:rsid w:val="7F2005B6"/>
    <w:rsid w:val="7F27738B"/>
    <w:rsid w:val="7F354965"/>
    <w:rsid w:val="7F3E014D"/>
    <w:rsid w:val="7F45247D"/>
    <w:rsid w:val="7F4F4CCB"/>
    <w:rsid w:val="7F501502"/>
    <w:rsid w:val="7F534C96"/>
    <w:rsid w:val="7F5B2AAD"/>
    <w:rsid w:val="7F5D1DEC"/>
    <w:rsid w:val="7F645CD7"/>
    <w:rsid w:val="7F653D89"/>
    <w:rsid w:val="7F702D5A"/>
    <w:rsid w:val="7F7F6DE1"/>
    <w:rsid w:val="7F8A6C36"/>
    <w:rsid w:val="7F947AA3"/>
    <w:rsid w:val="7F9E2695"/>
    <w:rsid w:val="7FA75881"/>
    <w:rsid w:val="7FD118FB"/>
    <w:rsid w:val="7FD266FA"/>
    <w:rsid w:val="7FD4460D"/>
    <w:rsid w:val="7FE47E50"/>
    <w:rsid w:val="7FEB494A"/>
    <w:rsid w:val="7FF71621"/>
    <w:rsid w:val="7FFCD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qFormat="1" w:unhideWhenUsed="0" w:uiPriority="99" w:semiHidden="0" w:name="index 5" w:locked="1"/>
    <w:lsdException w:qFormat="1" w:unhideWhenUsed="0" w:uiPriority="0" w:semiHidden="0" w:name="index 6" w:locked="1"/>
    <w:lsdException w:unhideWhenUsed="0" w:uiPriority="0" w:semiHidden="0" w:name="index 7" w:locked="1"/>
    <w:lsdException w:qFormat="1"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4">
    <w:name w:val="heading 1"/>
    <w:basedOn w:val="1"/>
    <w:next w:val="1"/>
    <w:link w:val="54"/>
    <w:qFormat/>
    <w:locked/>
    <w:uiPriority w:val="99"/>
    <w:pPr>
      <w:overflowPunct w:val="0"/>
      <w:spacing w:line="360" w:lineRule="auto"/>
      <w:ind w:firstLine="720" w:firstLineChars="200"/>
      <w:jc w:val="left"/>
      <w:outlineLvl w:val="0"/>
    </w:pPr>
    <w:rPr>
      <w:rFonts w:eastAsia="宋体"/>
      <w:b/>
      <w:bCs/>
      <w:color w:val="000000"/>
      <w:kern w:val="44"/>
    </w:rPr>
  </w:style>
  <w:style w:type="paragraph" w:styleId="5">
    <w:name w:val="heading 2"/>
    <w:basedOn w:val="1"/>
    <w:next w:val="1"/>
    <w:qFormat/>
    <w:locked/>
    <w:uiPriority w:val="0"/>
    <w:pPr>
      <w:keepNext/>
      <w:keepLines/>
      <w:spacing w:before="260" w:after="260" w:line="416" w:lineRule="auto"/>
      <w:ind w:firstLine="200" w:firstLineChars="200"/>
      <w:outlineLvl w:val="1"/>
    </w:pPr>
    <w:rPr>
      <w:rFonts w:ascii="Arial" w:hAnsi="Arial" w:eastAsia="黑体"/>
      <w:b/>
      <w:bCs/>
      <w:sz w:val="32"/>
      <w:szCs w:val="32"/>
    </w:rPr>
  </w:style>
  <w:style w:type="paragraph" w:styleId="6">
    <w:name w:val="heading 3"/>
    <w:basedOn w:val="1"/>
    <w:next w:val="1"/>
    <w:qFormat/>
    <w:locked/>
    <w:uiPriority w:val="0"/>
    <w:pPr>
      <w:keepNext/>
      <w:spacing w:before="156" w:beforeLines="50"/>
      <w:jc w:val="center"/>
      <w:outlineLvl w:val="2"/>
    </w:pPr>
    <w:rPr>
      <w:rFonts w:ascii="楷体_GB2312" w:eastAsia="楷体_GB2312"/>
      <w:b/>
      <w:bCs/>
      <w:szCs w:val="20"/>
    </w:rPr>
  </w:style>
  <w:style w:type="paragraph" w:styleId="7">
    <w:name w:val="heading 4"/>
    <w:basedOn w:val="1"/>
    <w:next w:val="1"/>
    <w:qFormat/>
    <w:locked/>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locked/>
    <w:uiPriority w:val="1"/>
    <w:pPr>
      <w:outlineLvl w:val="4"/>
    </w:pPr>
    <w:rPr>
      <w:rFonts w:ascii="宋体" w:hAnsi="宋体" w:eastAsia="宋体" w:cs="宋体"/>
      <w:b/>
      <w:bCs/>
      <w:lang w:val="zh-CN" w:bidi="zh-CN"/>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74"/>
    <w:unhideWhenUsed/>
    <w:qFormat/>
    <w:locked/>
    <w:uiPriority w:val="0"/>
    <w:pPr>
      <w:ind w:firstLine="420"/>
    </w:pPr>
    <w:rPr>
      <w:szCs w:val="24"/>
    </w:rPr>
  </w:style>
  <w:style w:type="paragraph" w:styleId="3">
    <w:name w:val="Body Text Indent"/>
    <w:basedOn w:val="1"/>
    <w:next w:val="1"/>
    <w:link w:val="53"/>
    <w:qFormat/>
    <w:uiPriority w:val="0"/>
    <w:pPr>
      <w:spacing w:after="120"/>
      <w:ind w:left="420" w:leftChars="200"/>
    </w:pPr>
    <w:rPr>
      <w:kern w:val="0"/>
      <w:szCs w:val="20"/>
    </w:rPr>
  </w:style>
  <w:style w:type="paragraph" w:styleId="9">
    <w:name w:val="index 8"/>
    <w:basedOn w:val="1"/>
    <w:next w:val="1"/>
    <w:qFormat/>
    <w:locked/>
    <w:uiPriority w:val="0"/>
    <w:pPr>
      <w:ind w:left="2940"/>
      <w:jc w:val="center"/>
    </w:pPr>
  </w:style>
  <w:style w:type="paragraph" w:styleId="10">
    <w:name w:val="Normal Indent"/>
    <w:basedOn w:val="1"/>
    <w:next w:val="11"/>
    <w:qFormat/>
    <w:locked/>
    <w:uiPriority w:val="0"/>
    <w:pPr>
      <w:topLinePunct/>
      <w:adjustRightInd w:val="0"/>
      <w:snapToGrid w:val="0"/>
      <w:ind w:firstLine="420"/>
    </w:pPr>
    <w:rPr>
      <w:szCs w:val="20"/>
    </w:rPr>
  </w:style>
  <w:style w:type="paragraph" w:customStyle="1" w:styleId="11">
    <w:name w:val="正文1"/>
    <w:basedOn w:val="1"/>
    <w:next w:val="1"/>
    <w:qFormat/>
    <w:uiPriority w:val="0"/>
    <w:pPr>
      <w:widowControl/>
      <w:spacing w:before="60" w:after="40" w:line="200" w:lineRule="exact"/>
      <w:jc w:val="left"/>
    </w:pPr>
    <w:rPr>
      <w:spacing w:val="6"/>
    </w:rPr>
  </w:style>
  <w:style w:type="paragraph" w:styleId="12">
    <w:name w:val="caption"/>
    <w:basedOn w:val="1"/>
    <w:next w:val="1"/>
    <w:qFormat/>
    <w:locked/>
    <w:uiPriority w:val="0"/>
    <w:rPr>
      <w:rFonts w:ascii="Arial" w:hAnsi="Arial" w:eastAsia="黑体"/>
      <w:sz w:val="20"/>
    </w:rPr>
  </w:style>
  <w:style w:type="paragraph" w:styleId="13">
    <w:name w:val="index 5"/>
    <w:basedOn w:val="1"/>
    <w:next w:val="1"/>
    <w:qFormat/>
    <w:locked/>
    <w:uiPriority w:val="99"/>
    <w:pPr>
      <w:ind w:left="1680"/>
    </w:pPr>
  </w:style>
  <w:style w:type="paragraph" w:styleId="14">
    <w:name w:val="Document Map"/>
    <w:basedOn w:val="1"/>
    <w:link w:val="55"/>
    <w:qFormat/>
    <w:locked/>
    <w:uiPriority w:val="0"/>
    <w:rPr>
      <w:rFonts w:ascii="宋体"/>
      <w:sz w:val="18"/>
      <w:szCs w:val="18"/>
    </w:rPr>
  </w:style>
  <w:style w:type="paragraph" w:styleId="15">
    <w:name w:val="annotation text"/>
    <w:basedOn w:val="1"/>
    <w:link w:val="56"/>
    <w:semiHidden/>
    <w:qFormat/>
    <w:uiPriority w:val="0"/>
    <w:pPr>
      <w:jc w:val="left"/>
    </w:pPr>
    <w:rPr>
      <w:kern w:val="0"/>
      <w:szCs w:val="20"/>
    </w:rPr>
  </w:style>
  <w:style w:type="paragraph" w:styleId="16">
    <w:name w:val="index 6"/>
    <w:basedOn w:val="1"/>
    <w:next w:val="1"/>
    <w:qFormat/>
    <w:locked/>
    <w:uiPriority w:val="0"/>
    <w:pPr>
      <w:ind w:left="2100"/>
    </w:pPr>
  </w:style>
  <w:style w:type="paragraph" w:styleId="17">
    <w:name w:val="Body Text"/>
    <w:basedOn w:val="1"/>
    <w:next w:val="18"/>
    <w:link w:val="57"/>
    <w:qFormat/>
    <w:uiPriority w:val="0"/>
    <w:pPr>
      <w:widowControl/>
      <w:snapToGrid w:val="0"/>
      <w:spacing w:before="60" w:after="160" w:line="259" w:lineRule="auto"/>
      <w:ind w:right="113"/>
    </w:pPr>
    <w:rPr>
      <w:kern w:val="0"/>
      <w:sz w:val="18"/>
      <w:szCs w:val="20"/>
    </w:rPr>
  </w:style>
  <w:style w:type="paragraph" w:styleId="18">
    <w:name w:val="List Bullet 5"/>
    <w:basedOn w:val="1"/>
    <w:qFormat/>
    <w:locked/>
    <w:uiPriority w:val="0"/>
    <w:pPr>
      <w:numPr>
        <w:ilvl w:val="0"/>
        <w:numId w:val="1"/>
      </w:numPr>
    </w:pPr>
  </w:style>
  <w:style w:type="paragraph" w:styleId="19">
    <w:name w:val="Block Text"/>
    <w:basedOn w:val="1"/>
    <w:qFormat/>
    <w:locked/>
    <w:uiPriority w:val="0"/>
    <w:pPr>
      <w:spacing w:line="560" w:lineRule="exact"/>
      <w:ind w:left="-113" w:right="-113" w:firstLine="624"/>
    </w:pPr>
    <w:rPr>
      <w:rFonts w:ascii="仿宋_GB2312"/>
      <w:sz w:val="30"/>
      <w:szCs w:val="20"/>
    </w:rPr>
  </w:style>
  <w:style w:type="paragraph" w:styleId="20">
    <w:name w:val="Plain Text"/>
    <w:basedOn w:val="1"/>
    <w:next w:val="1"/>
    <w:qFormat/>
    <w:locked/>
    <w:uiPriority w:val="0"/>
    <w:rPr>
      <w:rFonts w:ascii="宋体" w:hAnsi="Courier New" w:cs="Courier New"/>
      <w:sz w:val="21"/>
      <w:szCs w:val="21"/>
    </w:rPr>
  </w:style>
  <w:style w:type="paragraph" w:styleId="21">
    <w:name w:val="Date"/>
    <w:basedOn w:val="1"/>
    <w:next w:val="1"/>
    <w:link w:val="58"/>
    <w:qFormat/>
    <w:uiPriority w:val="0"/>
    <w:pPr>
      <w:ind w:left="100" w:leftChars="2500"/>
    </w:pPr>
    <w:rPr>
      <w:kern w:val="0"/>
      <w:szCs w:val="20"/>
    </w:rPr>
  </w:style>
  <w:style w:type="paragraph" w:styleId="22">
    <w:name w:val="Body Text Indent 2"/>
    <w:basedOn w:val="1"/>
    <w:qFormat/>
    <w:locked/>
    <w:uiPriority w:val="0"/>
    <w:pPr>
      <w:adjustRightInd w:val="0"/>
      <w:spacing w:line="300" w:lineRule="auto"/>
      <w:ind w:firstLine="480"/>
      <w:textAlignment w:val="baseline"/>
    </w:pPr>
    <w:rPr>
      <w:rFonts w:ascii="宋体" w:hAnsi="宋体"/>
      <w:kern w:val="0"/>
    </w:rPr>
  </w:style>
  <w:style w:type="paragraph" w:styleId="23">
    <w:name w:val="Balloon Text"/>
    <w:basedOn w:val="1"/>
    <w:link w:val="59"/>
    <w:semiHidden/>
    <w:uiPriority w:val="0"/>
    <w:rPr>
      <w:kern w:val="0"/>
      <w:sz w:val="18"/>
      <w:szCs w:val="20"/>
    </w:rPr>
  </w:style>
  <w:style w:type="paragraph" w:styleId="24">
    <w:name w:val="footer"/>
    <w:basedOn w:val="1"/>
    <w:next w:val="1"/>
    <w:link w:val="60"/>
    <w:qFormat/>
    <w:uiPriority w:val="99"/>
    <w:pPr>
      <w:tabs>
        <w:tab w:val="center" w:pos="4153"/>
        <w:tab w:val="right" w:pos="8306"/>
      </w:tabs>
      <w:snapToGrid w:val="0"/>
      <w:jc w:val="left"/>
    </w:pPr>
    <w:rPr>
      <w:kern w:val="0"/>
      <w:sz w:val="18"/>
      <w:szCs w:val="20"/>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qFormat/>
    <w:locked/>
    <w:uiPriority w:val="0"/>
    <w:pPr>
      <w:tabs>
        <w:tab w:val="right" w:leader="dot" w:pos="9060"/>
      </w:tabs>
      <w:adjustRightInd w:val="0"/>
      <w:snapToGrid w:val="0"/>
      <w:ind w:firstLine="42"/>
      <w:jc w:val="center"/>
    </w:pPr>
    <w:rPr>
      <w:rFonts w:ascii="宋体" w:hAnsi="宋体"/>
    </w:rPr>
  </w:style>
  <w:style w:type="paragraph" w:styleId="27">
    <w:name w:val="index heading"/>
    <w:basedOn w:val="1"/>
    <w:next w:val="28"/>
    <w:qFormat/>
    <w:locked/>
    <w:uiPriority w:val="0"/>
    <w:rPr>
      <w:rFonts w:ascii="Cambria" w:hAnsi="Cambria" w:eastAsia="宋体"/>
      <w:b/>
      <w:bCs/>
    </w:rPr>
  </w:style>
  <w:style w:type="paragraph" w:styleId="28">
    <w:name w:val="index 1"/>
    <w:basedOn w:val="1"/>
    <w:next w:val="1"/>
    <w:qFormat/>
    <w:locked/>
    <w:uiPriority w:val="0"/>
    <w:pPr>
      <w:spacing w:line="360" w:lineRule="exact"/>
      <w:ind w:left="-105" w:leftChars="-50" w:right="-105" w:rightChars="-50"/>
      <w:jc w:val="center"/>
    </w:pPr>
    <w:rPr>
      <w:rFonts w:ascii="宋体" w:hAnsi="宋体" w:eastAsia="宋体"/>
    </w:rPr>
  </w:style>
  <w:style w:type="paragraph" w:styleId="29">
    <w:name w:val="List"/>
    <w:basedOn w:val="1"/>
    <w:qFormat/>
    <w:locked/>
    <w:uiPriority w:val="0"/>
    <w:pPr>
      <w:spacing w:line="240" w:lineRule="atLeast"/>
    </w:pPr>
    <w:rPr>
      <w:sz w:val="21"/>
      <w:szCs w:val="21"/>
    </w:rPr>
  </w:style>
  <w:style w:type="paragraph" w:styleId="30">
    <w:name w:val="Body Text Indent 3"/>
    <w:basedOn w:val="1"/>
    <w:qFormat/>
    <w:locked/>
    <w:uiPriority w:val="0"/>
    <w:pPr>
      <w:spacing w:after="120"/>
      <w:ind w:left="420" w:leftChars="200"/>
    </w:pPr>
    <w:rPr>
      <w:sz w:val="16"/>
      <w:szCs w:val="16"/>
    </w:rPr>
  </w:style>
  <w:style w:type="paragraph" w:styleId="31">
    <w:name w:val="Body Text 2"/>
    <w:basedOn w:val="1"/>
    <w:qFormat/>
    <w:locked/>
    <w:uiPriority w:val="0"/>
    <w:pPr>
      <w:snapToGrid w:val="0"/>
      <w:jc w:val="center"/>
    </w:pPr>
    <w:rPr>
      <w:rFonts w:eastAsia="宋体"/>
      <w:sz w:val="28"/>
      <w:szCs w:val="20"/>
    </w:rPr>
  </w:style>
  <w:style w:type="paragraph" w:styleId="32">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rPr>
  </w:style>
  <w:style w:type="paragraph" w:styleId="33">
    <w:name w:val="Normal (Web)"/>
    <w:basedOn w:val="1"/>
    <w:link w:val="62"/>
    <w:qFormat/>
    <w:uiPriority w:val="99"/>
    <w:pPr>
      <w:widowControl/>
      <w:spacing w:before="100" w:beforeAutospacing="1" w:after="100" w:afterAutospacing="1"/>
      <w:jc w:val="left"/>
    </w:pPr>
    <w:rPr>
      <w:rFonts w:ascii="宋体" w:hAnsi="宋体"/>
      <w:kern w:val="0"/>
      <w:szCs w:val="20"/>
    </w:rPr>
  </w:style>
  <w:style w:type="paragraph" w:styleId="34">
    <w:name w:val="annotation subject"/>
    <w:basedOn w:val="15"/>
    <w:next w:val="15"/>
    <w:link w:val="63"/>
    <w:semiHidden/>
    <w:qFormat/>
    <w:uiPriority w:val="0"/>
    <w:rPr>
      <w:b/>
      <w:kern w:val="2"/>
    </w:rPr>
  </w:style>
  <w:style w:type="paragraph" w:styleId="35">
    <w:name w:val="Body Text First Indent"/>
    <w:basedOn w:val="17"/>
    <w:next w:val="1"/>
    <w:qFormat/>
    <w:locked/>
    <w:uiPriority w:val="0"/>
    <w:pPr>
      <w:ind w:firstLine="420" w:firstLineChars="100"/>
    </w:p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locked/>
    <w:uiPriority w:val="0"/>
    <w:rPr>
      <w:b/>
    </w:rPr>
  </w:style>
  <w:style w:type="character" w:styleId="40">
    <w:name w:val="page number"/>
    <w:qFormat/>
    <w:locked/>
    <w:uiPriority w:val="0"/>
  </w:style>
  <w:style w:type="character" w:styleId="41">
    <w:name w:val="FollowedHyperlink"/>
    <w:qFormat/>
    <w:locked/>
    <w:uiPriority w:val="0"/>
    <w:rPr>
      <w:color w:val="800080"/>
      <w:u w:val="none"/>
    </w:rPr>
  </w:style>
  <w:style w:type="character" w:styleId="42">
    <w:name w:val="Emphasis"/>
    <w:qFormat/>
    <w:locked/>
    <w:uiPriority w:val="0"/>
    <w:rPr>
      <w:i/>
    </w:rPr>
  </w:style>
  <w:style w:type="character" w:styleId="43">
    <w:name w:val="HTML Definition"/>
    <w:qFormat/>
    <w:locked/>
    <w:uiPriority w:val="0"/>
    <w:rPr>
      <w:i/>
    </w:rPr>
  </w:style>
  <w:style w:type="character" w:styleId="44">
    <w:name w:val="HTML Typewriter"/>
    <w:qFormat/>
    <w:locked/>
    <w:uiPriority w:val="0"/>
    <w:rPr>
      <w:rFonts w:hint="default" w:ascii="monospace" w:hAnsi="monospace" w:eastAsia="monospace" w:cs="monospace"/>
      <w:sz w:val="20"/>
    </w:rPr>
  </w:style>
  <w:style w:type="character" w:styleId="45">
    <w:name w:val="HTML Acronym"/>
    <w:qFormat/>
    <w:locked/>
    <w:uiPriority w:val="0"/>
  </w:style>
  <w:style w:type="character" w:styleId="46">
    <w:name w:val="HTML Variable"/>
    <w:qFormat/>
    <w:locked/>
    <w:uiPriority w:val="0"/>
    <w:rPr>
      <w:i/>
    </w:rPr>
  </w:style>
  <w:style w:type="character" w:styleId="47">
    <w:name w:val="Hyperlink"/>
    <w:qFormat/>
    <w:locked/>
    <w:uiPriority w:val="0"/>
    <w:rPr>
      <w:color w:val="0000FF"/>
      <w:u w:val="none"/>
    </w:rPr>
  </w:style>
  <w:style w:type="character" w:styleId="48">
    <w:name w:val="HTML Code"/>
    <w:qFormat/>
    <w:locked/>
    <w:uiPriority w:val="0"/>
    <w:rPr>
      <w:rFonts w:ascii="monospace" w:hAnsi="monospace" w:eastAsia="monospace" w:cs="monospace"/>
      <w:sz w:val="20"/>
    </w:rPr>
  </w:style>
  <w:style w:type="character" w:styleId="49">
    <w:name w:val="annotation reference"/>
    <w:semiHidden/>
    <w:qFormat/>
    <w:uiPriority w:val="0"/>
    <w:rPr>
      <w:sz w:val="21"/>
    </w:rPr>
  </w:style>
  <w:style w:type="character" w:styleId="50">
    <w:name w:val="HTML Cite"/>
    <w:qFormat/>
    <w:locked/>
    <w:uiPriority w:val="0"/>
    <w:rPr>
      <w:i/>
    </w:rPr>
  </w:style>
  <w:style w:type="character" w:styleId="51">
    <w:name w:val="HTML Keyboard"/>
    <w:qFormat/>
    <w:locked/>
    <w:uiPriority w:val="0"/>
    <w:rPr>
      <w:rFonts w:hint="default" w:ascii="monospace" w:hAnsi="monospace" w:eastAsia="monospace" w:cs="monospace"/>
      <w:sz w:val="20"/>
    </w:rPr>
  </w:style>
  <w:style w:type="character" w:styleId="52">
    <w:name w:val="HTML Sample"/>
    <w:qFormat/>
    <w:locked/>
    <w:uiPriority w:val="0"/>
    <w:rPr>
      <w:rFonts w:hint="default" w:ascii="monospace" w:hAnsi="monospace" w:eastAsia="monospace" w:cs="monospace"/>
    </w:rPr>
  </w:style>
  <w:style w:type="character" w:customStyle="1" w:styleId="53">
    <w:name w:val="正文文本缩进 Char"/>
    <w:link w:val="3"/>
    <w:semiHidden/>
    <w:qFormat/>
    <w:locked/>
    <w:uiPriority w:val="0"/>
    <w:rPr>
      <w:rFonts w:ascii="Times New Roman" w:hAnsi="Times New Roman" w:eastAsia="宋体"/>
      <w:sz w:val="24"/>
    </w:rPr>
  </w:style>
  <w:style w:type="character" w:customStyle="1" w:styleId="54">
    <w:name w:val="标题 1 Char"/>
    <w:link w:val="4"/>
    <w:qFormat/>
    <w:uiPriority w:val="99"/>
    <w:rPr>
      <w:rFonts w:ascii="Times New Roman" w:hAnsi="Times New Roman" w:eastAsia="宋体"/>
      <w:b/>
      <w:bCs/>
      <w:color w:val="000000"/>
      <w:kern w:val="44"/>
      <w:sz w:val="24"/>
    </w:rPr>
  </w:style>
  <w:style w:type="character" w:customStyle="1" w:styleId="55">
    <w:name w:val="文档结构图 Char"/>
    <w:link w:val="14"/>
    <w:qFormat/>
    <w:uiPriority w:val="0"/>
    <w:rPr>
      <w:rFonts w:ascii="宋体"/>
      <w:kern w:val="2"/>
      <w:sz w:val="18"/>
      <w:szCs w:val="18"/>
    </w:rPr>
  </w:style>
  <w:style w:type="character" w:customStyle="1" w:styleId="56">
    <w:name w:val="批注文字 Char"/>
    <w:link w:val="15"/>
    <w:qFormat/>
    <w:locked/>
    <w:uiPriority w:val="0"/>
    <w:rPr>
      <w:rFonts w:ascii="Times New Roman" w:hAnsi="Times New Roman" w:eastAsia="宋体"/>
      <w:sz w:val="24"/>
    </w:rPr>
  </w:style>
  <w:style w:type="character" w:customStyle="1" w:styleId="57">
    <w:name w:val="正文文本 Char"/>
    <w:link w:val="17"/>
    <w:qFormat/>
    <w:locked/>
    <w:uiPriority w:val="0"/>
    <w:rPr>
      <w:sz w:val="18"/>
    </w:rPr>
  </w:style>
  <w:style w:type="character" w:customStyle="1" w:styleId="58">
    <w:name w:val="日期 Char"/>
    <w:link w:val="21"/>
    <w:qFormat/>
    <w:locked/>
    <w:uiPriority w:val="0"/>
    <w:rPr>
      <w:rFonts w:ascii="Times New Roman" w:hAnsi="Times New Roman" w:eastAsia="宋体"/>
      <w:sz w:val="24"/>
    </w:rPr>
  </w:style>
  <w:style w:type="character" w:customStyle="1" w:styleId="59">
    <w:name w:val="批注框文本 Char"/>
    <w:link w:val="23"/>
    <w:semiHidden/>
    <w:qFormat/>
    <w:locked/>
    <w:uiPriority w:val="0"/>
    <w:rPr>
      <w:rFonts w:ascii="Times New Roman" w:hAnsi="Times New Roman" w:eastAsia="宋体"/>
      <w:sz w:val="18"/>
    </w:rPr>
  </w:style>
  <w:style w:type="character" w:customStyle="1" w:styleId="60">
    <w:name w:val="页脚 Char"/>
    <w:link w:val="24"/>
    <w:qFormat/>
    <w:locked/>
    <w:uiPriority w:val="99"/>
    <w:rPr>
      <w:sz w:val="18"/>
    </w:rPr>
  </w:style>
  <w:style w:type="character" w:customStyle="1" w:styleId="61">
    <w:name w:val="页眉 Char"/>
    <w:link w:val="25"/>
    <w:qFormat/>
    <w:locked/>
    <w:uiPriority w:val="0"/>
    <w:rPr>
      <w:sz w:val="18"/>
    </w:rPr>
  </w:style>
  <w:style w:type="character" w:customStyle="1" w:styleId="62">
    <w:name w:val="普通(网站) Char"/>
    <w:link w:val="33"/>
    <w:qFormat/>
    <w:locked/>
    <w:uiPriority w:val="0"/>
    <w:rPr>
      <w:rFonts w:ascii="宋体" w:hAnsi="宋体" w:eastAsia="宋体"/>
      <w:sz w:val="24"/>
    </w:rPr>
  </w:style>
  <w:style w:type="character" w:customStyle="1" w:styleId="63">
    <w:name w:val="批注主题 Char"/>
    <w:link w:val="34"/>
    <w:semiHidden/>
    <w:qFormat/>
    <w:locked/>
    <w:uiPriority w:val="0"/>
    <w:rPr>
      <w:rFonts w:ascii="Times New Roman" w:hAnsi="Times New Roman" w:eastAsia="宋体"/>
      <w:b/>
      <w:kern w:val="2"/>
      <w:sz w:val="24"/>
    </w:rPr>
  </w:style>
  <w:style w:type="paragraph" w:customStyle="1" w:styleId="64">
    <w:name w:val="Date1"/>
    <w:basedOn w:val="1"/>
    <w:next w:val="1"/>
    <w:qFormat/>
    <w:uiPriority w:val="0"/>
    <w:pPr>
      <w:adjustRightInd w:val="0"/>
      <w:jc w:val="left"/>
      <w:textAlignment w:val="baseline"/>
    </w:pPr>
    <w:rPr>
      <w:rFonts w:ascii="宋体" w:hAnsi="宋体" w:eastAsia="宋体"/>
      <w:szCs w:val="20"/>
    </w:rPr>
  </w:style>
  <w:style w:type="paragraph" w:customStyle="1" w:styleId="65">
    <w:name w:val="正文（缩进）"/>
    <w:basedOn w:val="66"/>
    <w:next w:val="1"/>
    <w:link w:val="67"/>
    <w:qFormat/>
    <w:uiPriority w:val="99"/>
    <w:pPr>
      <w:ind w:firstLine="480"/>
    </w:pPr>
    <w:rPr>
      <w:szCs w:val="21"/>
    </w:rPr>
  </w:style>
  <w:style w:type="paragraph" w:customStyle="1" w:styleId="66">
    <w:name w:val="正文(首行缩进)"/>
    <w:basedOn w:val="1"/>
    <w:qFormat/>
    <w:uiPriority w:val="0"/>
    <w:pPr>
      <w:widowControl/>
      <w:adjustRightInd w:val="0"/>
      <w:snapToGrid w:val="0"/>
      <w:spacing w:line="360" w:lineRule="auto"/>
      <w:ind w:firstLine="200" w:firstLineChars="200"/>
      <w:jc w:val="left"/>
    </w:pPr>
    <w:rPr>
      <w:rFonts w:ascii="Calibri" w:hAnsi="Calibri"/>
      <w:snapToGrid w:val="0"/>
      <w:kern w:val="0"/>
      <w:lang w:eastAsia="en-US" w:bidi="en-US"/>
    </w:rPr>
  </w:style>
  <w:style w:type="character" w:customStyle="1" w:styleId="67">
    <w:name w:val="正文（缩进） Char"/>
    <w:link w:val="65"/>
    <w:qFormat/>
    <w:uiPriority w:val="99"/>
    <w:rPr>
      <w:sz w:val="24"/>
      <w:szCs w:val="21"/>
    </w:rPr>
  </w:style>
  <w:style w:type="paragraph" w:customStyle="1" w:styleId="68">
    <w:name w:val="表格"/>
    <w:basedOn w:val="69"/>
    <w:next w:val="1"/>
    <w:link w:val="70"/>
    <w:qFormat/>
    <w:uiPriority w:val="0"/>
    <w:pPr>
      <w:tabs>
        <w:tab w:val="left" w:pos="893"/>
      </w:tabs>
      <w:adjustRightInd w:val="0"/>
      <w:snapToGrid w:val="0"/>
      <w:spacing w:beforeLines="10" w:afterLines="10" w:line="259" w:lineRule="auto"/>
      <w:jc w:val="center"/>
    </w:pPr>
    <w:rPr>
      <w:kern w:val="0"/>
    </w:rPr>
  </w:style>
  <w:style w:type="paragraph" w:customStyle="1" w:styleId="69">
    <w:name w:val="Normal Indent1"/>
    <w:basedOn w:val="1"/>
    <w:qFormat/>
    <w:uiPriority w:val="0"/>
    <w:pPr>
      <w:spacing w:line="600" w:lineRule="exact"/>
      <w:ind w:firstLine="420"/>
    </w:pPr>
    <w:rPr>
      <w:rFonts w:ascii="宋体"/>
      <w:sz w:val="32"/>
      <w:szCs w:val="20"/>
    </w:rPr>
  </w:style>
  <w:style w:type="character" w:customStyle="1" w:styleId="70">
    <w:name w:val="表格 Char"/>
    <w:link w:val="68"/>
    <w:qFormat/>
    <w:locked/>
    <w:uiPriority w:val="0"/>
    <w:rPr>
      <w:rFonts w:ascii="宋体"/>
      <w:sz w:val="21"/>
    </w:rPr>
  </w:style>
  <w:style w:type="paragraph" w:customStyle="1" w:styleId="71">
    <w:name w:val="Default"/>
    <w:basedOn w:val="72"/>
    <w:next w:val="20"/>
    <w:qFormat/>
    <w:uiPriority w:val="0"/>
    <w:rPr>
      <w:rFonts w:cs="宋体"/>
      <w:color w:val="000000"/>
      <w:szCs w:val="24"/>
    </w:rPr>
  </w:style>
  <w:style w:type="paragraph" w:customStyle="1" w:styleId="72">
    <w:name w:val="纯文本1"/>
    <w:basedOn w:val="1"/>
    <w:qFormat/>
    <w:uiPriority w:val="99"/>
    <w:pPr>
      <w:autoSpaceDE w:val="0"/>
      <w:autoSpaceDN w:val="0"/>
      <w:adjustRightInd w:val="0"/>
      <w:textAlignment w:val="baseline"/>
    </w:pPr>
    <w:rPr>
      <w:rFonts w:ascii="宋体"/>
      <w:szCs w:val="20"/>
    </w:rPr>
  </w:style>
  <w:style w:type="character" w:customStyle="1" w:styleId="73">
    <w:name w:val="ul_li_a_1"/>
    <w:qFormat/>
    <w:uiPriority w:val="0"/>
    <w:rPr>
      <w:b/>
      <w:bCs/>
      <w:color w:val="FFFFFF"/>
    </w:rPr>
  </w:style>
  <w:style w:type="character" w:customStyle="1" w:styleId="74">
    <w:name w:val="bds_more"/>
    <w:qFormat/>
    <w:uiPriority w:val="0"/>
    <w:rPr>
      <w:rFonts w:hint="eastAsia" w:ascii="宋体" w:hAnsi="宋体" w:eastAsia="宋体" w:cs="宋体"/>
    </w:rPr>
  </w:style>
  <w:style w:type="character" w:customStyle="1" w:styleId="75">
    <w:name w:val="bds_nopic2"/>
    <w:qFormat/>
    <w:uiPriority w:val="0"/>
  </w:style>
  <w:style w:type="paragraph" w:customStyle="1" w:styleId="76">
    <w:name w:val="表头"/>
    <w:basedOn w:val="29"/>
    <w:next w:val="1"/>
    <w:qFormat/>
    <w:uiPriority w:val="0"/>
    <w:pPr>
      <w:tabs>
        <w:tab w:val="left" w:pos="893"/>
      </w:tabs>
      <w:jc w:val="center"/>
    </w:pPr>
    <w:rPr>
      <w:rFonts w:eastAsia="黑体"/>
      <w:color w:val="000000"/>
      <w:sz w:val="28"/>
      <w:szCs w:val="28"/>
    </w:rPr>
  </w:style>
  <w:style w:type="paragraph" w:customStyle="1" w:styleId="77">
    <w:name w:val="A正文"/>
    <w:basedOn w:val="1"/>
    <w:qFormat/>
    <w:uiPriority w:val="0"/>
    <w:pPr>
      <w:tabs>
        <w:tab w:val="left" w:pos="893"/>
      </w:tabs>
      <w:spacing w:before="100" w:beforeAutospacing="1"/>
      <w:jc w:val="left"/>
    </w:pPr>
    <w:rPr>
      <w:snapToGrid w:val="0"/>
      <w:kern w:val="0"/>
      <w:szCs w:val="20"/>
      <w:lang w:val="zh-CN"/>
    </w:rPr>
  </w:style>
  <w:style w:type="paragraph" w:customStyle="1" w:styleId="78">
    <w:name w:val="环评正文"/>
    <w:basedOn w:val="1"/>
    <w:next w:val="1"/>
    <w:qFormat/>
    <w:uiPriority w:val="0"/>
    <w:pPr>
      <w:adjustRightInd w:val="0"/>
      <w:spacing w:line="360" w:lineRule="auto"/>
      <w:ind w:firstLine="200" w:firstLineChars="200"/>
    </w:pPr>
    <w:rPr>
      <w:rFonts w:ascii="仿宋_GB2312"/>
      <w:bCs/>
    </w:rPr>
  </w:style>
  <w:style w:type="character" w:customStyle="1" w:styleId="79">
    <w:name w:val="nth-of-type(2)3"/>
    <w:qFormat/>
    <w:uiPriority w:val="0"/>
  </w:style>
  <w:style w:type="character" w:customStyle="1" w:styleId="80">
    <w:name w:val="span_title"/>
    <w:qFormat/>
    <w:uiPriority w:val="0"/>
    <w:rPr>
      <w:shd w:val="clear" w:color="auto" w:fill="DBDBDB"/>
    </w:rPr>
  </w:style>
  <w:style w:type="character" w:customStyle="1" w:styleId="81">
    <w:name w:val="ip"/>
    <w:qFormat/>
    <w:uiPriority w:val="0"/>
  </w:style>
  <w:style w:type="character" w:customStyle="1" w:styleId="82">
    <w:name w:val="bds_nopic"/>
    <w:qFormat/>
    <w:uiPriority w:val="0"/>
  </w:style>
  <w:style w:type="character" w:customStyle="1" w:styleId="83">
    <w:name w:val="subt"/>
    <w:qFormat/>
    <w:uiPriority w:val="0"/>
    <w:rPr>
      <w:color w:val="333333"/>
      <w:sz w:val="39"/>
      <w:szCs w:val="39"/>
    </w:rPr>
  </w:style>
  <w:style w:type="character" w:customStyle="1" w:styleId="84">
    <w:name w:val="span_title2"/>
    <w:qFormat/>
    <w:uiPriority w:val="0"/>
    <w:rPr>
      <w:shd w:val="clear" w:color="auto" w:fill="DBDBDB"/>
    </w:rPr>
  </w:style>
  <w:style w:type="character" w:customStyle="1" w:styleId="85">
    <w:name w:val="nth-of-type(2)1"/>
    <w:qFormat/>
    <w:uiPriority w:val="0"/>
  </w:style>
  <w:style w:type="character" w:customStyle="1" w:styleId="86">
    <w:name w:val="a_p_3"/>
    <w:qFormat/>
    <w:uiPriority w:val="0"/>
    <w:rPr>
      <w:sz w:val="27"/>
      <w:szCs w:val="27"/>
    </w:rPr>
  </w:style>
  <w:style w:type="character" w:customStyle="1" w:styleId="87">
    <w:name w:val="bds_more1"/>
    <w:qFormat/>
    <w:uiPriority w:val="0"/>
  </w:style>
  <w:style w:type="character" w:customStyle="1" w:styleId="88">
    <w:name w:val="报告 Char"/>
    <w:qFormat/>
    <w:uiPriority w:val="0"/>
    <w:rPr>
      <w:rFonts w:eastAsia="宋体"/>
      <w:sz w:val="24"/>
      <w:lang w:val="en-GB" w:eastAsia="zh-CN" w:bidi="ar-SA"/>
    </w:rPr>
  </w:style>
  <w:style w:type="character" w:customStyle="1" w:styleId="89">
    <w:name w:val="a_p_2"/>
    <w:qFormat/>
    <w:uiPriority w:val="0"/>
  </w:style>
  <w:style w:type="character" w:customStyle="1" w:styleId="90">
    <w:name w:val="a_p_1"/>
    <w:qFormat/>
    <w:uiPriority w:val="0"/>
    <w:rPr>
      <w:sz w:val="27"/>
      <w:szCs w:val="27"/>
    </w:rPr>
  </w:style>
  <w:style w:type="character" w:customStyle="1" w:styleId="91">
    <w:name w:val="fr"/>
    <w:qFormat/>
    <w:uiPriority w:val="0"/>
    <w:rPr>
      <w:sz w:val="18"/>
      <w:szCs w:val="18"/>
    </w:rPr>
  </w:style>
  <w:style w:type="character" w:customStyle="1" w:styleId="92">
    <w:name w:val="a_p_21"/>
    <w:qFormat/>
    <w:uiPriority w:val="0"/>
    <w:rPr>
      <w:sz w:val="27"/>
      <w:szCs w:val="27"/>
    </w:rPr>
  </w:style>
  <w:style w:type="character" w:customStyle="1" w:styleId="93">
    <w:name w:val="bds_more2"/>
    <w:qFormat/>
    <w:uiPriority w:val="0"/>
  </w:style>
  <w:style w:type="character" w:customStyle="1" w:styleId="94">
    <w:name w:val="font01"/>
    <w:qFormat/>
    <w:uiPriority w:val="0"/>
    <w:rPr>
      <w:rFonts w:hint="eastAsia" w:ascii="宋体" w:hAnsi="宋体" w:eastAsia="宋体" w:cs="宋体"/>
      <w:color w:val="000000"/>
      <w:sz w:val="21"/>
      <w:szCs w:val="21"/>
      <w:u w:val="none"/>
    </w:rPr>
  </w:style>
  <w:style w:type="character" w:customStyle="1" w:styleId="95">
    <w:name w:val="nth-of-type(1)1"/>
    <w:qFormat/>
    <w:uiPriority w:val="0"/>
  </w:style>
  <w:style w:type="character" w:customStyle="1" w:styleId="96">
    <w:name w:val="fr4"/>
    <w:qFormat/>
    <w:uiPriority w:val="0"/>
    <w:rPr>
      <w:sz w:val="18"/>
      <w:szCs w:val="18"/>
    </w:rPr>
  </w:style>
  <w:style w:type="character" w:customStyle="1" w:styleId="97">
    <w:name w:val="页脚 字符"/>
    <w:qFormat/>
    <w:uiPriority w:val="99"/>
  </w:style>
  <w:style w:type="character" w:customStyle="1" w:styleId="98">
    <w:name w:val="修改表格标题 Char"/>
    <w:link w:val="99"/>
    <w:qFormat/>
    <w:uiPriority w:val="0"/>
    <w:rPr>
      <w:rFonts w:ascii="宋体" w:hAnsi="宋体"/>
      <w:b/>
      <w:kern w:val="2"/>
      <w:sz w:val="24"/>
    </w:rPr>
  </w:style>
  <w:style w:type="paragraph" w:customStyle="1" w:styleId="99">
    <w:name w:val="修改表格标题"/>
    <w:basedOn w:val="1"/>
    <w:link w:val="98"/>
    <w:qFormat/>
    <w:uiPriority w:val="0"/>
    <w:pPr>
      <w:snapToGrid w:val="0"/>
      <w:spacing w:line="0" w:lineRule="atLeast"/>
    </w:pPr>
    <w:rPr>
      <w:rFonts w:ascii="宋体" w:hAnsi="宋体"/>
      <w:b/>
      <w:szCs w:val="20"/>
    </w:rPr>
  </w:style>
  <w:style w:type="character" w:customStyle="1" w:styleId="100">
    <w:name w:val="日期 字符"/>
    <w:semiHidden/>
    <w:qFormat/>
    <w:uiPriority w:val="0"/>
    <w:rPr>
      <w:rFonts w:ascii="Times New Roman" w:hAnsi="Times New Roman" w:eastAsia="宋体"/>
      <w:sz w:val="24"/>
    </w:rPr>
  </w:style>
  <w:style w:type="character" w:customStyle="1" w:styleId="101">
    <w:name w:val="bds_nopic1"/>
    <w:qFormat/>
    <w:uiPriority w:val="0"/>
  </w:style>
  <w:style w:type="character" w:customStyle="1" w:styleId="102">
    <w:name w:val="nth-of-type(2)2"/>
    <w:qFormat/>
    <w:uiPriority w:val="0"/>
  </w:style>
  <w:style w:type="character" w:customStyle="1" w:styleId="103">
    <w:name w:val="nth-of-type(2)"/>
    <w:qFormat/>
    <w:uiPriority w:val="0"/>
  </w:style>
  <w:style w:type="character" w:customStyle="1" w:styleId="104">
    <w:name w:val="样式 (符号) 宋体 加粗"/>
    <w:qFormat/>
    <w:uiPriority w:val="0"/>
    <w:rPr>
      <w:b/>
      <w:bCs/>
    </w:rPr>
  </w:style>
  <w:style w:type="character" w:customStyle="1" w:styleId="105">
    <w:name w:val="正文文本 字符1"/>
    <w:semiHidden/>
    <w:qFormat/>
    <w:uiPriority w:val="0"/>
    <w:rPr>
      <w:rFonts w:ascii="Times New Roman" w:hAnsi="Times New Roman" w:eastAsia="宋体"/>
      <w:sz w:val="24"/>
    </w:rPr>
  </w:style>
  <w:style w:type="character" w:customStyle="1" w:styleId="106">
    <w:name w:val="exap"/>
    <w:qFormat/>
    <w:uiPriority w:val="0"/>
    <w:rPr>
      <w:sz w:val="27"/>
      <w:szCs w:val="27"/>
    </w:rPr>
  </w:style>
  <w:style w:type="character" w:customStyle="1" w:styleId="107">
    <w:name w:val="nth-of-type(1)"/>
    <w:qFormat/>
    <w:uiPriority w:val="0"/>
  </w:style>
  <w:style w:type="character" w:customStyle="1" w:styleId="108">
    <w:name w:val="NormalCharacter"/>
    <w:qFormat/>
    <w:uiPriority w:val="0"/>
    <w:rPr>
      <w:kern w:val="2"/>
      <w:sz w:val="21"/>
      <w:szCs w:val="24"/>
      <w:lang w:val="en-US" w:eastAsia="zh-CN" w:bidi="ar-SA"/>
    </w:rPr>
  </w:style>
  <w:style w:type="character" w:customStyle="1" w:styleId="109">
    <w:name w:val="over"/>
    <w:qFormat/>
    <w:uiPriority w:val="0"/>
    <w:rPr>
      <w:color w:val="CC0000"/>
    </w:rPr>
  </w:style>
  <w:style w:type="character" w:customStyle="1" w:styleId="110">
    <w:name w:val="批注文字 字符1"/>
    <w:semiHidden/>
    <w:qFormat/>
    <w:uiPriority w:val="0"/>
    <w:rPr>
      <w:rFonts w:ascii="Times New Roman" w:hAnsi="Times New Roman" w:eastAsia="宋体"/>
      <w:sz w:val="24"/>
    </w:rPr>
  </w:style>
  <w:style w:type="character" w:customStyle="1" w:styleId="111">
    <w:name w:val="first-of-type"/>
    <w:qFormat/>
    <w:uiPriority w:val="0"/>
  </w:style>
  <w:style w:type="character" w:customStyle="1" w:styleId="112">
    <w:name w:val="nth-of-type(1)2"/>
    <w:qFormat/>
    <w:uiPriority w:val="0"/>
  </w:style>
  <w:style w:type="character" w:customStyle="1" w:styleId="113">
    <w:name w:val="now"/>
    <w:qFormat/>
    <w:uiPriority w:val="0"/>
    <w:rPr>
      <w:color w:val="CC0000"/>
    </w:rPr>
  </w:style>
  <w:style w:type="paragraph" w:customStyle="1" w:styleId="114">
    <w:name w:val="表格文本"/>
    <w:basedOn w:val="1"/>
    <w:qFormat/>
    <w:uiPriority w:val="5"/>
    <w:pPr>
      <w:jc w:val="center"/>
    </w:pPr>
    <w:rPr>
      <w:bCs/>
      <w:sz w:val="21"/>
      <w:szCs w:val="28"/>
    </w:rPr>
  </w:style>
  <w:style w:type="paragraph" w:customStyle="1" w:styleId="115">
    <w:name w:val="报告书正文段落"/>
    <w:basedOn w:val="1"/>
    <w:qFormat/>
    <w:uiPriority w:val="0"/>
    <w:pPr>
      <w:spacing w:line="360" w:lineRule="auto"/>
      <w:ind w:firstLine="200" w:firstLineChars="200"/>
    </w:pPr>
    <w:rPr>
      <w:rFonts w:cs="宋体"/>
      <w:kern w:val="0"/>
      <w:lang w:val="zh-CN"/>
    </w:rPr>
  </w:style>
  <w:style w:type="paragraph" w:customStyle="1" w:styleId="116">
    <w:name w:val="表内文字"/>
    <w:basedOn w:val="1"/>
    <w:qFormat/>
    <w:uiPriority w:val="0"/>
    <w:pPr>
      <w:spacing w:line="320" w:lineRule="exact"/>
      <w:jc w:val="center"/>
    </w:pPr>
    <w:rPr>
      <w:sz w:val="21"/>
    </w:rPr>
  </w:style>
  <w:style w:type="paragraph" w:customStyle="1" w:styleId="117">
    <w:name w:val="正文0"/>
    <w:basedOn w:val="1"/>
    <w:next w:val="1"/>
    <w:qFormat/>
    <w:uiPriority w:val="0"/>
    <w:pPr>
      <w:spacing w:line="360" w:lineRule="auto"/>
      <w:ind w:firstLine="200" w:firstLineChars="200"/>
    </w:pPr>
    <w:rPr>
      <w:szCs w:val="20"/>
    </w:rPr>
  </w:style>
  <w:style w:type="paragraph" w:customStyle="1" w:styleId="118">
    <w:name w:val="表体"/>
    <w:basedOn w:val="1"/>
    <w:qFormat/>
    <w:uiPriority w:val="0"/>
    <w:pPr>
      <w:adjustRightInd w:val="0"/>
      <w:snapToGrid w:val="0"/>
      <w:spacing w:line="240" w:lineRule="atLeast"/>
      <w:jc w:val="center"/>
    </w:pPr>
    <w:rPr>
      <w:rFonts w:ascii="仿宋_GB2312"/>
    </w:rPr>
  </w:style>
  <w:style w:type="paragraph" w:customStyle="1" w:styleId="119">
    <w:name w:val="样式 标题 1 + 首行缩进:  2 字符"/>
    <w:basedOn w:val="17"/>
    <w:next w:val="1"/>
    <w:qFormat/>
    <w:uiPriority w:val="0"/>
    <w:pPr>
      <w:ind w:firstLine="200" w:firstLineChars="200"/>
      <w:jc w:val="center"/>
    </w:pPr>
    <w:rPr>
      <w:rFonts w:ascii="Calibri" w:hAnsi="Calibri" w:cs="宋体"/>
      <w:kern w:val="2"/>
      <w:sz w:val="21"/>
    </w:rPr>
  </w:style>
  <w:style w:type="paragraph" w:customStyle="1" w:styleId="120">
    <w:name w:val="999"/>
    <w:basedOn w:val="1"/>
    <w:qFormat/>
    <w:uiPriority w:val="0"/>
    <w:pPr>
      <w:snapToGrid w:val="0"/>
      <w:ind w:firstLine="200"/>
      <w:jc w:val="left"/>
    </w:pPr>
  </w:style>
  <w:style w:type="paragraph" w:customStyle="1" w:styleId="121">
    <w:name w:val="蓝丰环评正文"/>
    <w:basedOn w:val="78"/>
    <w:qFormat/>
    <w:uiPriority w:val="0"/>
    <w:pPr>
      <w:ind w:firstLine="480"/>
    </w:pPr>
  </w:style>
  <w:style w:type="paragraph" w:customStyle="1" w:styleId="122">
    <w:name w:val="表格标题"/>
    <w:basedOn w:val="1"/>
    <w:qFormat/>
    <w:uiPriority w:val="0"/>
    <w:pPr>
      <w:spacing w:before="120"/>
      <w:jc w:val="center"/>
    </w:pPr>
    <w:rPr>
      <w:szCs w:val="20"/>
    </w:rPr>
  </w:style>
  <w:style w:type="paragraph" w:customStyle="1" w:styleId="123">
    <w:name w:val="新格式表"/>
    <w:basedOn w:val="1"/>
    <w:qFormat/>
    <w:uiPriority w:val="0"/>
    <w:pPr>
      <w:adjustRightInd w:val="0"/>
      <w:snapToGrid w:val="0"/>
      <w:spacing w:line="0" w:lineRule="atLeast"/>
      <w:jc w:val="center"/>
    </w:pPr>
    <w:rPr>
      <w:color w:val="000000"/>
      <w:kern w:val="0"/>
      <w:szCs w:val="21"/>
    </w:rPr>
  </w:style>
  <w:style w:type="paragraph" w:customStyle="1" w:styleId="124">
    <w:name w:val="Table Paragraph"/>
    <w:basedOn w:val="1"/>
    <w:next w:val="16"/>
    <w:qFormat/>
    <w:uiPriority w:val="0"/>
    <w:pPr>
      <w:jc w:val="center"/>
    </w:pPr>
    <w:rPr>
      <w:rFonts w:ascii="宋体" w:hAnsi="宋体" w:eastAsia="宋体" w:cs="宋体"/>
      <w:lang w:val="zh-CN" w:bidi="zh-CN"/>
    </w:rPr>
  </w:style>
  <w:style w:type="paragraph" w:customStyle="1" w:styleId="125">
    <w:name w:val="样式 表格 + 加粗"/>
    <w:basedOn w:val="68"/>
    <w:qFormat/>
    <w:uiPriority w:val="0"/>
    <w:rPr>
      <w:b/>
    </w:rPr>
  </w:style>
  <w:style w:type="paragraph" w:customStyle="1" w:styleId="126">
    <w:name w:val="T表格"/>
    <w:qFormat/>
    <w:uiPriority w:val="0"/>
    <w:pPr>
      <w:adjustRightInd w:val="0"/>
      <w:snapToGrid w:val="0"/>
      <w:spacing w:line="360" w:lineRule="auto"/>
      <w:jc w:val="center"/>
    </w:pPr>
    <w:rPr>
      <w:rFonts w:ascii="Times New Roman" w:hAnsi="Times New Roman" w:eastAsia="宋体" w:cs="Times New Roman"/>
      <w:color w:val="000000"/>
      <w:sz w:val="21"/>
      <w:szCs w:val="21"/>
      <w:lang w:val="en-US" w:eastAsia="zh-CN" w:bidi="ar-SA"/>
    </w:rPr>
  </w:style>
  <w:style w:type="paragraph" w:customStyle="1" w:styleId="127">
    <w:name w:val="普通(网站)2"/>
    <w:basedOn w:val="1"/>
    <w:qFormat/>
    <w:uiPriority w:val="0"/>
    <w:pPr>
      <w:widowControl/>
      <w:spacing w:before="100" w:beforeAutospacing="1" w:after="100" w:afterAutospacing="1"/>
      <w:jc w:val="left"/>
    </w:pPr>
    <w:rPr>
      <w:rFonts w:ascii="宋体" w:hAnsi="宋体"/>
      <w:szCs w:val="20"/>
    </w:rPr>
  </w:style>
  <w:style w:type="paragraph" w:customStyle="1" w:styleId="128">
    <w:name w:val="图表标题新"/>
    <w:basedOn w:val="1"/>
    <w:qFormat/>
    <w:uiPriority w:val="0"/>
    <w:pPr>
      <w:spacing w:line="360" w:lineRule="exact"/>
      <w:jc w:val="center"/>
    </w:pPr>
    <w:rPr>
      <w:rFonts w:ascii="宋体" w:hAnsi="宋体" w:cs="宋体"/>
      <w:b/>
    </w:rPr>
  </w:style>
  <w:style w:type="paragraph" w:customStyle="1" w:styleId="129">
    <w:name w:val="正文缩近"/>
    <w:basedOn w:val="1"/>
    <w:qFormat/>
    <w:uiPriority w:val="0"/>
    <w:pPr>
      <w:spacing w:line="360" w:lineRule="auto"/>
      <w:ind w:firstLine="560" w:firstLineChars="200"/>
    </w:pPr>
    <w:rPr>
      <w:sz w:val="28"/>
      <w:szCs w:val="28"/>
    </w:rPr>
  </w:style>
  <w:style w:type="paragraph" w:customStyle="1" w:styleId="130">
    <w:name w:val="Char2 Char Char Char"/>
    <w:basedOn w:val="1"/>
    <w:qFormat/>
    <w:uiPriority w:val="0"/>
  </w:style>
  <w:style w:type="paragraph" w:customStyle="1" w:styleId="131">
    <w:name w:val="【表头】"/>
    <w:basedOn w:val="1"/>
    <w:qFormat/>
    <w:uiPriority w:val="0"/>
    <w:pPr>
      <w:spacing w:line="460" w:lineRule="exact"/>
      <w:jc w:val="center"/>
    </w:pPr>
    <w:rPr>
      <w:rFonts w:eastAsia="黑体"/>
    </w:rPr>
  </w:style>
  <w:style w:type="paragraph" w:customStyle="1" w:styleId="132">
    <w:name w:val="报告表正文"/>
    <w:qFormat/>
    <w:uiPriority w:val="0"/>
    <w:pPr>
      <w:tabs>
        <w:tab w:val="left" w:pos="7838"/>
      </w:tabs>
      <w:spacing w:line="360" w:lineRule="auto"/>
      <w:ind w:firstLine="480" w:firstLineChars="200"/>
      <w:jc w:val="both"/>
    </w:pPr>
    <w:rPr>
      <w:rFonts w:ascii="Times New Roman" w:hAnsi="Arial" w:eastAsia="宋体" w:cs="Times New Roman"/>
      <w:bCs/>
      <w:sz w:val="24"/>
      <w:szCs w:val="24"/>
      <w:lang w:val="en-US" w:eastAsia="zh-CN" w:bidi="ar-SA"/>
    </w:rPr>
  </w:style>
  <w:style w:type="paragraph" w:customStyle="1" w:styleId="133">
    <w:name w:val="BodyText1I"/>
    <w:basedOn w:val="1"/>
    <w:qFormat/>
    <w:uiPriority w:val="0"/>
    <w:pPr>
      <w:spacing w:line="500" w:lineRule="exact"/>
      <w:ind w:firstLine="480"/>
      <w:textAlignment w:val="baseline"/>
    </w:pPr>
    <w:rPr>
      <w:rFonts w:eastAsia="宋体"/>
      <w:color w:val="000000"/>
      <w:szCs w:val="18"/>
    </w:rPr>
  </w:style>
  <w:style w:type="paragraph" w:customStyle="1" w:styleId="134">
    <w:name w:val="正本文字"/>
    <w:basedOn w:val="1"/>
    <w:qFormat/>
    <w:uiPriority w:val="99"/>
    <w:pPr>
      <w:snapToGrid w:val="0"/>
      <w:spacing w:line="460" w:lineRule="exact"/>
    </w:pPr>
    <w:rPr>
      <w:kern w:val="0"/>
      <w:sz w:val="26"/>
      <w:szCs w:val="26"/>
    </w:rPr>
  </w:style>
  <w:style w:type="paragraph" w:customStyle="1" w:styleId="13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6">
    <w:name w:val="题注1"/>
    <w:basedOn w:val="68"/>
    <w:qFormat/>
    <w:uiPriority w:val="0"/>
    <w:pPr>
      <w:spacing w:line="240" w:lineRule="auto"/>
    </w:pPr>
    <w:rPr>
      <w:rFonts w:eastAsia="黑体"/>
    </w:rPr>
  </w:style>
  <w:style w:type="paragraph" w:customStyle="1" w:styleId="137">
    <w:name w:val="表头0000"/>
    <w:basedOn w:val="20"/>
    <w:qFormat/>
    <w:uiPriority w:val="0"/>
    <w:pPr>
      <w:spacing w:after="120" w:line="440" w:lineRule="exact"/>
      <w:ind w:firstLine="567"/>
      <w:jc w:val="center"/>
    </w:pPr>
    <w:rPr>
      <w:rFonts w:ascii="Times New Roman" w:hAnsi="Times New Roman"/>
      <w:b/>
      <w:color w:val="000000"/>
      <w:szCs w:val="20"/>
    </w:rPr>
  </w:style>
  <w:style w:type="paragraph" w:customStyle="1" w:styleId="138">
    <w:name w:val="xl27"/>
    <w:basedOn w:val="1"/>
    <w:next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139">
    <w:name w:val="正文11"/>
    <w:basedOn w:val="1"/>
    <w:qFormat/>
    <w:uiPriority w:val="0"/>
    <w:pPr>
      <w:adjustRightInd w:val="0"/>
      <w:spacing w:line="360" w:lineRule="auto"/>
      <w:ind w:left="6" w:firstLine="474"/>
      <w:jc w:val="left"/>
      <w:textAlignment w:val="baseline"/>
    </w:pPr>
    <w:rPr>
      <w:rFonts w:ascii="宋体" w:hAnsi="宋体"/>
      <w:snapToGrid w:val="0"/>
      <w:kern w:val="0"/>
    </w:rPr>
  </w:style>
  <w:style w:type="paragraph" w:customStyle="1" w:styleId="140">
    <w:name w:val="表格新"/>
    <w:basedOn w:val="68"/>
    <w:qFormat/>
    <w:uiPriority w:val="0"/>
    <w:pPr>
      <w:spacing w:line="0" w:lineRule="atLeast"/>
    </w:pPr>
    <w:rPr>
      <w:sz w:val="21"/>
    </w:rPr>
  </w:style>
  <w:style w:type="paragraph" w:customStyle="1" w:styleId="141">
    <w:name w:val="样式 样式 样式 首行缩进:  2 字符 + 居中 + 行距: 固定值 17 磅"/>
    <w:basedOn w:val="1"/>
    <w:qFormat/>
    <w:uiPriority w:val="0"/>
    <w:pPr>
      <w:adjustRightInd w:val="0"/>
      <w:snapToGrid w:val="0"/>
      <w:spacing w:line="340" w:lineRule="exact"/>
      <w:jc w:val="center"/>
    </w:pPr>
    <w:rPr>
      <w:rFonts w:cs="宋体"/>
      <w:color w:val="000000"/>
      <w:szCs w:val="20"/>
    </w:rPr>
  </w:style>
  <w:style w:type="paragraph" w:customStyle="1" w:styleId="142">
    <w:name w:val="无间隔1"/>
    <w:basedOn w:val="1"/>
    <w:qFormat/>
    <w:uiPriority w:val="1"/>
    <w:pPr>
      <w:spacing w:line="400" w:lineRule="exact"/>
    </w:pPr>
    <w:rPr>
      <w:rFonts w:ascii="Calibri" w:hAnsi="Calibri" w:eastAsia="宋体"/>
    </w:rPr>
  </w:style>
  <w:style w:type="paragraph" w:customStyle="1" w:styleId="143">
    <w:name w:val="表中正文"/>
    <w:basedOn w:val="1"/>
    <w:qFormat/>
    <w:uiPriority w:val="0"/>
    <w:pPr>
      <w:spacing w:line="360" w:lineRule="auto"/>
      <w:ind w:firstLine="752" w:firstLineChars="200"/>
    </w:pPr>
  </w:style>
  <w:style w:type="paragraph" w:customStyle="1" w:styleId="144">
    <w:name w:val="Char1 Char Char Char Char Char Char Char Char"/>
    <w:basedOn w:val="1"/>
    <w:qFormat/>
    <w:uiPriority w:val="0"/>
    <w:pPr>
      <w:spacing w:line="360" w:lineRule="auto"/>
      <w:ind w:firstLine="200" w:firstLineChars="200"/>
    </w:pPr>
  </w:style>
  <w:style w:type="paragraph" w:customStyle="1" w:styleId="145">
    <w:name w:val="Table Text"/>
    <w:basedOn w:val="1"/>
    <w:semiHidden/>
    <w:qFormat/>
    <w:uiPriority w:val="0"/>
    <w:rPr>
      <w:rFonts w:ascii="仿宋" w:hAnsi="仿宋" w:eastAsia="仿宋" w:cs="仿宋"/>
      <w:lang w:eastAsia="en-US"/>
    </w:rPr>
  </w:style>
  <w:style w:type="paragraph" w:customStyle="1" w:styleId="146">
    <w:name w:val="正文12"/>
    <w:basedOn w:val="1"/>
    <w:qFormat/>
    <w:uiPriority w:val="0"/>
    <w:pPr>
      <w:adjustRightInd w:val="0"/>
      <w:snapToGrid w:val="0"/>
      <w:spacing w:line="360" w:lineRule="auto"/>
      <w:ind w:firstLine="200" w:firstLineChars="200"/>
      <w:jc w:val="left"/>
    </w:pPr>
    <w:rPr>
      <w:kern w:val="0"/>
      <w:szCs w:val="21"/>
    </w:rPr>
  </w:style>
  <w:style w:type="paragraph" w:customStyle="1" w:styleId="147">
    <w:name w:val="样式1"/>
    <w:basedOn w:val="1"/>
    <w:qFormat/>
    <w:uiPriority w:val="0"/>
    <w:pPr>
      <w:spacing w:line="360" w:lineRule="auto"/>
      <w:ind w:firstLine="510"/>
    </w:pPr>
    <w:rPr>
      <w:szCs w:val="20"/>
    </w:rPr>
  </w:style>
  <w:style w:type="paragraph" w:customStyle="1" w:styleId="148">
    <w:name w:val="msonormalcxspmiddle"/>
    <w:basedOn w:val="1"/>
    <w:qFormat/>
    <w:uiPriority w:val="0"/>
    <w:pPr>
      <w:widowControl/>
      <w:spacing w:before="100" w:beforeAutospacing="1" w:after="100" w:afterAutospacing="1"/>
      <w:jc w:val="left"/>
    </w:pPr>
    <w:rPr>
      <w:rFonts w:ascii="宋体" w:hAnsi="宋体" w:cs="宋体"/>
      <w:kern w:val="0"/>
    </w:rPr>
  </w:style>
  <w:style w:type="paragraph" w:customStyle="1" w:styleId="149">
    <w:name w:val="表内数据"/>
    <w:basedOn w:val="1"/>
    <w:qFormat/>
    <w:uiPriority w:val="0"/>
    <w:pPr>
      <w:jc w:val="center"/>
    </w:pPr>
    <w:rPr>
      <w:rFonts w:eastAsia="楷体_GB2312"/>
      <w:kern w:val="0"/>
    </w:rPr>
  </w:style>
  <w:style w:type="table" w:customStyle="1" w:styleId="150">
    <w:name w:val="Table Normal"/>
    <w:unhideWhenUsed/>
    <w:qFormat/>
    <w:uiPriority w:val="2"/>
    <w:tblPr>
      <w:tblCellMar>
        <w:top w:w="0" w:type="dxa"/>
        <w:left w:w="0" w:type="dxa"/>
        <w:bottom w:w="0" w:type="dxa"/>
        <w:right w:w="0" w:type="dxa"/>
      </w:tblCellMar>
    </w:tblPr>
  </w:style>
  <w:style w:type="paragraph" w:customStyle="1" w:styleId="151">
    <w:name w:val="正文首行缩进1"/>
    <w:basedOn w:val="17"/>
    <w:qFormat/>
    <w:uiPriority w:val="0"/>
    <w:pPr>
      <w:ind w:firstLine="420" w:firstLineChars="100"/>
    </w:pPr>
  </w:style>
  <w:style w:type="paragraph" w:customStyle="1" w:styleId="152">
    <w:name w:val="【正文】"/>
    <w:basedOn w:val="1"/>
    <w:qFormat/>
    <w:uiPriority w:val="0"/>
    <w:pPr>
      <w:spacing w:line="440" w:lineRule="exact"/>
      <w:ind w:firstLine="544"/>
    </w:pPr>
    <w:rPr>
      <w:rFonts w:cs="宋体"/>
      <w:szCs w:val="20"/>
    </w:rPr>
  </w:style>
  <w:style w:type="paragraph" w:customStyle="1" w:styleId="153">
    <w:name w:val="正文文本1"/>
    <w:basedOn w:val="1"/>
    <w:next w:val="1"/>
    <w:qFormat/>
    <w:uiPriority w:val="0"/>
    <w:pPr>
      <w:widowControl/>
      <w:autoSpaceDE w:val="0"/>
      <w:autoSpaceDN w:val="0"/>
      <w:adjustRightInd w:val="0"/>
      <w:jc w:val="left"/>
    </w:pPr>
    <w:rPr>
      <w:rFonts w:ascii="宋体"/>
      <w:kern w:val="0"/>
    </w:rPr>
  </w:style>
  <w:style w:type="paragraph" w:customStyle="1" w:styleId="154">
    <w:name w:val="表格（长）"/>
    <w:basedOn w:val="1"/>
    <w:qFormat/>
    <w:uiPriority w:val="0"/>
    <w:pPr>
      <w:ind w:firstLine="600" w:firstLineChars="200"/>
    </w:pPr>
    <w:rPr>
      <w:sz w:val="21"/>
    </w:rPr>
  </w:style>
  <w:style w:type="character" w:customStyle="1" w:styleId="155">
    <w:name w:val="font31"/>
    <w:qFormat/>
    <w:uiPriority w:val="0"/>
    <w:rPr>
      <w:rFonts w:hint="default" w:ascii="Times New Roman" w:hAnsi="Times New Roman" w:cs="Times New Roman"/>
      <w:b/>
      <w:bCs/>
      <w:color w:val="000000"/>
      <w:sz w:val="21"/>
      <w:szCs w:val="21"/>
      <w:u w:val="none"/>
    </w:rPr>
  </w:style>
  <w:style w:type="character" w:customStyle="1" w:styleId="156">
    <w:name w:val="font41"/>
    <w:qFormat/>
    <w:uiPriority w:val="0"/>
    <w:rPr>
      <w:rFonts w:hint="default" w:ascii="Times New Roman" w:hAnsi="Times New Roman" w:cs="Times New Roman"/>
      <w:b/>
      <w:bCs/>
      <w:color w:val="000000"/>
      <w:sz w:val="21"/>
      <w:szCs w:val="21"/>
      <w:u w:val="none"/>
      <w:vertAlign w:val="superscript"/>
    </w:rPr>
  </w:style>
  <w:style w:type="character" w:customStyle="1" w:styleId="157">
    <w:name w:val="font11"/>
    <w:qFormat/>
    <w:uiPriority w:val="0"/>
    <w:rPr>
      <w:rFonts w:hint="eastAsia" w:ascii="宋体" w:hAnsi="宋体" w:eastAsia="宋体" w:cs="宋体"/>
      <w:b/>
      <w:bCs/>
      <w:color w:val="000000"/>
      <w:sz w:val="21"/>
      <w:szCs w:val="21"/>
      <w:u w:val="none"/>
    </w:rPr>
  </w:style>
  <w:style w:type="paragraph" w:customStyle="1" w:styleId="158">
    <w:name w:val="小标题"/>
    <w:basedOn w:val="1"/>
    <w:qFormat/>
    <w:uiPriority w:val="0"/>
    <w:pPr>
      <w:jc w:val="center"/>
    </w:pPr>
    <w:rPr>
      <w:b/>
      <w:sz w:val="21"/>
    </w:rPr>
  </w:style>
  <w:style w:type="paragraph" w:customStyle="1" w:styleId="159">
    <w:name w:val="表格文字选项"/>
    <w:basedOn w:val="1"/>
    <w:qFormat/>
    <w:uiPriority w:val="0"/>
    <w:pPr>
      <w:framePr w:wrap="around" w:vAnchor="margin" w:hAnchor="text" w:xAlign="center" w:yAlign="center"/>
    </w:pPr>
    <w:rPr>
      <w:bCs/>
      <w:color w:val="000000"/>
      <w:sz w:val="21"/>
    </w:rPr>
  </w:style>
  <w:style w:type="character" w:customStyle="1" w:styleId="160">
    <w:name w:val="font21"/>
    <w:qFormat/>
    <w:uiPriority w:val="0"/>
    <w:rPr>
      <w:rFonts w:hint="eastAsia" w:ascii="宋体" w:hAnsi="宋体" w:eastAsia="宋体" w:cs="宋体"/>
      <w:color w:val="000000"/>
      <w:sz w:val="21"/>
      <w:szCs w:val="21"/>
      <w:u w:val="none"/>
    </w:rPr>
  </w:style>
  <w:style w:type="character" w:customStyle="1" w:styleId="161">
    <w:name w:val="font51"/>
    <w:qFormat/>
    <w:uiPriority w:val="0"/>
    <w:rPr>
      <w:rFonts w:hint="default" w:ascii="Times New Roman" w:hAnsi="Times New Roman" w:cs="Times New Roman"/>
      <w:color w:val="000000"/>
      <w:sz w:val="21"/>
      <w:szCs w:val="21"/>
      <w:u w:val="none"/>
      <w:vertAlign w:val="superscript"/>
    </w:rPr>
  </w:style>
  <w:style w:type="paragraph" w:customStyle="1" w:styleId="162">
    <w:name w:val="表一级标题"/>
    <w:basedOn w:val="1"/>
    <w:qFormat/>
    <w:uiPriority w:val="0"/>
    <w:pPr>
      <w:adjustRightInd w:val="0"/>
      <w:snapToGrid w:val="0"/>
      <w:spacing w:before="50" w:beforeLines="50" w:after="50" w:afterLines="50"/>
      <w:jc w:val="left"/>
      <w:textAlignment w:val="baseline"/>
    </w:pPr>
    <w:rPr>
      <w:rFonts w:eastAsia="宋体"/>
      <w:b/>
    </w:rPr>
  </w:style>
  <w:style w:type="paragraph" w:customStyle="1" w:styleId="163">
    <w:name w:val="正文样式"/>
    <w:basedOn w:val="1"/>
    <w:qFormat/>
    <w:uiPriority w:val="0"/>
    <w:pPr>
      <w:adjustRightInd w:val="0"/>
      <w:snapToGrid w:val="0"/>
      <w:spacing w:line="360" w:lineRule="auto"/>
      <w:ind w:firstLine="542" w:firstLineChars="225"/>
      <w:jc w:val="center"/>
    </w:pPr>
    <w:rPr>
      <w:rFonts w:eastAsia="宋体"/>
      <w:b/>
      <w:color w:val="FF0000"/>
    </w:rPr>
  </w:style>
  <w:style w:type="paragraph" w:customStyle="1" w:styleId="164">
    <w:name w:val="环评报告正文"/>
    <w:basedOn w:val="1"/>
    <w:qFormat/>
    <w:uiPriority w:val="0"/>
    <w:pPr>
      <w:autoSpaceDE w:val="0"/>
      <w:autoSpaceDN w:val="0"/>
      <w:adjustRightInd w:val="0"/>
      <w:snapToGrid w:val="0"/>
      <w:spacing w:line="360" w:lineRule="auto"/>
      <w:ind w:firstLine="720" w:firstLineChars="200"/>
    </w:pPr>
    <w:rPr>
      <w:kern w:val="0"/>
      <w:szCs w:val="21"/>
    </w:rPr>
  </w:style>
  <w:style w:type="paragraph" w:customStyle="1" w:styleId="165">
    <w:name w:val="报告表表头"/>
    <w:basedOn w:val="166"/>
    <w:next w:val="68"/>
    <w:qFormat/>
    <w:uiPriority w:val="0"/>
    <w:pPr>
      <w:snapToGrid w:val="0"/>
      <w:spacing w:line="240" w:lineRule="auto"/>
    </w:pPr>
    <w:rPr>
      <w:rFonts w:ascii="Times New Roman" w:hAnsi="Times New Roman" w:eastAsia="黑体"/>
      <w:szCs w:val="28"/>
    </w:rPr>
  </w:style>
  <w:style w:type="paragraph" w:customStyle="1" w:styleId="166">
    <w:name w:val="表文"/>
    <w:basedOn w:val="1"/>
    <w:qFormat/>
    <w:uiPriority w:val="0"/>
    <w:pPr>
      <w:autoSpaceDE w:val="0"/>
      <w:autoSpaceDN w:val="0"/>
      <w:adjustRightInd w:val="0"/>
      <w:spacing w:line="360" w:lineRule="atLeast"/>
      <w:jc w:val="center"/>
      <w:textAlignment w:val="baseline"/>
    </w:pPr>
    <w:rPr>
      <w:rFonts w:ascii="宋体" w:hAnsi="Tms Rmn"/>
      <w:kern w:val="0"/>
    </w:rPr>
  </w:style>
  <w:style w:type="paragraph" w:customStyle="1" w:styleId="167">
    <w:name w:val="表格文字"/>
    <w:basedOn w:val="168"/>
    <w:qFormat/>
    <w:uiPriority w:val="0"/>
    <w:pPr>
      <w:jc w:val="center"/>
    </w:pPr>
    <w:rPr>
      <w:szCs w:val="21"/>
    </w:rPr>
  </w:style>
  <w:style w:type="paragraph" w:styleId="168">
    <w:name w:val="List Paragraph"/>
    <w:basedOn w:val="1"/>
    <w:qFormat/>
    <w:uiPriority w:val="34"/>
    <w:pPr>
      <w:ind w:firstLine="420" w:firstLineChars="200"/>
    </w:pPr>
    <w:rPr>
      <w:rFonts w:ascii="serif" w:hAnsi="serif" w:eastAsia="方正大标宋简体" w:cs="serif"/>
      <w:szCs w:val="20"/>
    </w:rPr>
  </w:style>
  <w:style w:type="paragraph" w:customStyle="1" w:styleId="169">
    <w:name w:val="正文（resuli）"/>
    <w:basedOn w:val="1"/>
    <w:qFormat/>
    <w:uiPriority w:val="0"/>
    <w:pPr>
      <w:spacing w:line="360" w:lineRule="auto"/>
      <w:ind w:firstLine="720" w:firstLineChars="200"/>
    </w:pPr>
    <w:rPr>
      <w:rFonts w:eastAsia="宋体"/>
    </w:rPr>
  </w:style>
  <w:style w:type="paragraph" w:customStyle="1" w:styleId="170">
    <w:name w:val="表格表头"/>
    <w:basedOn w:val="1"/>
    <w:qFormat/>
    <w:uiPriority w:val="0"/>
    <w:pPr>
      <w:snapToGrid w:val="0"/>
      <w:jc w:val="center"/>
    </w:pPr>
    <w:rPr>
      <w:rFonts w:eastAsia="宋体"/>
      <w:b/>
      <w:szCs w:val="22"/>
    </w:rPr>
  </w:style>
  <w:style w:type="paragraph" w:customStyle="1" w:styleId="171">
    <w:name w:val="表格文本（resuli）"/>
    <w:basedOn w:val="1"/>
    <w:qFormat/>
    <w:uiPriority w:val="0"/>
    <w:pPr>
      <w:snapToGrid w:val="0"/>
      <w:jc w:val="center"/>
    </w:pPr>
    <w:rPr>
      <w:sz w:val="21"/>
    </w:rPr>
  </w:style>
  <w:style w:type="paragraph" w:customStyle="1" w:styleId="172">
    <w:name w:val="注释"/>
    <w:basedOn w:val="1"/>
    <w:qFormat/>
    <w:uiPriority w:val="0"/>
    <w:pPr>
      <w:snapToGrid w:val="0"/>
    </w:pPr>
    <w:rPr>
      <w:rFonts w:eastAsia="宋体"/>
      <w:b/>
      <w:sz w:val="18"/>
    </w:rPr>
  </w:style>
  <w:style w:type="paragraph" w:customStyle="1" w:styleId="173">
    <w:name w:val="Revision"/>
    <w:hidden/>
    <w:unhideWhenUsed/>
    <w:qFormat/>
    <w:uiPriority w:val="99"/>
    <w:rPr>
      <w:rFonts w:ascii="Times New Roman" w:hAnsi="Times New Roman" w:eastAsia="仿宋_GB2312" w:cs="Times New Roman"/>
      <w:kern w:val="2"/>
      <w:sz w:val="24"/>
      <w:szCs w:val="24"/>
      <w:lang w:val="en-US" w:eastAsia="zh-CN" w:bidi="ar-SA"/>
    </w:rPr>
  </w:style>
  <w:style w:type="character" w:customStyle="1" w:styleId="174">
    <w:name w:val="正文首行缩进 2 Char"/>
    <w:basedOn w:val="53"/>
    <w:link w:val="2"/>
    <w:qFormat/>
    <w:uiPriority w:val="0"/>
    <w:rPr>
      <w:rFonts w:ascii="Times New Roman" w:hAnsi="Times New Roman" w:eastAsia="仿宋_GB231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1.vsdx"/><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media/image9.png"/><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jpeg"/><Relationship Id="rId11" Type="http://schemas.openxmlformats.org/officeDocument/2006/relationships/image" Target="media/image3.emf"/><Relationship Id="rId10" Type="http://schemas.openxmlformats.org/officeDocument/2006/relationships/package" Target="embeddings/Microsoft_Visio___2.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6142</Words>
  <Characters>35015</Characters>
  <Lines>291</Lines>
  <Paragraphs>82</Paragraphs>
  <TotalTime>3456</TotalTime>
  <ScaleCrop>false</ScaleCrop>
  <LinksUpToDate>false</LinksUpToDate>
  <CharactersWithSpaces>41075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2026-04-29T17:07:00Z</dcterms:created>
  <dc:creator>lhj</dc:creator>
  <cp:lastModifiedBy>greatwall</cp:lastModifiedBy>
  <cp:lastPrinted>2026-06-04T14:51:00Z</cp:lastPrinted>
  <dcterms:modified xsi:type="dcterms:W3CDTF">2026-06-08T08:57:42Z</dcterms:modified>
  <dc:title>附件2</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78D5E6480AC643819B9CCB69795AD4FA_13</vt:lpwstr>
  </property>
  <property fmtid="{D5CDD505-2E9C-101B-9397-08002B2CF9AE}" pid="4" name="KSOTemplateDocerSaveRecord">
    <vt:lpwstr>eyJoZGlkIjoiN2YzNjBkOTgyNWQ1YTMxYzM3MzMwNWFiODNmOWIzYWMiLCJ1c2VySWQiOiI3MDc2NTQyNzUifQ==</vt:lpwstr>
  </property>
</Properties>
</file>