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topLinePunct w:val="0"/>
        <w:bidi w:val="0"/>
        <w:adjustRightInd w:val="0"/>
        <w:snapToGrid w:val="0"/>
        <w:rPr>
          <w:rFonts w:hint="default" w:ascii="Times New Roman" w:hAnsi="Times New Roman" w:eastAsia="仿宋_GB2312" w:cs="Times New Roman"/>
          <w:color w:val="auto"/>
          <w:sz w:val="36"/>
          <w:szCs w:val="36"/>
          <w:highlight w:val="none"/>
        </w:rPr>
      </w:pPr>
    </w:p>
    <w:p>
      <w:pPr>
        <w:pageBreakBefore w:val="0"/>
        <w:kinsoku/>
        <w:wordWrap/>
        <w:topLinePunct w:val="0"/>
        <w:bidi w:val="0"/>
        <w:adjustRightInd w:val="0"/>
        <w:snapToGrid w:val="0"/>
        <w:rPr>
          <w:rFonts w:hint="default" w:ascii="Times New Roman" w:hAnsi="Times New Roman" w:eastAsia="仿宋_GB2312" w:cs="Times New Roman"/>
          <w:color w:val="auto"/>
          <w:sz w:val="36"/>
          <w:szCs w:val="36"/>
          <w:highlight w:val="none"/>
        </w:rPr>
      </w:pPr>
    </w:p>
    <w:p>
      <w:pPr>
        <w:pageBreakBefore w:val="0"/>
        <w:kinsoku/>
        <w:wordWrap/>
        <w:topLinePunct w:val="0"/>
        <w:bidi w:val="0"/>
        <w:adjustRightInd w:val="0"/>
        <w:snapToGrid w:val="0"/>
        <w:rPr>
          <w:rFonts w:hint="default" w:ascii="Times New Roman" w:hAnsi="Times New Roman" w:eastAsia="仿宋_GB2312" w:cs="Times New Roman"/>
          <w:color w:val="auto"/>
          <w:sz w:val="36"/>
          <w:szCs w:val="36"/>
          <w:highlight w:val="none"/>
        </w:rPr>
      </w:pPr>
    </w:p>
    <w:p>
      <w:pPr>
        <w:pageBreakBefore w:val="0"/>
        <w:kinsoku/>
        <w:wordWrap/>
        <w:topLinePunct w:val="0"/>
        <w:bidi w:val="0"/>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pPr>
        <w:pageBreakBefore w:val="0"/>
        <w:kinsoku/>
        <w:wordWrap/>
        <w:topLinePunct w:val="0"/>
        <w:bidi w:val="0"/>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pPr>
        <w:bidi w:val="0"/>
        <w:rPr>
          <w:rFonts w:hint="default" w:ascii="Times New Roman" w:hAnsi="Times New Roman" w:cs="Times New Roman"/>
          <w:color w:val="auto"/>
          <w:highlight w:val="none"/>
        </w:rPr>
      </w:pPr>
    </w:p>
    <w:p>
      <w:pPr>
        <w:pageBreakBefore w:val="0"/>
        <w:kinsoku/>
        <w:wordWrap/>
        <w:topLinePunct w:val="0"/>
        <w:bidi w:val="0"/>
        <w:adjustRightInd w:val="0"/>
        <w:snapToGrid w:val="0"/>
        <w:jc w:val="center"/>
        <w:rPr>
          <w:rFonts w:hint="default" w:ascii="Times New Roman" w:hAnsi="Times New Roman" w:eastAsia="仿宋" w:cs="Times New Roman"/>
          <w:color w:val="auto"/>
          <w:sz w:val="52"/>
          <w:szCs w:val="52"/>
          <w:highlight w:val="none"/>
        </w:rPr>
      </w:pPr>
    </w:p>
    <w:p>
      <w:pPr>
        <w:pageBreakBefore w:val="0"/>
        <w:kinsoku/>
        <w:wordWrap/>
        <w:topLinePunct w:val="0"/>
        <w:bidi w:val="0"/>
        <w:adjustRightInd w:val="0"/>
        <w:snapToGrid w:val="0"/>
        <w:ind w:firstLine="1040"/>
        <w:rPr>
          <w:rFonts w:hint="default" w:ascii="Times New Roman" w:hAnsi="Times New Roman" w:eastAsia="仿宋" w:cs="Times New Roman"/>
          <w:color w:val="auto"/>
          <w:sz w:val="44"/>
          <w:szCs w:val="44"/>
          <w:highlight w:val="none"/>
        </w:rPr>
      </w:pPr>
    </w:p>
    <w:p>
      <w:pPr>
        <w:pageBreakBefore w:val="0"/>
        <w:kinsoku/>
        <w:wordWrap/>
        <w:topLinePunct w:val="0"/>
        <w:bidi w:val="0"/>
        <w:adjustRightInd w:val="0"/>
        <w:snapToGrid w:val="0"/>
        <w:rPr>
          <w:rFonts w:hint="default" w:ascii="Times New Roman" w:hAnsi="Times New Roman" w:eastAsia="仿宋" w:cs="Times New Roman"/>
          <w:color w:val="auto"/>
          <w:sz w:val="44"/>
          <w:szCs w:val="44"/>
          <w:highlight w:val="none"/>
        </w:rPr>
      </w:pPr>
    </w:p>
    <w:p>
      <w:pPr>
        <w:pStyle w:val="48"/>
        <w:rPr>
          <w:rFonts w:hint="default" w:ascii="Times New Roman" w:hAnsi="Times New Roman" w:eastAsia="仿宋" w:cs="Times New Roman"/>
          <w:color w:val="auto"/>
          <w:sz w:val="44"/>
          <w:szCs w:val="44"/>
          <w:highlight w:val="none"/>
        </w:rPr>
      </w:pPr>
    </w:p>
    <w:p>
      <w:pPr>
        <w:rPr>
          <w:rFonts w:hint="default" w:ascii="Times New Roman" w:hAnsi="Times New Roman" w:cs="Times New Roman"/>
          <w:color w:val="auto"/>
          <w:highlight w:val="none"/>
        </w:rPr>
      </w:pPr>
    </w:p>
    <w:p>
      <w:pPr>
        <w:pageBreakBefore w:val="0"/>
        <w:kinsoku/>
        <w:wordWrap/>
        <w:topLinePunct w:val="0"/>
        <w:bidi w:val="0"/>
        <w:adjustRightInd w:val="0"/>
        <w:snapToGrid w:val="0"/>
        <w:ind w:firstLine="1040"/>
        <w:rPr>
          <w:rFonts w:hint="default" w:ascii="Times New Roman" w:hAnsi="Times New Roman" w:eastAsia="仿宋"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right="890" w:rightChars="424" w:firstLine="1040" w:firstLineChars="400"/>
        <w:jc w:val="both"/>
        <w:textAlignment w:val="auto"/>
        <w:rPr>
          <w:rFonts w:hint="default" w:ascii="Times New Roman" w:hAnsi="Times New Roman" w:eastAsia="仿宋_GB2312" w:cs="Times New Roman"/>
          <w:color w:val="auto"/>
          <w:sz w:val="30"/>
          <w:szCs w:val="30"/>
          <w:highlight w:val="none"/>
          <w:u w:val="single"/>
          <w:lang w:val="en-US"/>
        </w:rPr>
      </w:pPr>
      <w:r>
        <w:rPr>
          <w:rFonts w:hint="default" w:ascii="Times New Roman" w:hAnsi="Times New Roman" w:eastAsia="仿宋_GB2312" w:cs="Times New Roman"/>
          <w:color w:val="auto"/>
          <w:spacing w:val="-20"/>
          <w:sz w:val="30"/>
          <w:szCs w:val="30"/>
          <w:highlight w:val="none"/>
        </w:rPr>
        <w:t>项目名称：</w:t>
      </w:r>
      <w:r>
        <w:rPr>
          <w:rFonts w:hint="eastAsia" w:eastAsia="仿宋_GB2312" w:cs="Times New Roman"/>
          <w:color w:val="auto"/>
          <w:spacing w:val="-20"/>
          <w:sz w:val="30"/>
          <w:szCs w:val="30"/>
          <w:highlight w:val="none"/>
          <w:u w:val="single"/>
          <w:lang w:val="en-US" w:eastAsia="zh-CN"/>
        </w:rPr>
        <w:t xml:space="preserve">       </w:t>
      </w:r>
      <w:r>
        <w:rPr>
          <w:rFonts w:hint="default" w:ascii="Times New Roman" w:hAnsi="Times New Roman" w:eastAsia="仿宋_GB2312" w:cs="Times New Roman"/>
          <w:color w:val="auto"/>
          <w:sz w:val="30"/>
          <w:szCs w:val="30"/>
          <w:highlight w:val="none"/>
          <w:u w:val="single"/>
          <w:lang w:val="en-US" w:eastAsia="zh-CN"/>
        </w:rPr>
        <w:t>彭阳县建筑垃圾资源化利用项目</w:t>
      </w:r>
      <w:r>
        <w:rPr>
          <w:rFonts w:hint="eastAsia" w:eastAsia="仿宋_GB2312" w:cs="Times New Roman"/>
          <w:color w:val="auto"/>
          <w:sz w:val="30"/>
          <w:szCs w:val="30"/>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871" w:rightChars="415" w:firstLine="1040" w:firstLineChars="400"/>
        <w:jc w:val="both"/>
        <w:textAlignment w:val="auto"/>
        <w:rPr>
          <w:rFonts w:hint="default" w:ascii="Times New Roman" w:hAnsi="Times New Roman" w:eastAsia="仿宋_GB2312" w:cs="Times New Roman"/>
          <w:color w:val="auto"/>
          <w:sz w:val="30"/>
          <w:szCs w:val="30"/>
          <w:highlight w:val="none"/>
          <w:u w:val="single"/>
          <w:lang w:val="en-US"/>
        </w:rPr>
      </w:pPr>
      <w:r>
        <w:rPr>
          <w:rFonts w:hint="default" w:ascii="Times New Roman" w:hAnsi="Times New Roman" w:eastAsia="仿宋_GB2312" w:cs="Times New Roman"/>
          <w:color w:val="auto"/>
          <w:spacing w:val="-20"/>
          <w:sz w:val="30"/>
          <w:szCs w:val="30"/>
          <w:highlight w:val="none"/>
        </w:rPr>
        <w:t>建设单位</w:t>
      </w:r>
      <w:r>
        <w:rPr>
          <w:rFonts w:hint="default" w:ascii="Times New Roman" w:hAnsi="Times New Roman" w:eastAsia="仿宋_GB2312" w:cs="Times New Roman"/>
          <w:color w:val="auto"/>
          <w:spacing w:val="-28"/>
          <w:sz w:val="30"/>
          <w:szCs w:val="30"/>
          <w:highlight w:val="none"/>
        </w:rPr>
        <w:t>（盖章）</w:t>
      </w:r>
      <w:r>
        <w:rPr>
          <w:rFonts w:hint="default" w:ascii="Times New Roman" w:hAnsi="Times New Roman" w:eastAsia="仿宋_GB2312" w:cs="Times New Roman"/>
          <w:color w:val="auto"/>
          <w:spacing w:val="-28"/>
          <w:sz w:val="30"/>
          <w:szCs w:val="30"/>
          <w:highlight w:val="none"/>
          <w:lang w:eastAsia="zh-CN"/>
        </w:rPr>
        <w:t>：</w:t>
      </w:r>
      <w:r>
        <w:rPr>
          <w:rFonts w:hint="default" w:ascii="Times New Roman" w:hAnsi="Times New Roman" w:eastAsia="仿宋_GB2312" w:cs="Times New Roman"/>
          <w:color w:val="auto"/>
          <w:sz w:val="30"/>
          <w:szCs w:val="30"/>
          <w:highlight w:val="none"/>
          <w:u w:val="single"/>
          <w:lang w:val="en-US" w:eastAsia="zh-CN"/>
        </w:rPr>
        <w:t>彭阳县城市发展运营有限责任公司</w:t>
      </w:r>
      <w:r>
        <w:rPr>
          <w:rFonts w:hint="default" w:ascii="Times New Roman" w:hAnsi="Times New Roman" w:eastAsia="仿宋_GB2312" w:cs="Times New Roman"/>
          <w:color w:val="auto"/>
          <w:spacing w:val="-20"/>
          <w:sz w:val="30"/>
          <w:szCs w:val="30"/>
          <w:highlight w:val="none"/>
          <w:u w:val="single"/>
          <w:lang w:val="en-US" w:eastAsia="zh-CN"/>
        </w:rPr>
        <w:t xml:space="preserve">   </w:t>
      </w:r>
      <w:r>
        <w:rPr>
          <w:rFonts w:hint="eastAsia" w:eastAsia="仿宋_GB2312" w:cs="Times New Roman"/>
          <w:color w:val="auto"/>
          <w:spacing w:val="-20"/>
          <w:sz w:val="30"/>
          <w:szCs w:val="30"/>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871" w:rightChars="415" w:firstLine="1040" w:firstLineChars="400"/>
        <w:jc w:val="both"/>
        <w:textAlignment w:val="auto"/>
        <w:rPr>
          <w:rFonts w:hint="default" w:ascii="Times New Roman" w:hAnsi="Times New Roman" w:eastAsia="仿宋_GB2312" w:cs="Times New Roman"/>
          <w:color w:val="auto"/>
          <w:sz w:val="32"/>
          <w:szCs w:val="32"/>
          <w:highlight w:val="none"/>
          <w:u w:val="single"/>
          <w:lang w:val="en-US" w:eastAsia="zh-CN"/>
        </w:rPr>
      </w:pPr>
      <w:r>
        <w:rPr>
          <w:rFonts w:hint="default" w:ascii="Times New Roman" w:hAnsi="Times New Roman" w:eastAsia="仿宋_GB2312" w:cs="Times New Roman"/>
          <w:color w:val="auto"/>
          <w:spacing w:val="-20"/>
          <w:sz w:val="30"/>
          <w:szCs w:val="30"/>
          <w:highlight w:val="none"/>
        </w:rPr>
        <w:t>编制日期：</w:t>
      </w:r>
      <w:r>
        <w:rPr>
          <w:rFonts w:hint="default" w:ascii="Times New Roman" w:hAnsi="Times New Roman" w:eastAsia="仿宋_GB2312" w:cs="Times New Roman"/>
          <w:color w:val="auto"/>
          <w:sz w:val="30"/>
          <w:szCs w:val="30"/>
          <w:highlight w:val="none"/>
          <w:u w:val="single"/>
        </w:rPr>
        <w:t xml:space="preserve">      </w:t>
      </w:r>
      <w:r>
        <w:rPr>
          <w:rFonts w:hint="default" w:ascii="Times New Roman" w:hAnsi="Times New Roman" w:eastAsia="仿宋_GB2312" w:cs="Times New Roman"/>
          <w:color w:val="auto"/>
          <w:sz w:val="30"/>
          <w:szCs w:val="30"/>
          <w:highlight w:val="none"/>
          <w:u w:val="single"/>
          <w:lang w:val="en-US" w:eastAsia="zh-CN"/>
        </w:rPr>
        <w:t xml:space="preserve">       202</w:t>
      </w:r>
      <w:r>
        <w:rPr>
          <w:rFonts w:hint="eastAsia" w:eastAsia="仿宋_GB2312" w:cs="Times New Roman"/>
          <w:color w:val="auto"/>
          <w:sz w:val="30"/>
          <w:szCs w:val="30"/>
          <w:highlight w:val="none"/>
          <w:u w:val="single"/>
          <w:lang w:val="en-US" w:eastAsia="zh-CN"/>
        </w:rPr>
        <w:t>6</w:t>
      </w:r>
      <w:r>
        <w:rPr>
          <w:rFonts w:hint="default" w:ascii="Times New Roman" w:hAnsi="Times New Roman" w:eastAsia="仿宋_GB2312" w:cs="Times New Roman"/>
          <w:color w:val="auto"/>
          <w:sz w:val="30"/>
          <w:szCs w:val="30"/>
          <w:highlight w:val="none"/>
          <w:u w:val="single"/>
          <w:lang w:val="en-US" w:eastAsia="zh-CN"/>
        </w:rPr>
        <w:t>年</w:t>
      </w:r>
      <w:r>
        <w:rPr>
          <w:rFonts w:hint="eastAsia" w:eastAsia="仿宋_GB2312" w:cs="Times New Roman"/>
          <w:color w:val="auto"/>
          <w:sz w:val="30"/>
          <w:szCs w:val="30"/>
          <w:highlight w:val="none"/>
          <w:u w:val="single"/>
          <w:lang w:val="en-US" w:eastAsia="zh-CN"/>
        </w:rPr>
        <w:t>3</w:t>
      </w:r>
      <w:r>
        <w:rPr>
          <w:rFonts w:hint="default" w:ascii="Times New Roman" w:hAnsi="Times New Roman" w:eastAsia="仿宋_GB2312" w:cs="Times New Roman"/>
          <w:color w:val="auto"/>
          <w:sz w:val="30"/>
          <w:szCs w:val="30"/>
          <w:highlight w:val="none"/>
          <w:u w:val="single"/>
          <w:lang w:val="en-US" w:eastAsia="zh-CN"/>
        </w:rPr>
        <w:t xml:space="preserve">月               </w:t>
      </w:r>
      <w:r>
        <w:rPr>
          <w:rFonts w:hint="eastAsia" w:eastAsia="仿宋_GB2312" w:cs="Times New Roman"/>
          <w:color w:val="auto"/>
          <w:sz w:val="30"/>
          <w:szCs w:val="30"/>
          <w:highlight w:val="none"/>
          <w:u w:val="single"/>
          <w:lang w:val="en-US" w:eastAsia="zh-CN"/>
        </w:rPr>
        <w:t xml:space="preserve"> </w:t>
      </w:r>
    </w:p>
    <w:p>
      <w:pPr>
        <w:pageBreakBefore w:val="0"/>
        <w:kinsoku/>
        <w:wordWrap/>
        <w:topLinePunct w:val="0"/>
        <w:bidi w:val="0"/>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bookmarkStart w:id="0" w:name="_Hlk57884087"/>
    </w:p>
    <w:p>
      <w:pPr>
        <w:pageBreakBefore w:val="0"/>
        <w:kinsoku/>
        <w:wordWrap/>
        <w:topLinePunct w:val="0"/>
        <w:bidi w:val="0"/>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pStyle w:val="48"/>
        <w:rPr>
          <w:rFonts w:hint="default" w:ascii="Times New Roman" w:hAnsi="Times New Roman" w:eastAsia="仿宋_GB2312" w:cs="Times New Roman"/>
          <w:color w:val="auto"/>
          <w:sz w:val="36"/>
          <w:szCs w:val="36"/>
          <w:highlight w:val="none"/>
        </w:rPr>
      </w:pPr>
    </w:p>
    <w:p>
      <w:pPr>
        <w:rPr>
          <w:rFonts w:hint="default" w:ascii="Times New Roman" w:hAnsi="Times New Roman" w:cs="Times New Roman"/>
          <w:color w:val="auto"/>
          <w:highlight w:val="none"/>
        </w:rPr>
      </w:pPr>
    </w:p>
    <w:p>
      <w:pPr>
        <w:pStyle w:val="48"/>
        <w:rPr>
          <w:rFonts w:hint="default" w:ascii="Times New Roman" w:hAnsi="Times New Roman" w:eastAsia="仿宋_GB2312" w:cs="Times New Roman"/>
          <w:color w:val="auto"/>
          <w:sz w:val="36"/>
          <w:szCs w:val="36"/>
          <w:highlight w:val="none"/>
        </w:rPr>
      </w:pPr>
    </w:p>
    <w:p>
      <w:pPr>
        <w:pageBreakBefore w:val="0"/>
        <w:kinsoku/>
        <w:wordWrap/>
        <w:topLinePunct w:val="0"/>
        <w:bidi w:val="0"/>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pStyle w:val="48"/>
        <w:rPr>
          <w:rFonts w:hint="default" w:ascii="Times New Roman" w:hAnsi="Times New Roman" w:cs="Times New Roman"/>
          <w:color w:val="auto"/>
          <w:highlight w:val="none"/>
        </w:rPr>
      </w:pPr>
    </w:p>
    <w:p>
      <w:pPr>
        <w:pageBreakBefore w:val="0"/>
        <w:kinsoku/>
        <w:wordWrap/>
        <w:topLinePunct w:val="0"/>
        <w:bidi w:val="0"/>
        <w:adjustRightInd w:val="0"/>
        <w:snapToGrid w:val="0"/>
        <w:spacing w:line="288" w:lineRule="auto"/>
        <w:ind w:firstLine="1040"/>
        <w:rPr>
          <w:rFonts w:hint="default" w:ascii="Times New Roman" w:hAnsi="Times New Roman" w:eastAsia="仿宋_GB2312" w:cs="Times New Roman"/>
          <w:color w:val="auto"/>
          <w:sz w:val="36"/>
          <w:szCs w:val="36"/>
          <w:highlight w:val="none"/>
        </w:rPr>
      </w:pPr>
    </w:p>
    <w:bookmarkEnd w:id="0"/>
    <w:p>
      <w:pPr>
        <w:pageBreakBefore w:val="0"/>
        <w:kinsoku/>
        <w:wordWrap/>
        <w:topLinePunct w:val="0"/>
        <w:bidi w:val="0"/>
        <w:adjustRightInd w:val="0"/>
        <w:snapToGrid w:val="0"/>
        <w:spacing w:line="288" w:lineRule="auto"/>
        <w:jc w:val="center"/>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pPr>
        <w:pageBreakBefore w:val="0"/>
        <w:kinsoku/>
        <w:wordWrap/>
        <w:topLinePunct w:val="0"/>
        <w:bidi w:val="0"/>
        <w:adjustRightInd w:val="0"/>
        <w:snapToGrid w:val="0"/>
        <w:spacing w:after="156" w:afterLines="50" w:line="360" w:lineRule="auto"/>
        <w:jc w:val="both"/>
        <w:rPr>
          <w:rFonts w:hint="default" w:ascii="Times New Roman" w:hAnsi="Times New Roman" w:eastAsia="宋体" w:cs="Times New Roman"/>
          <w:b/>
          <w:color w:val="auto"/>
          <w:sz w:val="30"/>
          <w:szCs w:val="30"/>
          <w:highlight w:val="none"/>
          <w:lang w:val="en-US" w:eastAsia="zh-CN"/>
        </w:rPr>
        <w:sectPr>
          <w:headerReference r:id="rId3" w:type="default"/>
          <w:footerReference r:id="rId4" w:type="default"/>
          <w:footerReference r:id="rId5" w:type="even"/>
          <w:pgSz w:w="11906" w:h="16838"/>
          <w:pgMar w:top="1701" w:right="1417" w:bottom="1701" w:left="1417" w:header="851" w:footer="850" w:gutter="0"/>
          <w:pgBorders>
            <w:top w:val="none" w:sz="0" w:space="0"/>
            <w:left w:val="none" w:sz="0" w:space="0"/>
            <w:bottom w:val="none" w:sz="0" w:space="0"/>
            <w:right w:val="none" w:sz="0" w:space="0"/>
          </w:pgBorders>
          <w:pgNumType w:fmt="decimal" w:start="3"/>
          <w:cols w:space="0" w:num="1"/>
          <w:rtlGutter w:val="0"/>
          <w:docGrid w:linePitch="312" w:charSpace="0"/>
        </w:sectPr>
      </w:pPr>
    </w:p>
    <w:p>
      <w:pPr>
        <w:pStyle w:val="4"/>
        <w:pageBreakBefore w:val="0"/>
        <w:kinsoku/>
        <w:wordWrap/>
        <w:topLinePunct w:val="0"/>
        <w:bidi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一、</w:t>
      </w:r>
      <w:r>
        <w:rPr>
          <w:rFonts w:hint="default" w:ascii="Times New Roman" w:hAnsi="Times New Roman" w:cs="Times New Roman"/>
          <w:color w:val="auto"/>
          <w:highlight w:val="none"/>
        </w:rPr>
        <w:t>建设项目基本情况</w:t>
      </w:r>
    </w:p>
    <w:tbl>
      <w:tblPr>
        <w:tblStyle w:val="37"/>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3166"/>
        <w:gridCol w:w="1712"/>
        <w:gridCol w:w="32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建设项目名称</w:t>
            </w:r>
          </w:p>
        </w:tc>
        <w:tc>
          <w:tcPr>
            <w:tcW w:w="8132"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eastAsia="仿宋_GB2312" w:cs="Times New Roman"/>
                <w:b w:val="0"/>
                <w:bCs w:val="0"/>
                <w:color w:val="auto"/>
                <w:sz w:val="24"/>
                <w:szCs w:val="24"/>
                <w:highlight w:val="none"/>
                <w:u w:val="none"/>
                <w:lang w:val="en-US" w:eastAsia="zh-CN"/>
              </w:rPr>
              <w:t>彭阳县建筑垃圾资源化利用项目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项目代码</w:t>
            </w:r>
          </w:p>
        </w:tc>
        <w:tc>
          <w:tcPr>
            <w:tcW w:w="8132"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250</w:t>
            </w:r>
            <w:r>
              <w:rPr>
                <w:rFonts w:hint="eastAsia" w:cs="Times New Roman"/>
                <w:b w:val="0"/>
                <w:bCs w:val="0"/>
                <w:color w:val="auto"/>
                <w:sz w:val="24"/>
                <w:szCs w:val="24"/>
                <w:highlight w:val="none"/>
                <w:lang w:val="en-US" w:eastAsia="zh-CN"/>
              </w:rPr>
              <w:t>5</w:t>
            </w:r>
            <w:r>
              <w:rPr>
                <w:rFonts w:hint="default" w:ascii="Times New Roman" w:hAnsi="Times New Roman" w:cs="Times New Roman"/>
                <w:b w:val="0"/>
                <w:bCs w:val="0"/>
                <w:color w:val="auto"/>
                <w:sz w:val="24"/>
                <w:szCs w:val="24"/>
                <w:highlight w:val="none"/>
                <w:lang w:val="en-US" w:eastAsia="zh-CN"/>
              </w:rPr>
              <w:t>-640</w:t>
            </w:r>
            <w:r>
              <w:rPr>
                <w:rFonts w:hint="eastAsia" w:cs="Times New Roman"/>
                <w:b w:val="0"/>
                <w:bCs w:val="0"/>
                <w:color w:val="auto"/>
                <w:sz w:val="24"/>
                <w:szCs w:val="24"/>
                <w:highlight w:val="none"/>
                <w:lang w:val="en-US" w:eastAsia="zh-CN"/>
              </w:rPr>
              <w:t>425</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16</w:t>
            </w:r>
            <w:r>
              <w:rPr>
                <w:rFonts w:hint="default" w:ascii="Times New Roman" w:hAnsi="Times New Roman" w:cs="Times New Roman"/>
                <w:b w:val="0"/>
                <w:bCs w:val="0"/>
                <w:color w:val="auto"/>
                <w:sz w:val="24"/>
                <w:szCs w:val="24"/>
                <w:highlight w:val="none"/>
                <w:lang w:val="en-US" w:eastAsia="zh-CN"/>
              </w:rPr>
              <w:t>-0</w:t>
            </w:r>
            <w:r>
              <w:rPr>
                <w:rFonts w:hint="eastAsia"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588959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建设单位联系人</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b w:val="0"/>
                <w:bCs w:val="0"/>
                <w:color w:val="auto"/>
                <w:sz w:val="24"/>
                <w:szCs w:val="24"/>
                <w:highlight w:val="none"/>
                <w:lang w:val="en-US" w:eastAsia="zh-CN"/>
              </w:rPr>
            </w:pPr>
            <w:r>
              <w:rPr>
                <w:rFonts w:hint="eastAsia" w:eastAsia="仿宋_GB2312" w:cs="Times New Roman"/>
                <w:b w:val="0"/>
                <w:bCs w:val="0"/>
                <w:color w:val="auto"/>
                <w:sz w:val="24"/>
                <w:szCs w:val="24"/>
                <w:highlight w:val="none"/>
                <w:lang w:val="en-US" w:eastAsia="zh-CN"/>
              </w:rPr>
              <w:t>黄兴</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联系方式</w:t>
            </w:r>
          </w:p>
        </w:tc>
        <w:tc>
          <w:tcPr>
            <w:tcW w:w="32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建设地点</w:t>
            </w:r>
          </w:p>
        </w:tc>
        <w:tc>
          <w:tcPr>
            <w:tcW w:w="8132" w:type="dxa"/>
            <w:gridSpan w:val="3"/>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b w:val="0"/>
                <w:bCs w:val="0"/>
                <w:color w:val="auto"/>
                <w:sz w:val="24"/>
                <w:szCs w:val="24"/>
                <w:highlight w:val="none"/>
                <w:u w:val="none"/>
                <w:lang w:val="en-US" w:eastAsia="zh-CN"/>
              </w:rPr>
              <w:t>宁夏回族自治区</w:t>
            </w:r>
            <w:r>
              <w:rPr>
                <w:rFonts w:hint="eastAsia" w:eastAsia="仿宋_GB2312" w:cs="Times New Roman"/>
                <w:b w:val="0"/>
                <w:bCs w:val="0"/>
                <w:color w:val="auto"/>
                <w:sz w:val="24"/>
                <w:szCs w:val="24"/>
                <w:highlight w:val="none"/>
                <w:u w:val="none"/>
                <w:lang w:val="en-US" w:eastAsia="zh-CN"/>
              </w:rPr>
              <w:t>固原</w:t>
            </w:r>
            <w:r>
              <w:rPr>
                <w:rFonts w:hint="default" w:ascii="Times New Roman" w:hAnsi="Times New Roman" w:eastAsia="仿宋_GB2312" w:cs="Times New Roman"/>
                <w:b w:val="0"/>
                <w:bCs w:val="0"/>
                <w:color w:val="auto"/>
                <w:sz w:val="24"/>
                <w:szCs w:val="24"/>
                <w:highlight w:val="none"/>
                <w:u w:val="none"/>
                <w:lang w:val="en-US" w:eastAsia="zh-CN"/>
              </w:rPr>
              <w:t>市</w:t>
            </w:r>
            <w:r>
              <w:rPr>
                <w:rFonts w:hint="eastAsia" w:eastAsia="仿宋_GB2312" w:cs="Times New Roman"/>
                <w:b w:val="0"/>
                <w:bCs w:val="0"/>
                <w:color w:val="auto"/>
                <w:sz w:val="24"/>
                <w:szCs w:val="24"/>
                <w:highlight w:val="none"/>
                <w:u w:val="none"/>
                <w:lang w:val="en-US" w:eastAsia="zh-CN"/>
              </w:rPr>
              <w:t>彭阳</w:t>
            </w:r>
            <w:r>
              <w:rPr>
                <w:rFonts w:hint="default" w:ascii="Times New Roman" w:hAnsi="Times New Roman" w:eastAsia="仿宋_GB2312" w:cs="Times New Roman"/>
                <w:b w:val="0"/>
                <w:bCs w:val="0"/>
                <w:color w:val="auto"/>
                <w:sz w:val="24"/>
                <w:szCs w:val="24"/>
                <w:highlight w:val="none"/>
                <w:u w:val="none"/>
                <w:lang w:val="en-US" w:eastAsia="zh-CN"/>
              </w:rPr>
              <w:t>县</w:t>
            </w:r>
            <w:r>
              <w:rPr>
                <w:rFonts w:hint="eastAsia" w:ascii="Times New Roman" w:hAnsi="Times New Roman" w:eastAsia="仿宋_GB2312" w:cs="Times New Roman"/>
                <w:b w:val="0"/>
                <w:bCs w:val="0"/>
                <w:color w:val="auto"/>
                <w:sz w:val="24"/>
                <w:szCs w:val="24"/>
                <w:highlight w:val="none"/>
                <w:u w:val="none"/>
                <w:lang w:val="en-US" w:eastAsia="zh-CN"/>
              </w:rPr>
              <w:t>新集乡与白阳镇交界处，彭沟公路西侧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地理坐标</w:t>
            </w:r>
          </w:p>
        </w:tc>
        <w:tc>
          <w:tcPr>
            <w:tcW w:w="8132" w:type="dxa"/>
            <w:gridSpan w:val="3"/>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仿宋_GB2312" w:cs="Times New Roman"/>
                <w:b w:val="0"/>
                <w:bCs w:val="0"/>
                <w:color w:val="auto"/>
                <w:sz w:val="24"/>
                <w:szCs w:val="24"/>
                <w:highlight w:val="none"/>
                <w:lang w:val="en-US" w:eastAsia="zh-CN"/>
              </w:rPr>
            </w:pPr>
            <w:r>
              <w:rPr>
                <w:rFonts w:hint="default" w:ascii="Times New Roman" w:hAnsi="Times New Roman" w:eastAsia="仿宋_GB2312" w:cs="Times New Roman"/>
                <w:b w:val="0"/>
                <w:bCs w:val="0"/>
                <w:color w:val="auto"/>
                <w:kern w:val="2"/>
                <w:sz w:val="24"/>
                <w:szCs w:val="24"/>
                <w:highlight w:val="none"/>
                <w:lang w:val="en-US" w:eastAsia="zh-CN" w:bidi="ar-SA"/>
              </w:rPr>
              <w:t>厂址中心坐标：E：106°</w:t>
            </w:r>
            <w:r>
              <w:rPr>
                <w:rFonts w:hint="eastAsia" w:eastAsia="仿宋_GB2312" w:cs="Times New Roman"/>
                <w:b w:val="0"/>
                <w:bCs w:val="0"/>
                <w:color w:val="auto"/>
                <w:kern w:val="2"/>
                <w:sz w:val="24"/>
                <w:szCs w:val="24"/>
                <w:highlight w:val="none"/>
                <w:lang w:val="en-US" w:eastAsia="zh-CN" w:bidi="ar-SA"/>
              </w:rPr>
              <w:t>34</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eastAsia="仿宋_GB2312" w:cs="Times New Roman"/>
                <w:b w:val="0"/>
                <w:bCs w:val="0"/>
                <w:color w:val="auto"/>
                <w:kern w:val="2"/>
                <w:sz w:val="24"/>
                <w:szCs w:val="24"/>
                <w:highlight w:val="none"/>
                <w:lang w:val="en-US" w:eastAsia="zh-CN" w:bidi="ar-SA"/>
              </w:rPr>
              <w:t>57</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eastAsia="仿宋_GB2312" w:cs="Times New Roman"/>
                <w:b w:val="0"/>
                <w:bCs w:val="0"/>
                <w:color w:val="auto"/>
                <w:kern w:val="2"/>
                <w:sz w:val="24"/>
                <w:szCs w:val="24"/>
                <w:highlight w:val="none"/>
                <w:lang w:val="en-US" w:eastAsia="zh-CN" w:bidi="ar-SA"/>
              </w:rPr>
              <w:t>990</w:t>
            </w:r>
            <w:r>
              <w:rPr>
                <w:rFonts w:hint="default" w:ascii="Times New Roman" w:hAnsi="Times New Roman" w:eastAsia="仿宋_GB2312" w:cs="Times New Roman"/>
                <w:b w:val="0"/>
                <w:bCs w:val="0"/>
                <w:color w:val="auto"/>
                <w:kern w:val="2"/>
                <w:sz w:val="24"/>
                <w:szCs w:val="24"/>
                <w:highlight w:val="none"/>
                <w:lang w:val="en-US" w:eastAsia="zh-CN" w:bidi="ar-SA"/>
              </w:rPr>
              <w:t>"，N：3</w:t>
            </w:r>
            <w:r>
              <w:rPr>
                <w:rFonts w:hint="eastAsia" w:eastAsia="仿宋_GB2312" w:cs="Times New Roman"/>
                <w:b w:val="0"/>
                <w:bCs w:val="0"/>
                <w:color w:val="auto"/>
                <w:kern w:val="2"/>
                <w:sz w:val="24"/>
                <w:szCs w:val="24"/>
                <w:highlight w:val="none"/>
                <w:lang w:val="en-US" w:eastAsia="zh-CN" w:bidi="ar-SA"/>
              </w:rPr>
              <w:t>5</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eastAsia="仿宋_GB2312" w:cs="Times New Roman"/>
                <w:b w:val="0"/>
                <w:bCs w:val="0"/>
                <w:color w:val="auto"/>
                <w:kern w:val="2"/>
                <w:sz w:val="24"/>
                <w:szCs w:val="24"/>
                <w:highlight w:val="none"/>
                <w:lang w:val="en-US" w:eastAsia="zh-CN" w:bidi="ar-SA"/>
              </w:rPr>
              <w:t>49</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eastAsia="仿宋_GB2312" w:cs="Times New Roman"/>
                <w:b w:val="0"/>
                <w:bCs w:val="0"/>
                <w:color w:val="auto"/>
                <w:kern w:val="2"/>
                <w:sz w:val="24"/>
                <w:szCs w:val="24"/>
                <w:highlight w:val="none"/>
                <w:lang w:val="en-US" w:eastAsia="zh-CN" w:bidi="ar-SA"/>
              </w:rPr>
              <w:t>47.99</w:t>
            </w:r>
            <w:r>
              <w:rPr>
                <w:rFonts w:hint="default" w:ascii="Times New Roman" w:hAnsi="Times New Roman" w:eastAsia="仿宋_GB2312" w:cs="Times New Roman"/>
                <w:b w:val="0"/>
                <w:bCs w:val="0"/>
                <w:color w:val="auto"/>
                <w:kern w:val="2"/>
                <w:sz w:val="24"/>
                <w:szCs w:val="24"/>
                <w:highlight w:val="none"/>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国民经济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行业类别</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pP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N7723固体废物治理</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建设项目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行业类别</w:t>
            </w:r>
          </w:p>
        </w:tc>
        <w:tc>
          <w:tcPr>
            <w:tcW w:w="3254" w:type="dxa"/>
            <w:vAlign w:val="center"/>
          </w:tcPr>
          <w:p>
            <w:pPr>
              <w:keepNext w:val="0"/>
              <w:keepLines w:val="0"/>
              <w:widowControl/>
              <w:suppressLineNumbers w:val="0"/>
              <w:spacing w:before="0" w:beforeAutospacing="0" w:after="0" w:afterAutospacing="0"/>
              <w:ind w:left="0" w:right="0"/>
              <w:jc w:val="left"/>
              <w:rPr>
                <w:rFonts w:hint="eastAsia" w:eastAsia="仿宋_GB2312" w:cs="Times New Roman"/>
                <w:b w:val="0"/>
                <w:bCs w:val="0"/>
                <w:color w:val="000000" w:themeColor="text1"/>
                <w:sz w:val="24"/>
                <w:szCs w:val="24"/>
                <w:highlight w:val="none"/>
                <w:lang w:val="en-US" w:eastAsia="zh-CN"/>
                <w14:textFill>
                  <w14:solidFill>
                    <w14:schemeClr w14:val="tx1"/>
                  </w14:solidFill>
                </w14:textFill>
              </w:rPr>
            </w:pP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二十七、非金属矿物制造业；55.</w:t>
            </w:r>
            <w:r>
              <w:rPr>
                <w:rFonts w:hint="eastAsia" w:eastAsia="仿宋_GB2312"/>
                <w:color w:val="000000" w:themeColor="text1"/>
                <w:sz w:val="24"/>
                <w:szCs w:val="24"/>
                <w:highlight w:val="none"/>
                <w14:textFill>
                  <w14:solidFill>
                    <w14:schemeClr w14:val="tx1"/>
                  </w14:solidFill>
                </w14:textFill>
              </w:rPr>
              <w:t>石膏、水泥制品及类似制品制造 302</w:t>
            </w:r>
            <w:r>
              <w:rPr>
                <w:rFonts w:hint="eastAsia" w:eastAsia="仿宋_GB2312"/>
                <w:color w:val="000000" w:themeColor="text1"/>
                <w:sz w:val="24"/>
                <w:szCs w:val="24"/>
                <w:highlight w:val="none"/>
                <w:lang w:eastAsia="zh-CN"/>
                <w14:textFill>
                  <w14:solidFill>
                    <w14:schemeClr w14:val="tx1"/>
                  </w14:solidFill>
                </w14:textFill>
              </w:rPr>
              <w:t>：</w:t>
            </w:r>
            <w:r>
              <w:rPr>
                <w:rFonts w:hint="eastAsia" w:eastAsia="仿宋_GB2312"/>
                <w:color w:val="000000" w:themeColor="text1"/>
                <w:sz w:val="24"/>
                <w:szCs w:val="24"/>
                <w:highlight w:val="none"/>
                <w14:textFill>
                  <w14:solidFill>
                    <w14:schemeClr w14:val="tx1"/>
                  </w14:solidFill>
                </w14:textFill>
              </w:rPr>
              <w:t>商品混凝土；砼结构构件制造；水泥制品制造</w:t>
            </w:r>
          </w:p>
          <w:p>
            <w:pPr>
              <w:keepNext w:val="0"/>
              <w:keepLines w:val="0"/>
              <w:widowControl/>
              <w:suppressLineNumbers w:val="0"/>
              <w:spacing w:before="0" w:beforeAutospacing="0" w:after="0" w:afterAutospacing="0"/>
              <w:ind w:left="0" w:right="0"/>
              <w:jc w:val="left"/>
              <w:rPr>
                <w:rFonts w:hint="eastAsia" w:eastAsia="仿宋_GB2312" w:cs="Times New Roman"/>
                <w:b w:val="0"/>
                <w:bCs w:val="0"/>
                <w:color w:val="000000" w:themeColor="text1"/>
                <w:sz w:val="24"/>
                <w:szCs w:val="24"/>
                <w:highlight w:val="none"/>
                <w:lang w:val="en-US" w:eastAsia="zh-CN"/>
                <w14:textFill>
                  <w14:solidFill>
                    <w14:schemeClr w14:val="tx1"/>
                  </w14:solidFill>
                </w14:textFill>
              </w:rPr>
            </w:pP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四十七</w:t>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w:t>
            </w: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生态保护和环境治理业</w:t>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w:t>
            </w: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103</w:t>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w:t>
            </w: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一般工业固体废物</w:t>
            </w:r>
          </w:p>
          <w:p>
            <w:pPr>
              <w:keepNext w:val="0"/>
              <w:keepLines w:val="0"/>
              <w:widowControl/>
              <w:suppressLineNumbers w:val="0"/>
              <w:spacing w:before="0" w:beforeAutospacing="0" w:after="0" w:afterAutospacing="0"/>
              <w:ind w:left="0" w:right="0"/>
              <w:jc w:val="left"/>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pP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（含污水处理污泥）、建筑施工废弃物处置及综合利用:其他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建设性质</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sym w:font="Wingdings 2" w:char="0052"/>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新建（迁建）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sym w:font="Wingdings 2" w:char="00A3"/>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改建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sym w:font="Wingdings 2" w:char="00A3"/>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扩建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sym w:font="Wingdings 2" w:char="00A3"/>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技术改造</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建设项目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申报情形</w:t>
            </w:r>
          </w:p>
        </w:tc>
        <w:tc>
          <w:tcPr>
            <w:tcW w:w="3254" w:type="dxa"/>
            <w:vAlign w:val="center"/>
          </w:tcPr>
          <w:p>
            <w:pPr>
              <w:keepNext w:val="0"/>
              <w:keepLines w:val="0"/>
              <w:widowControl/>
              <w:suppressLineNumbers w:val="0"/>
              <w:spacing w:before="0" w:beforeAutospacing="0" w:after="0" w:afterAutospacing="0"/>
              <w:ind w:left="0" w:right="0"/>
              <w:jc w:val="left"/>
              <w:rPr>
                <w:rFonts w:hint="default" w:eastAsia="仿宋_GB2312" w:cs="Times New Roman"/>
                <w:b w:val="0"/>
                <w:bCs w:val="0"/>
                <w:color w:val="000000" w:themeColor="text1"/>
                <w:sz w:val="24"/>
                <w:szCs w:val="24"/>
                <w:highlight w:val="none"/>
                <w:lang w:val="en-US" w:eastAsia="zh-CN"/>
                <w14:textFill>
                  <w14:solidFill>
                    <w14:schemeClr w14:val="tx1"/>
                  </w14:solidFill>
                </w14:textFill>
              </w:rPr>
            </w:pP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sym w:font="Wingdings 2" w:char="0052"/>
            </w: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t>首次申报项目</w:t>
            </w:r>
          </w:p>
          <w:p>
            <w:pPr>
              <w:keepNext w:val="0"/>
              <w:keepLines w:val="0"/>
              <w:widowControl/>
              <w:suppressLineNumbers w:val="0"/>
              <w:spacing w:before="0" w:beforeAutospacing="0" w:after="0" w:afterAutospacing="0"/>
              <w:ind w:left="0" w:right="0"/>
              <w:jc w:val="left"/>
              <w:rPr>
                <w:rFonts w:hint="default" w:eastAsia="仿宋_GB2312" w:cs="Times New Roman"/>
                <w:b w:val="0"/>
                <w:bCs w:val="0"/>
                <w:color w:val="000000" w:themeColor="text1"/>
                <w:sz w:val="24"/>
                <w:szCs w:val="24"/>
                <w:highlight w:val="none"/>
                <w:lang w:val="en-US" w:eastAsia="zh-CN"/>
                <w14:textFill>
                  <w14:solidFill>
                    <w14:schemeClr w14:val="tx1"/>
                  </w14:solidFill>
                </w14:textFill>
              </w:rPr>
            </w:pP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sym w:font="Wingdings 2" w:char="00A3"/>
            </w: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t>不予批准后再次申报项目</w:t>
            </w:r>
          </w:p>
          <w:p>
            <w:pPr>
              <w:keepNext w:val="0"/>
              <w:keepLines w:val="0"/>
              <w:widowControl/>
              <w:suppressLineNumbers w:val="0"/>
              <w:spacing w:before="0" w:beforeAutospacing="0" w:after="0" w:afterAutospacing="0"/>
              <w:ind w:left="0" w:right="0"/>
              <w:jc w:val="left"/>
              <w:rPr>
                <w:rFonts w:hint="default" w:eastAsia="仿宋_GB2312" w:cs="Times New Roman"/>
                <w:b w:val="0"/>
                <w:bCs w:val="0"/>
                <w:color w:val="000000" w:themeColor="text1"/>
                <w:sz w:val="24"/>
                <w:szCs w:val="24"/>
                <w:highlight w:val="none"/>
                <w:lang w:val="en-US" w:eastAsia="zh-CN"/>
                <w14:textFill>
                  <w14:solidFill>
                    <w14:schemeClr w14:val="tx1"/>
                  </w14:solidFill>
                </w14:textFill>
              </w:rPr>
            </w:pP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sym w:font="Wingdings 2" w:char="00A3"/>
            </w: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t>超过五年重新审核项目</w:t>
            </w:r>
          </w:p>
          <w:p>
            <w:pPr>
              <w:keepNext w:val="0"/>
              <w:keepLines w:val="0"/>
              <w:widowControl/>
              <w:suppressLineNumbers w:val="0"/>
              <w:spacing w:before="0" w:beforeAutospacing="0" w:after="0" w:afterAutospacing="0"/>
              <w:ind w:left="0" w:right="0"/>
              <w:jc w:val="left"/>
              <w:rPr>
                <w:rFonts w:hint="default" w:ascii="Times New Roman" w:hAnsi="Times New Roman" w:cs="Times New Roman"/>
                <w:b/>
                <w:bCs/>
                <w:color w:val="auto"/>
                <w:sz w:val="21"/>
                <w:szCs w:val="21"/>
                <w:highlight w:val="none"/>
                <w:lang w:val="en-US" w:eastAsia="zh-CN"/>
              </w:rPr>
            </w:pP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sym w:font="Wingdings 2" w:char="00A3"/>
            </w:r>
            <w:r>
              <w:rPr>
                <w:rFonts w:hint="default" w:eastAsia="仿宋_GB2312" w:cs="Times New Roman"/>
                <w:b w:val="0"/>
                <w:bCs w:val="0"/>
                <w:color w:val="000000" w:themeColor="text1"/>
                <w:sz w:val="24"/>
                <w:szCs w:val="24"/>
                <w:highlight w:val="none"/>
                <w:lang w:val="en-US" w:eastAsia="zh-CN"/>
                <w14:textFill>
                  <w14:solidFill>
                    <w14:schemeClr w14:val="tx1"/>
                  </w14:solidFill>
                </w14:textFill>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项目审批（核准/备案）部门（选填）</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eastAsia="仿宋_GB2312" w:cs="Times New Roman"/>
                <w:b w:val="0"/>
                <w:bCs w:val="0"/>
                <w:color w:val="auto"/>
                <w:sz w:val="24"/>
                <w:szCs w:val="24"/>
                <w:highlight w:val="none"/>
                <w:u w:val="none"/>
                <w:lang w:val="en-US" w:eastAsia="zh-CN"/>
              </w:rPr>
              <w:t>彭阳县</w:t>
            </w:r>
            <w:r>
              <w:rPr>
                <w:rFonts w:hint="default" w:ascii="Times New Roman" w:hAnsi="Times New Roman" w:eastAsia="仿宋_GB2312" w:cs="Times New Roman"/>
                <w:b w:val="0"/>
                <w:bCs w:val="0"/>
                <w:color w:val="auto"/>
                <w:sz w:val="24"/>
                <w:szCs w:val="24"/>
                <w:highlight w:val="none"/>
                <w:u w:val="none"/>
                <w:lang w:val="en-US" w:eastAsia="zh-CN"/>
              </w:rPr>
              <w:t>审批服务管理局</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项目审批（核准/备案）文号（选填）</w:t>
            </w:r>
          </w:p>
        </w:tc>
        <w:tc>
          <w:tcPr>
            <w:tcW w:w="32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总投资（万元）</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3624.39</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环保投资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（万元）</w:t>
            </w:r>
          </w:p>
        </w:tc>
        <w:tc>
          <w:tcPr>
            <w:tcW w:w="32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143.5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环保投资占比（%）</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3.96</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施工工期</w:t>
            </w:r>
          </w:p>
        </w:tc>
        <w:tc>
          <w:tcPr>
            <w:tcW w:w="32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12</w:t>
            </w:r>
            <w:r>
              <w:rPr>
                <w:rFonts w:hint="default" w:ascii="Times New Roman" w:hAnsi="Times New Roman" w:eastAsia="仿宋_GB2312" w:cs="Times New Roman"/>
                <w:b w:val="0"/>
                <w:bCs w:val="0"/>
                <w:color w:val="000000" w:themeColor="text1"/>
                <w:sz w:val="24"/>
                <w:szCs w:val="24"/>
                <w:highlight w:val="none"/>
                <w:lang w:val="en-US" w:eastAsia="zh-CN"/>
                <w14:textFill>
                  <w14:solidFill>
                    <w14:schemeClr w14:val="tx1"/>
                  </w14:solidFill>
                </w14:textFill>
              </w:rPr>
              <w:t>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是否开工建设</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sym w:font="Wingdings 2" w:char="0052"/>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sym w:font="Wingdings 2" w:char="00A3"/>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是：</w:t>
            </w:r>
            <w:r>
              <w:rPr>
                <w:rFonts w:hint="default" w:ascii="Times New Roman" w:hAnsi="Times New Roman" w:cs="Times New Roman"/>
                <w:b w:val="0"/>
                <w:bCs w:val="0"/>
                <w:color w:val="000000" w:themeColor="text1"/>
                <w:sz w:val="24"/>
                <w:szCs w:val="24"/>
                <w:highlight w:val="none"/>
                <w:u w:val="single"/>
                <w:lang w:val="en-US" w:eastAsia="zh-CN"/>
                <w14:textFill>
                  <w14:solidFill>
                    <w14:schemeClr w14:val="tx1"/>
                  </w14:solidFill>
                </w14:textFill>
              </w:rPr>
              <w:t xml:space="preserve">             </w:t>
            </w:r>
          </w:p>
        </w:tc>
        <w:tc>
          <w:tcPr>
            <w:tcW w:w="171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用地（用海）面积（m</w:t>
            </w:r>
            <w:r>
              <w:rPr>
                <w:rFonts w:hint="default" w:ascii="Times New Roman" w:hAnsi="Times New Roman" w:cs="Times New Roman"/>
                <w:b/>
                <w:bCs/>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w:t>
            </w:r>
          </w:p>
        </w:tc>
        <w:tc>
          <w:tcPr>
            <w:tcW w:w="325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eastAsia="仿宋_GB2312" w:cs="Times New Roman"/>
                <w:b w:val="0"/>
                <w:bCs w:val="0"/>
                <w:color w:val="000000" w:themeColor="text1"/>
                <w:sz w:val="24"/>
                <w:szCs w:val="24"/>
                <w:highlight w:val="none"/>
                <w:lang w:val="en-US" w:eastAsia="zh-CN"/>
                <w14:textFill>
                  <w14:solidFill>
                    <w14:schemeClr w14:val="tx1"/>
                  </w14:solidFill>
                </w14:textFill>
              </w:rPr>
              <w:t>31136.57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专项评价设置情况</w:t>
            </w:r>
          </w:p>
        </w:tc>
        <w:tc>
          <w:tcPr>
            <w:tcW w:w="8132" w:type="dxa"/>
            <w:gridSpan w:val="3"/>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jc w:val="center"/>
              <w:rPr>
                <w:rFonts w:hint="default" w:ascii="Times New Roman" w:hAnsi="Times New Roman" w:eastAsia="仿宋_GB2312"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3"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规划情况</w:t>
            </w:r>
          </w:p>
        </w:tc>
        <w:tc>
          <w:tcPr>
            <w:tcW w:w="8132" w:type="dxa"/>
            <w:gridSpan w:val="3"/>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3"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规划环境影响评价情况</w:t>
            </w:r>
          </w:p>
        </w:tc>
        <w:tc>
          <w:tcPr>
            <w:tcW w:w="8132" w:type="dxa"/>
            <w:gridSpan w:val="3"/>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b w:val="0"/>
                <w:bCs w:val="0"/>
                <w:color w:val="000000" w:themeColor="text1"/>
                <w:kern w:val="0"/>
                <w:sz w:val="24"/>
                <w:szCs w:val="22"/>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3"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b/>
                <w:bCs/>
                <w:color w:val="FF0000"/>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规划及规划环境影响评价符合性分析</w:t>
            </w:r>
          </w:p>
        </w:tc>
        <w:tc>
          <w:tcPr>
            <w:tcW w:w="8132" w:type="dxa"/>
            <w:gridSpan w:val="3"/>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val="0"/>
                <w:bCs w:val="0"/>
                <w:color w:val="FF0000"/>
                <w:kern w:val="0"/>
                <w:sz w:val="24"/>
                <w:szCs w:val="24"/>
                <w:highlight w:val="none"/>
                <w:vertAlign w:val="baseline"/>
                <w:lang w:val="en-US" w:eastAsia="zh-CN"/>
              </w:rPr>
            </w:pPr>
            <w:r>
              <w:rPr>
                <w:rFonts w:hint="eastAsia" w:ascii="Times New Roman" w:hAnsi="Times New Roman" w:cs="Times New Roman"/>
                <w:color w:val="000000" w:themeColor="text1"/>
                <w:highlight w:val="none"/>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39"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tc>
        <w:tc>
          <w:tcPr>
            <w:tcW w:w="8132" w:type="dxa"/>
            <w:gridSpan w:val="3"/>
            <w:vMerge w:val="restart"/>
            <w:vAlign w:val="center"/>
          </w:tcPr>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contextualSpacing/>
              <w:rPr>
                <w:rFonts w:hint="default" w:ascii="Times New Roman" w:hAnsi="Times New Roman" w:eastAsia="仿宋_GB2312" w:cs="Times New Roman"/>
                <w:b/>
                <w:bCs/>
                <w:color w:val="000000" w:themeColor="text1"/>
                <w:sz w:val="24"/>
                <w:szCs w:val="24"/>
                <w:highlight w:val="none"/>
                <w14:textFill>
                  <w14:solidFill>
                    <w14:schemeClr w14:val="tx1"/>
                  </w14:solidFill>
                </w14:textFill>
              </w:rPr>
            </w:pPr>
            <w:r>
              <w:rPr>
                <w:rFonts w:hint="default" w:ascii="Times New Roman" w:hAnsi="Times New Roman" w:eastAsia="仿宋_GB2312" w:cs="Times New Roman"/>
                <w:b/>
                <w:bCs/>
                <w:color w:val="000000" w:themeColor="text1"/>
                <w:sz w:val="24"/>
                <w:szCs w:val="24"/>
                <w:highlight w:val="none"/>
                <w14:textFill>
                  <w14:solidFill>
                    <w14:schemeClr w14:val="tx1"/>
                  </w14:solidFill>
                </w14:textFill>
              </w:rPr>
              <w:t>1</w:t>
            </w:r>
            <w: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w:t>
            </w:r>
            <w:r>
              <w:rPr>
                <w:rFonts w:hint="eastAsia" w:eastAsia="仿宋_GB2312" w:cs="Times New Roman"/>
                <w:b/>
                <w:bCs/>
                <w:color w:val="000000" w:themeColor="text1"/>
                <w:sz w:val="24"/>
                <w:szCs w:val="24"/>
                <w:highlight w:val="none"/>
                <w:lang w:val="en-US" w:eastAsia="zh-CN"/>
                <w14:textFill>
                  <w14:solidFill>
                    <w14:schemeClr w14:val="tx1"/>
                  </w14:solidFill>
                </w14:textFill>
              </w:rPr>
              <w:t>生态环境分区管控</w:t>
            </w:r>
            <w:r>
              <w:rPr>
                <w:rFonts w:hint="default" w:ascii="Times New Roman" w:hAnsi="Times New Roman" w:eastAsia="仿宋_GB2312" w:cs="Times New Roman"/>
                <w:b/>
                <w:bCs/>
                <w:color w:val="000000" w:themeColor="text1"/>
                <w:sz w:val="24"/>
                <w:szCs w:val="24"/>
                <w:highlight w:val="none"/>
                <w14:textFill>
                  <w14:solidFill>
                    <w14:schemeClr w14:val="tx1"/>
                  </w14:solidFill>
                </w14:textFill>
              </w:rPr>
              <w:t>符合性分析</w:t>
            </w:r>
          </w:p>
          <w:p>
            <w:pPr>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80" w:firstLineChars="200"/>
              <w:contextualSpacing/>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24"/>
                <w:szCs w:val="24"/>
                <w:highlight w:val="none"/>
                <w14:textFill>
                  <w14:solidFill>
                    <w14:schemeClr w14:val="tx1"/>
                  </w14:solidFill>
                </w14:textFill>
              </w:rPr>
              <w:instrText xml:space="preserve"> = 1 \* GB2 \* MERGEFORMAT </w:instrText>
            </w:r>
            <w:r>
              <w:rPr>
                <w:rFonts w:hint="default" w:ascii="Times New Roman" w:hAnsi="Times New Roman" w:eastAsia="仿宋_GB2312"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仿宋_GB2312" w:cs="Times New Roman"/>
                <w:color w:val="000000" w:themeColor="text1"/>
                <w:sz w:val="24"/>
                <w:szCs w:val="24"/>
                <w:highlight w:val="none"/>
                <w14:textFill>
                  <w14:solidFill>
                    <w14:schemeClr w14:val="tx1"/>
                  </w14:solidFill>
                </w14:textFill>
              </w:rPr>
              <w:t>⑴</w:t>
            </w:r>
            <w:r>
              <w:rPr>
                <w:rFonts w:hint="default" w:ascii="Times New Roman" w:hAnsi="Times New Roman" w:eastAsia="仿宋_GB2312"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仿宋_GB2312" w:cs="Times New Roman"/>
                <w:color w:val="000000" w:themeColor="text1"/>
                <w:sz w:val="24"/>
                <w:szCs w:val="24"/>
                <w:highlight w:val="none"/>
                <w14:textFill>
                  <w14:solidFill>
                    <w14:schemeClr w14:val="tx1"/>
                  </w14:solidFill>
                </w14:textFill>
              </w:rPr>
              <w:t>生态保护红线与生态</w:t>
            </w:r>
            <w:r>
              <w:rPr>
                <w:rFonts w:hint="eastAsia" w:ascii="Times New Roman" w:hAnsi="Times New Roman" w:eastAsia="仿宋_GB2312" w:cs="Times New Roman"/>
                <w:color w:val="000000" w:themeColor="text1"/>
                <w:sz w:val="24"/>
                <w:szCs w:val="24"/>
                <w:highlight w:val="none"/>
                <w:lang w:eastAsia="zh-CN"/>
                <w14:textFill>
                  <w14:solidFill>
                    <w14:schemeClr w14:val="tx1"/>
                  </w14:solidFill>
                </w14:textFill>
              </w:rPr>
              <w:t>环境分区管控</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根据</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市人民政府关于印发</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市生态环境分区管控</w:t>
            </w:r>
            <w:r>
              <w:rPr>
                <w:rFonts w:hint="eastAsia" w:cs="Times New Roman"/>
                <w:color w:val="000000" w:themeColor="text1"/>
                <w:sz w:val="24"/>
                <w:szCs w:val="24"/>
                <w:highlight w:val="none"/>
                <w:lang w:val="en-US" w:eastAsia="zh-CN"/>
                <w14:textFill>
                  <w14:solidFill>
                    <w14:schemeClr w14:val="tx1"/>
                  </w14:solidFill>
                </w14:textFill>
              </w:rPr>
              <w:t>实施方案</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的通知</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政发</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〔202</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28</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号）、《</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市人民政府关于实施“三线一单”生态环境分区管控的意见》可知，划定固原市生态空间总面积4285.65平方公里。其中生态保护红线面积为2887.56平方公里；除生态保护红线以外的一般生态空间面积1397.22平方公里。</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本项目建设地点位于</w:t>
            </w:r>
            <w:r>
              <w:rPr>
                <w:rFonts w:hint="default" w:ascii="Times New Roman" w:hAnsi="Times New Roman" w:cs="Times New Roman"/>
                <w:color w:val="000000" w:themeColor="text1"/>
                <w:highlight w:val="none"/>
                <w:lang w:val="en-US" w:eastAsia="zh-CN"/>
                <w14:textFill>
                  <w14:solidFill>
                    <w14:schemeClr w14:val="tx1"/>
                  </w14:solidFill>
                </w14:textFill>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新集乡与白阳镇交界处，彭沟公路西侧</w:t>
            </w:r>
            <w:r>
              <w:rPr>
                <w:rFonts w:hint="eastAsia" w:cs="Times New Roman"/>
                <w:b w:val="0"/>
                <w:bCs w:val="0"/>
                <w:color w:val="000000" w:themeColor="text1"/>
                <w:sz w:val="24"/>
                <w:szCs w:val="24"/>
                <w:highlight w:val="none"/>
                <w:u w:val="none"/>
                <w:lang w:val="en-US" w:eastAsia="zh-CN"/>
                <w14:textFill>
                  <w14:solidFill>
                    <w14:schemeClr w14:val="tx1"/>
                  </w14:solidFill>
                </w14:textFill>
              </w:rPr>
              <w:t>，本项目地理位置关系图见</w:t>
            </w:r>
            <w:r>
              <w:rPr>
                <w:rFonts w:hint="eastAsia" w:cs="Times New Roman"/>
                <w:b/>
                <w:bCs/>
                <w:color w:val="000000" w:themeColor="text1"/>
                <w:sz w:val="24"/>
                <w:szCs w:val="24"/>
                <w:highlight w:val="none"/>
                <w:u w:val="none"/>
                <w:lang w:val="en-US" w:eastAsia="zh-CN"/>
                <w14:textFill>
                  <w14:solidFill>
                    <w14:schemeClr w14:val="tx1"/>
                  </w14:solidFill>
                </w14:textFill>
              </w:rPr>
              <w:t>附图1-1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根据</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市生态空间分布示意图可知，</w:t>
            </w:r>
            <w:r>
              <w:rPr>
                <w:rFonts w:hint="default" w:ascii="Times New Roman" w:hAnsi="Times New Roman" w:cs="Times New Roman"/>
                <w:color w:val="000000" w:themeColor="text1"/>
                <w:sz w:val="24"/>
                <w:szCs w:val="24"/>
                <w:highlight w:val="none"/>
                <w:lang w:eastAsia="zh-CN"/>
                <w14:textFill>
                  <w14:solidFill>
                    <w14:schemeClr w14:val="tx1"/>
                  </w14:solidFill>
                </w14:textFill>
              </w:rPr>
              <w:t>本</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项目不在生态保护红线</w:t>
            </w:r>
            <w:r>
              <w:rPr>
                <w:rFonts w:hint="default" w:ascii="Times New Roman" w:hAnsi="Times New Roman" w:cs="Times New Roman"/>
                <w:color w:val="000000" w:themeColor="text1"/>
                <w:sz w:val="24"/>
                <w:szCs w:val="24"/>
                <w:highlight w:val="none"/>
                <w:lang w:eastAsia="zh-CN"/>
                <w14:textFill>
                  <w14:solidFill>
                    <w14:schemeClr w14:val="tx1"/>
                  </w14:solidFill>
                </w14:textFill>
              </w:rPr>
              <w:t>和一般生态空间</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内。</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与生态</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空间分布示意图</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位置关系见</w:t>
            </w:r>
            <w:r>
              <w:rPr>
                <w:rFonts w:hint="eastAsia" w:ascii="Times New Roman" w:hAnsi="Times New Roman" w:eastAsia="仿宋_GB2312" w:cs="Times New Roman"/>
                <w:b/>
                <w:bCs w:val="0"/>
                <w:color w:val="000000" w:themeColor="text1"/>
                <w:sz w:val="24"/>
                <w:szCs w:val="24"/>
                <w:highlight w:val="none"/>
                <w:lang w:val="en-US" w:eastAsia="zh-CN"/>
                <w14:textFill>
                  <w14:solidFill>
                    <w14:schemeClr w14:val="tx1"/>
                  </w14:solidFill>
                </w14:textFill>
              </w:rPr>
              <w:t>附</w:t>
            </w:r>
            <w:r>
              <w:rPr>
                <w:rFonts w:hint="default" w:ascii="Times New Roman" w:hAnsi="Times New Roman" w:eastAsia="仿宋_GB2312" w:cs="Times New Roman"/>
                <w:b/>
                <w:bCs/>
                <w:color w:val="000000" w:themeColor="text1"/>
                <w:sz w:val="24"/>
                <w:szCs w:val="24"/>
                <w:highlight w:val="none"/>
                <w:lang w:eastAsia="zh-CN"/>
                <w14:textFill>
                  <w14:solidFill>
                    <w14:schemeClr w14:val="tx1"/>
                  </w14:solidFill>
                </w14:textFill>
              </w:rPr>
              <w:t>图</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w:t>
            </w:r>
            <w:r>
              <w:rPr>
                <w:rFonts w:hint="eastAsia"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b w:val="0"/>
                <w:bCs w:val="0"/>
                <w:color w:val="000000" w:themeColor="text1"/>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24"/>
                <w:szCs w:val="24"/>
                <w:highlight w:val="none"/>
                <w14:textFill>
                  <w14:solidFill>
                    <w14:schemeClr w14:val="tx1"/>
                  </w14:solidFill>
                </w14:textFill>
              </w:rPr>
              <w:instrText xml:space="preserve">= 2 \* GB2</w:instrText>
            </w:r>
            <w:r>
              <w:rPr>
                <w:rFonts w:hint="default" w:ascii="Times New Roman" w:hAnsi="Times New Roman" w:eastAsia="仿宋_GB2312"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仿宋_GB2312" w:cs="Times New Roman"/>
                <w:color w:val="000000" w:themeColor="text1"/>
                <w:sz w:val="24"/>
                <w:szCs w:val="24"/>
                <w:highlight w:val="none"/>
                <w14:textFill>
                  <w14:solidFill>
                    <w14:schemeClr w14:val="tx1"/>
                  </w14:solidFill>
                </w14:textFill>
              </w:rPr>
              <w:t>⑵</w:t>
            </w:r>
            <w:r>
              <w:rPr>
                <w:rFonts w:hint="default" w:ascii="Times New Roman" w:hAnsi="Times New Roman" w:eastAsia="仿宋_GB2312" w:cs="Times New Roman"/>
                <w:color w:val="000000" w:themeColor="text1"/>
                <w:sz w:val="24"/>
                <w:szCs w:val="24"/>
                <w:highlight w:val="none"/>
                <w14:textFill>
                  <w14:solidFill>
                    <w14:schemeClr w14:val="tx1"/>
                  </w14:solidFill>
                </w14:textFill>
              </w:rPr>
              <w:fldChar w:fldCharType="end"/>
            </w:r>
            <w:r>
              <w:rPr>
                <w:rFonts w:hint="default" w:ascii="Times New Roman" w:hAnsi="Times New Roman" w:cs="Times New Roman"/>
                <w:b w:val="0"/>
                <w:bCs w:val="0"/>
                <w:color w:val="000000" w:themeColor="text1"/>
                <w:highlight w:val="none"/>
                <w14:textFill>
                  <w14:solidFill>
                    <w14:schemeClr w14:val="tx1"/>
                  </w14:solidFill>
                </w14:textFill>
              </w:rPr>
              <w:t>环境质量底线</w:t>
            </w:r>
            <w:r>
              <w:rPr>
                <w:rFonts w:hint="default" w:ascii="Times New Roman" w:hAnsi="Times New Roman" w:cs="Times New Roman"/>
                <w:b w:val="0"/>
                <w:bCs w:val="0"/>
                <w:color w:val="000000" w:themeColor="text1"/>
                <w:highlight w:val="none"/>
                <w:lang w:eastAsia="zh-CN"/>
                <w14:textFill>
                  <w14:solidFill>
                    <w14:schemeClr w14:val="tx1"/>
                  </w14:solidFill>
                </w14:textFill>
              </w:rPr>
              <w:t>及分区管控</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b w:val="0"/>
                <w:bCs w:val="0"/>
                <w:color w:val="000000" w:themeColor="text1"/>
                <w:highlight w:val="none"/>
                <w:lang w:eastAsia="zh-CN"/>
                <w14:textFill>
                  <w14:solidFill>
                    <w14:schemeClr w14:val="tx1"/>
                  </w14:solidFill>
                </w14:textFill>
              </w:rPr>
            </w:pPr>
            <w:r>
              <w:rPr>
                <w:rFonts w:hint="default" w:ascii="Times New Roman" w:hAnsi="Times New Roman" w:cs="Times New Roman"/>
                <w:b w:val="0"/>
                <w:bCs w:val="0"/>
                <w:color w:val="000000" w:themeColor="text1"/>
                <w:highlight w:val="none"/>
                <w:lang w:val="en-US" w:eastAsia="zh-CN"/>
                <w14:textFill>
                  <w14:solidFill>
                    <w14:schemeClr w14:val="tx1"/>
                  </w14:solidFill>
                </w14:textFill>
              </w:rPr>
              <w:t>①水环境质量底线及分区管控</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rPr>
                <w:rFonts w:hint="default" w:ascii="Times New Roman" w:hAnsi="Times New Roman"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1）水环境质量底线：根据《</w:t>
            </w:r>
            <w:r>
              <w:rPr>
                <w:rFonts w:hint="eastAsia" w:cs="Times New Roman"/>
                <w:color w:val="000000" w:themeColor="text1"/>
                <w:highlight w:val="none"/>
                <w:lang w:val="en-US" w:eastAsia="zh-CN"/>
                <w14:textFill>
                  <w14:solidFill>
                    <w14:schemeClr w14:val="tx1"/>
                  </w14:solidFill>
                </w14:textFill>
              </w:rPr>
              <w:t>固原市生态环境分区管控方案文本</w:t>
            </w:r>
            <w:r>
              <w:rPr>
                <w:rFonts w:hint="default" w:ascii="Times New Roman" w:hAnsi="Times New Roman" w:cs="Times New Roman"/>
                <w:color w:val="000000" w:themeColor="text1"/>
                <w:highlight w:val="none"/>
                <w:lang w:val="en-US" w:eastAsia="zh-CN"/>
                <w14:textFill>
                  <w14:solidFill>
                    <w14:schemeClr w14:val="tx1"/>
                  </w14:solidFill>
                </w14:textFill>
              </w:rPr>
              <w:t xml:space="preserve">》中“表3-1 </w:t>
            </w:r>
            <w:r>
              <w:rPr>
                <w:rFonts w:hint="eastAsia" w:cs="Times New Roman"/>
                <w:color w:val="000000" w:themeColor="text1"/>
                <w:highlight w:val="none"/>
                <w:lang w:val="en-US" w:eastAsia="zh-CN"/>
                <w14:textFill>
                  <w14:solidFill>
                    <w14:schemeClr w14:val="tx1"/>
                  </w14:solidFill>
                </w14:textFill>
              </w:rPr>
              <w:t>固原</w:t>
            </w:r>
            <w:r>
              <w:rPr>
                <w:rFonts w:hint="default" w:ascii="Times New Roman" w:hAnsi="Times New Roman" w:cs="Times New Roman"/>
                <w:color w:val="000000" w:themeColor="text1"/>
                <w:highlight w:val="none"/>
                <w:lang w:val="en-US" w:eastAsia="zh-CN"/>
                <w14:textFill>
                  <w14:solidFill>
                    <w14:schemeClr w14:val="tx1"/>
                  </w14:solidFill>
                </w14:textFill>
              </w:rPr>
              <w:t>市水环境质量底线目标”，</w:t>
            </w:r>
            <w:r>
              <w:rPr>
                <w:rFonts w:hint="eastAsia" w:cs="Times New Roman"/>
                <w:b w:val="0"/>
                <w:bCs w:val="0"/>
                <w:color w:val="000000" w:themeColor="text1"/>
                <w:highlight w:val="none"/>
                <w:lang w:val="en-US" w:eastAsia="zh-CN"/>
                <w14:textFill>
                  <w14:solidFill>
                    <w14:schemeClr w14:val="tx1"/>
                  </w14:solidFill>
                </w14:textFill>
              </w:rPr>
              <w:t>茹河</w:t>
            </w:r>
            <w:r>
              <w:rPr>
                <w:rFonts w:hint="eastAsia" w:cs="Times New Roman"/>
                <w:color w:val="000000" w:themeColor="text1"/>
                <w:highlight w:val="none"/>
                <w:lang w:val="en-US" w:eastAsia="zh-CN"/>
                <w14:textFill>
                  <w14:solidFill>
                    <w14:schemeClr w14:val="tx1"/>
                  </w14:solidFill>
                </w14:textFill>
              </w:rPr>
              <w:t>沟圈</w:t>
            </w:r>
            <w:r>
              <w:rPr>
                <w:rFonts w:hint="default" w:ascii="Times New Roman" w:hAnsi="Times New Roman" w:cs="Times New Roman"/>
                <w:color w:val="000000" w:themeColor="text1"/>
                <w:highlight w:val="none"/>
                <w:lang w:val="en-US" w:eastAsia="zh-CN"/>
                <w14:textFill>
                  <w14:solidFill>
                    <w14:schemeClr w14:val="tx1"/>
                  </w14:solidFill>
                </w14:textFill>
              </w:rPr>
              <w:t>断面2025年、2035年水质目标均为</w:t>
            </w:r>
            <w:r>
              <w:rPr>
                <w:rFonts w:hint="eastAsia" w:ascii="微软雅黑" w:hAnsi="微软雅黑" w:eastAsia="微软雅黑" w:cs="微软雅黑"/>
                <w:color w:val="000000" w:themeColor="text1"/>
                <w:highlight w:val="none"/>
                <w:lang w:val="en-US" w:eastAsia="zh-CN"/>
                <w14:textFill>
                  <w14:solidFill>
                    <w14:schemeClr w14:val="tx1"/>
                  </w14:solidFill>
                </w14:textFill>
              </w:rPr>
              <w:t>Ⅲ</w:t>
            </w:r>
            <w:r>
              <w:rPr>
                <w:rFonts w:hint="default" w:ascii="Times New Roman" w:hAnsi="Times New Roman" w:cs="Times New Roman"/>
                <w:color w:val="000000" w:themeColor="text1"/>
                <w:highlight w:val="none"/>
                <w:lang w:val="en-US" w:eastAsia="zh-CN"/>
                <w14:textFill>
                  <w14:solidFill>
                    <w14:schemeClr w14:val="tx1"/>
                  </w14:solidFill>
                </w14:textFill>
              </w:rPr>
              <w:t>类标准要求。</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本次评价区域内地表水体为</w:t>
            </w:r>
            <w:r>
              <w:rPr>
                <w:rFonts w:hint="eastAsia" w:cs="Times New Roman"/>
                <w:b w:val="0"/>
                <w:bCs w:val="0"/>
                <w:color w:val="000000" w:themeColor="text1"/>
                <w:highlight w:val="none"/>
                <w:lang w:val="en-US" w:eastAsia="zh-CN"/>
                <w14:textFill>
                  <w14:solidFill>
                    <w14:schemeClr w14:val="tx1"/>
                  </w14:solidFill>
                </w14:textFill>
              </w:rPr>
              <w:t>茹河</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，位于本项目</w:t>
            </w:r>
            <w:r>
              <w:rPr>
                <w:rFonts w:hint="eastAsia" w:cs="Times New Roman"/>
                <w:b w:val="0"/>
                <w:bCs w:val="0"/>
                <w:color w:val="000000" w:themeColor="text1"/>
                <w:highlight w:val="none"/>
                <w:lang w:val="en-US" w:eastAsia="zh-CN"/>
                <w14:textFill>
                  <w14:solidFill>
                    <w14:schemeClr w14:val="tx1"/>
                  </w14:solidFill>
                </w14:textFill>
              </w:rPr>
              <w:t>北</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侧约</w:t>
            </w:r>
            <w:r>
              <w:rPr>
                <w:rFonts w:hint="eastAsia" w:cs="Times New Roman"/>
                <w:b w:val="0"/>
                <w:bCs w:val="0"/>
                <w:color w:val="000000" w:themeColor="text1"/>
                <w:highlight w:val="none"/>
                <w:lang w:val="en-US" w:eastAsia="zh-CN"/>
                <w14:textFill>
                  <w14:solidFill>
                    <w14:schemeClr w14:val="tx1"/>
                  </w14:solidFill>
                </w14:textFill>
              </w:rPr>
              <w:t>3000</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m处，根据《202</w:t>
            </w:r>
            <w:r>
              <w:rPr>
                <w:rFonts w:hint="eastAsia" w:cs="Times New Roman"/>
                <w:b w:val="0"/>
                <w:bCs w:val="0"/>
                <w:color w:val="000000" w:themeColor="text1"/>
                <w:highlight w:val="none"/>
                <w:lang w:val="en-US" w:eastAsia="zh-CN"/>
                <w14:textFill>
                  <w14:solidFill>
                    <w14:schemeClr w14:val="tx1"/>
                  </w14:solidFill>
                </w14:textFill>
              </w:rPr>
              <w:t>4</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年宁夏生态环境质量状况》中202</w:t>
            </w:r>
            <w:r>
              <w:rPr>
                <w:rFonts w:hint="eastAsia" w:cs="Times New Roman"/>
                <w:b w:val="0"/>
                <w:bCs w:val="0"/>
                <w:color w:val="000000" w:themeColor="text1"/>
                <w:highlight w:val="none"/>
                <w:lang w:val="en-US" w:eastAsia="zh-CN"/>
                <w14:textFill>
                  <w14:solidFill>
                    <w14:schemeClr w14:val="tx1"/>
                  </w14:solidFill>
                </w14:textFill>
              </w:rPr>
              <w:t>4</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年监测评价结论，</w:t>
            </w:r>
            <w:r>
              <w:rPr>
                <w:rFonts w:hint="eastAsia" w:cs="Times New Roman"/>
                <w:b w:val="0"/>
                <w:bCs w:val="0"/>
                <w:color w:val="000000" w:themeColor="text1"/>
                <w:highlight w:val="none"/>
                <w:lang w:val="en-US" w:eastAsia="zh-CN"/>
                <w14:textFill>
                  <w14:solidFill>
                    <w14:schemeClr w14:val="tx1"/>
                  </w14:solidFill>
                </w14:textFill>
              </w:rPr>
              <w:t>茹河</w:t>
            </w:r>
            <w:r>
              <w:rPr>
                <w:rFonts w:hint="eastAsia" w:cs="Times New Roman"/>
                <w:color w:val="000000" w:themeColor="text1"/>
                <w:highlight w:val="none"/>
                <w:lang w:val="en-US" w:eastAsia="zh-CN"/>
                <w14:textFill>
                  <w14:solidFill>
                    <w14:schemeClr w14:val="tx1"/>
                  </w14:solidFill>
                </w14:textFill>
              </w:rPr>
              <w:t>沟圈</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监测断面水质达到《地表水环境质量标准》（GB3838-2002）中的</w:t>
            </w:r>
            <w:r>
              <w:rPr>
                <w:rFonts w:hint="eastAsia" w:ascii="微软雅黑" w:hAnsi="微软雅黑" w:eastAsia="微软雅黑" w:cs="微软雅黑"/>
                <w:b w:val="0"/>
                <w:bCs w:val="0"/>
                <w:color w:val="000000" w:themeColor="text1"/>
                <w:highlight w:val="none"/>
                <w:lang w:val="en-US" w:eastAsia="zh-CN"/>
                <w14:textFill>
                  <w14:solidFill>
                    <w14:schemeClr w14:val="tx1"/>
                  </w14:solidFill>
                </w14:textFill>
              </w:rPr>
              <w:t>Ⅲ</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类标准，符合水环境质量底线要求。</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2）分区管控要求：根据</w:t>
            </w:r>
            <w:r>
              <w:rPr>
                <w:rFonts w:hint="eastAsia" w:cs="Times New Roman"/>
                <w:color w:val="000000" w:themeColor="text1"/>
                <w:highlight w:val="none"/>
                <w:lang w:val="en-US" w:eastAsia="zh-CN"/>
                <w14:textFill>
                  <w14:solidFill>
                    <w14:schemeClr w14:val="tx1"/>
                  </w14:solidFill>
                </w14:textFill>
              </w:rPr>
              <w:t>固原</w:t>
            </w:r>
            <w:r>
              <w:rPr>
                <w:rFonts w:hint="default" w:ascii="Times New Roman" w:hAnsi="Times New Roman" w:cs="Times New Roman"/>
                <w:color w:val="000000" w:themeColor="text1"/>
                <w:highlight w:val="none"/>
                <w:lang w:val="en-US" w:eastAsia="zh-CN"/>
                <w14:textFill>
                  <w14:solidFill>
                    <w14:schemeClr w14:val="tx1"/>
                  </w14:solidFill>
                </w14:textFill>
              </w:rPr>
              <w:t>市水环境分区管控划分，本项目位于水环境一般管控区</w:t>
            </w:r>
            <w:r>
              <w:rPr>
                <w:rFonts w:hint="eastAsia" w:cs="Times New Roman"/>
                <w:color w:val="000000" w:themeColor="text1"/>
                <w:highlight w:val="none"/>
                <w:lang w:val="en-US" w:eastAsia="zh-CN"/>
                <w14:textFill>
                  <w14:solidFill>
                    <w14:schemeClr w14:val="tx1"/>
                  </w14:solidFill>
                </w14:textFill>
              </w:rPr>
              <w:t>。其管控要求为：</w:t>
            </w:r>
            <w:r>
              <w:rPr>
                <w:rFonts w:hint="default" w:ascii="Times New Roman" w:hAnsi="Times New Roman" w:cs="Times New Roman"/>
                <w:color w:val="000000" w:themeColor="text1"/>
                <w:highlight w:val="none"/>
                <w:lang w:val="en-US" w:eastAsia="zh-CN"/>
                <w14:textFill>
                  <w14:solidFill>
                    <w14:schemeClr w14:val="tx1"/>
                  </w14:solidFill>
                </w14:textFill>
              </w:rPr>
              <w:t>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与水环境分区管控位置关系见</w:t>
            </w:r>
            <w:r>
              <w:rPr>
                <w:rFonts w:hint="eastAsia" w:ascii="Times New Roman" w:hAnsi="Times New Roman" w:eastAsia="仿宋_GB2312" w:cs="Times New Roman"/>
                <w:b/>
                <w:bCs w:val="0"/>
                <w:color w:val="000000" w:themeColor="text1"/>
                <w:sz w:val="24"/>
                <w:szCs w:val="24"/>
                <w:highlight w:val="none"/>
                <w:lang w:val="en-US" w:eastAsia="zh-CN"/>
                <w14:textFill>
                  <w14:solidFill>
                    <w14:schemeClr w14:val="tx1"/>
                  </w14:solidFill>
                </w14:textFill>
              </w:rPr>
              <w:t>附</w:t>
            </w:r>
            <w:r>
              <w:rPr>
                <w:rFonts w:hint="default" w:ascii="Times New Roman" w:hAnsi="Times New Roman" w:eastAsia="仿宋_GB2312" w:cs="Times New Roman"/>
                <w:b/>
                <w:bCs/>
                <w:color w:val="000000" w:themeColor="text1"/>
                <w:sz w:val="24"/>
                <w:szCs w:val="24"/>
                <w:highlight w:val="none"/>
                <w:lang w:eastAsia="zh-CN"/>
                <w14:textFill>
                  <w14:solidFill>
                    <w14:schemeClr w14:val="tx1"/>
                  </w14:solidFill>
                </w14:textFill>
              </w:rPr>
              <w:t>图</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w:t>
            </w:r>
            <w:r>
              <w:rPr>
                <w:rFonts w:hint="eastAsia"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本项目位于宁夏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生产废水</w:t>
            </w:r>
            <w:r>
              <w:rPr>
                <w:rFonts w:hint="eastAsia" w:cs="Times New Roman"/>
                <w:color w:val="000000" w:themeColor="text1"/>
                <w:highlight w:val="none"/>
                <w:lang w:val="en-US" w:eastAsia="zh-CN"/>
                <w14:textFill>
                  <w14:solidFill>
                    <w14:schemeClr w14:val="tx1"/>
                  </w14:solidFill>
                </w14:textFill>
              </w:rPr>
              <w:t>通过</w:t>
            </w:r>
            <w:r>
              <w:rPr>
                <w:rFonts w:hint="default" w:ascii="Times New Roman" w:hAnsi="Times New Roman" w:cs="Times New Roman"/>
                <w:color w:val="000000" w:themeColor="text1"/>
                <w:highlight w:val="none"/>
                <w:lang w:val="en-US" w:eastAsia="zh-CN"/>
                <w14:textFill>
                  <w14:solidFill>
                    <w14:schemeClr w14:val="tx1"/>
                  </w14:solidFill>
                </w14:textFill>
              </w:rPr>
              <w:t>在原料堆场区设置30m</w:t>
            </w:r>
            <w:r>
              <w:rPr>
                <w:rFonts w:hint="eastAsia"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生产废水收集沉淀池，经沉淀后，上清液循环使用，沉淀物和分离分选后的渣土</w:t>
            </w:r>
            <w:r>
              <w:rPr>
                <w:rFonts w:hint="eastAsia"/>
                <w:color w:val="000000" w:themeColor="text1"/>
                <w:highlight w:val="none"/>
                <w14:textFill>
                  <w14:solidFill>
                    <w14:schemeClr w14:val="tx1"/>
                  </w14:solidFill>
                </w14:textFill>
              </w:rPr>
              <w:t>主要用于回填工程，如拆除工程场地平整，垃圾填埋场的封场填埋等</w:t>
            </w:r>
            <w:r>
              <w:rPr>
                <w:rFonts w:hint="default" w:ascii="Times New Roman" w:hAnsi="Times New Roman" w:cs="Times New Roman"/>
                <w:color w:val="000000" w:themeColor="text1"/>
                <w:highlight w:val="none"/>
                <w:lang w:val="en-US" w:eastAsia="zh-CN"/>
                <w14:textFill>
                  <w14:solidFill>
                    <w14:schemeClr w14:val="tx1"/>
                  </w14:solidFill>
                </w14:textFill>
              </w:rPr>
              <w:t>。生活污水系统共设有2座化粪池，管理用房生活污水经管道排至室外20</w:t>
            </w:r>
            <w:r>
              <w:rPr>
                <w:rFonts w:hint="eastAsia" w:cs="Times New Roman"/>
                <w:color w:val="000000" w:themeColor="text1"/>
                <w:highlight w:val="none"/>
                <w:lang w:val="en-US" w:eastAsia="zh-CN"/>
                <w14:textFill>
                  <w14:solidFill>
                    <w14:schemeClr w14:val="tx1"/>
                  </w14:solidFill>
                </w14:textFill>
              </w:rPr>
              <w:t>m</w:t>
            </w:r>
            <w:r>
              <w:rPr>
                <w:rFonts w:hint="eastAsia"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化粪池，生产区卫生间污水经管道排至卫生间下方设置的12</w:t>
            </w:r>
            <w:r>
              <w:rPr>
                <w:rFonts w:hint="eastAsia" w:cs="Times New Roman"/>
                <w:color w:val="000000" w:themeColor="text1"/>
                <w:highlight w:val="none"/>
                <w:lang w:val="en-US" w:eastAsia="zh-CN"/>
                <w14:textFill>
                  <w14:solidFill>
                    <w14:schemeClr w14:val="tx1"/>
                  </w14:solidFill>
                </w14:textFill>
              </w:rPr>
              <w:t>m</w:t>
            </w:r>
            <w:r>
              <w:rPr>
                <w:rFonts w:hint="eastAsia"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化粪池，由专业人员定期清理外运</w:t>
            </w:r>
            <w:r>
              <w:rPr>
                <w:rFonts w:hint="eastAsia" w:cs="Times New Roman"/>
                <w:color w:val="000000" w:themeColor="text1"/>
                <w:highlight w:val="none"/>
                <w:lang w:val="en-US" w:eastAsia="zh-CN"/>
                <w14:textFill>
                  <w14:solidFill>
                    <w14:schemeClr w14:val="tx1"/>
                  </w14:solidFill>
                </w14:textFill>
              </w:rPr>
              <w:t>至彭阳县第二污水处理厂。</w:t>
            </w:r>
            <w:r>
              <w:rPr>
                <w:rFonts w:hint="default" w:ascii="Times New Roman" w:hAnsi="Times New Roman" w:cs="Times New Roman"/>
                <w:color w:val="000000" w:themeColor="text1"/>
                <w:highlight w:val="none"/>
                <w:lang w:val="en-US" w:eastAsia="zh-CN"/>
                <w14:textFill>
                  <w14:solidFill>
                    <w14:schemeClr w14:val="tx1"/>
                  </w14:solidFill>
                </w14:textFill>
              </w:rPr>
              <w:t>故本项目符合</w:t>
            </w:r>
            <w:r>
              <w:rPr>
                <w:rFonts w:hint="eastAsia" w:cs="Times New Roman"/>
                <w:color w:val="000000" w:themeColor="text1"/>
                <w:highlight w:val="none"/>
                <w:lang w:val="en-US" w:eastAsia="zh-CN"/>
                <w14:textFill>
                  <w14:solidFill>
                    <w14:schemeClr w14:val="tx1"/>
                  </w14:solidFill>
                </w14:textFill>
              </w:rPr>
              <w:t>固原</w:t>
            </w:r>
            <w:r>
              <w:rPr>
                <w:rFonts w:hint="default" w:ascii="Times New Roman" w:hAnsi="Times New Roman" w:cs="Times New Roman"/>
                <w:color w:val="000000" w:themeColor="text1"/>
                <w:highlight w:val="none"/>
                <w:lang w:val="en-US" w:eastAsia="zh-CN"/>
                <w14:textFill>
                  <w14:solidFill>
                    <w14:schemeClr w14:val="tx1"/>
                  </w14:solidFill>
                </w14:textFill>
              </w:rPr>
              <w:t>市水环境质量底线及分区管控要求。</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②大气环境质量底线及分区管控</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default" w:ascii="Times New Roman" w:hAnsi="Times New Roman" w:eastAsia="仿宋_GB2312" w:cs="Times New Roman"/>
                <w:color w:val="FF0000"/>
                <w:sz w:val="24"/>
                <w:szCs w:val="24"/>
                <w:highlight w:val="none"/>
                <w:lang w:eastAsia="zh-CN"/>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大气环境质量底线：根据</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固原市生态环境分区管控方案文本</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中“表</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4固原市大气环境质量目标建议值一览表</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截至</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2025年</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固原市</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PM</w:t>
            </w:r>
            <w:r>
              <w:rPr>
                <w:rFonts w:hint="default" w:ascii="Times New Roman" w:hAnsi="Times New Roman" w:eastAsia="仿宋_GB2312" w:cs="Times New Roman"/>
                <w:color w:val="000000" w:themeColor="text1"/>
                <w:sz w:val="24"/>
                <w:szCs w:val="24"/>
                <w:highlight w:val="none"/>
                <w:vertAlign w:val="subscript"/>
                <w:lang w:eastAsia="zh-CN"/>
                <w14:textFill>
                  <w14:solidFill>
                    <w14:schemeClr w14:val="tx1"/>
                  </w14:solidFill>
                </w14:textFill>
              </w:rPr>
              <w:t>2.5</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目标值为</w:t>
            </w:r>
            <w:r>
              <w:rPr>
                <w:rFonts w:hint="eastAsia"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µ</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g/m</w:t>
            </w:r>
            <w:r>
              <w:rPr>
                <w:rFonts w:hint="default" w:ascii="Times New Roman" w:hAnsi="Times New Roman" w:eastAsia="仿宋_GB2312" w:cs="Times New Roman"/>
                <w:color w:val="000000" w:themeColor="text1"/>
                <w:sz w:val="24"/>
                <w:szCs w:val="24"/>
                <w:highlight w:val="none"/>
                <w:vertAlign w:val="superscript"/>
                <w:lang w:eastAsia="zh-CN"/>
                <w14:textFill>
                  <w14:solidFill>
                    <w14:schemeClr w14:val="tx1"/>
                  </w14:solidFill>
                </w14:textFill>
              </w:rPr>
              <w:t>3</w:t>
            </w:r>
            <w:r>
              <w:rPr>
                <w:rFonts w:hint="eastAsia" w:cs="Times New Roman"/>
                <w:color w:val="000000" w:themeColor="text1"/>
                <w:sz w:val="24"/>
                <w:szCs w:val="24"/>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根据《2024年宁夏生态环境质量状况》</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符合</w:t>
            </w:r>
            <w:r>
              <w:rPr>
                <w:rFonts w:hint="eastAsia"/>
                <w:color w:val="000000" w:themeColor="text1"/>
                <w:highlight w:val="none"/>
                <w14:textFill>
                  <w14:solidFill>
                    <w14:schemeClr w14:val="tx1"/>
                  </w14:solidFill>
                </w14:textFill>
              </w:rPr>
              <w:t>大气环境质量底线</w:t>
            </w:r>
            <w:r>
              <w:rPr>
                <w:rFonts w:hint="eastAsia"/>
                <w:color w:val="000000" w:themeColor="text1"/>
                <w:highlight w:val="none"/>
                <w:lang w:val="en-US" w:eastAsia="zh-CN"/>
                <w14:textFill>
                  <w14:solidFill>
                    <w14:schemeClr w14:val="tx1"/>
                  </w14:solidFill>
                </w14:textFill>
              </w:rPr>
              <w:t>要求</w:t>
            </w:r>
            <w:r>
              <w:rPr>
                <w:rFonts w:hint="eastAsia" w:cs="Times New Roman"/>
                <w:color w:val="000000" w:themeColor="text1"/>
                <w:sz w:val="24"/>
                <w:szCs w:val="24"/>
                <w:highlight w:val="none"/>
                <w:lang w:eastAsia="zh-CN"/>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FF0000"/>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eastAsia="zh-CN"/>
                <w14:textFill>
                  <w14:solidFill>
                    <w14:schemeClr w14:val="tx1"/>
                  </w14:solidFill>
                </w14:textFill>
              </w:rPr>
              <w:t>分区管控要求：</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根据</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市大气环境分区管控划分，本项目位于</w:t>
            </w: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大气环境</w:t>
            </w:r>
            <w:r>
              <w:rPr>
                <w:rFonts w:hint="default" w:ascii="Times New Roman" w:hAnsi="Times New Roman" w:cs="Times New Roman"/>
                <w:color w:val="000000" w:themeColor="text1"/>
                <w:sz w:val="24"/>
                <w:szCs w:val="24"/>
                <w:highlight w:val="none"/>
                <w:lang w:val="zh-CN" w:eastAsia="zh-CN"/>
                <w14:textFill>
                  <w14:solidFill>
                    <w14:schemeClr w14:val="tx1"/>
                  </w14:solidFill>
                </w14:textFill>
              </w:rPr>
              <w:t>受体敏感</w:t>
            </w: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重点管控区</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其管控要求为：推进固原市区、四县县城、乡镇所在地和城市周边等重点区域清洁供暖。禁止在高排放非道路移动机械禁止使用区域内使用污染物排放达不到GB36886中规定的Ⅲ类限值标准或排放黑烟等明显可视污染物的非道路移动柴油工程机械。严格落实建筑、拆迁工地“6个100%”防控措施，最大限度减少城市建成区裸露地面，提高城市建成区道路机械化清扫率。严格限制产生和排放有毒有害大气污染物项目，鼓励现有该类项目逐步搬迁退出。禁止焚烧产生有毒有害烟尘和恶臭气体的物质。加强餐饮业燃料烟气及餐饮油烟防治，鼓励餐饮业及居民生活能源使用天然气、液化石油气、生物酒精等洁净能源。加快新能源汽车推广使用，推进新能源汽车有序替换存量燃油公交车。本项目</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与</w:t>
            </w:r>
            <w:r>
              <w:rPr>
                <w:rFonts w:hint="eastAsia" w:cs="Times New Roman"/>
                <w:color w:val="000000" w:themeColor="text1"/>
                <w:sz w:val="24"/>
                <w:szCs w:val="24"/>
                <w:highlight w:val="none"/>
                <w:lang w:val="en-US" w:eastAsia="zh-CN"/>
                <w14:textFill>
                  <w14:solidFill>
                    <w14:schemeClr w14:val="tx1"/>
                  </w14:solidFill>
                </w14:textFill>
              </w:rPr>
              <w:t>大气</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环境分区管控位置关系见</w:t>
            </w:r>
            <w:r>
              <w:rPr>
                <w:rFonts w:hint="eastAsia" w:ascii="Times New Roman" w:hAnsi="Times New Roman" w:eastAsia="仿宋_GB2312" w:cs="Times New Roman"/>
                <w:b/>
                <w:bCs w:val="0"/>
                <w:color w:val="000000" w:themeColor="text1"/>
                <w:sz w:val="24"/>
                <w:szCs w:val="24"/>
                <w:highlight w:val="none"/>
                <w:lang w:val="en-US" w:eastAsia="zh-CN"/>
                <w14:textFill>
                  <w14:solidFill>
                    <w14:schemeClr w14:val="tx1"/>
                  </w14:solidFill>
                </w14:textFill>
              </w:rPr>
              <w:t>附</w:t>
            </w:r>
            <w:r>
              <w:rPr>
                <w:rFonts w:hint="default" w:ascii="Times New Roman" w:hAnsi="Times New Roman" w:eastAsia="仿宋_GB2312" w:cs="Times New Roman"/>
                <w:b/>
                <w:bCs/>
                <w:color w:val="000000" w:themeColor="text1"/>
                <w:sz w:val="24"/>
                <w:szCs w:val="24"/>
                <w:highlight w:val="none"/>
                <w:lang w:eastAsia="zh-CN"/>
                <w14:textFill>
                  <w14:solidFill>
                    <w14:schemeClr w14:val="tx1"/>
                  </w14:solidFill>
                </w14:textFill>
              </w:rPr>
              <w:t>图</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w:t>
            </w:r>
            <w:r>
              <w:rPr>
                <w:rFonts w:hint="eastAsia"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本项目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主要利用</w:t>
            </w:r>
            <w:r>
              <w:rPr>
                <w:rFonts w:hint="eastAsia" w:cs="Times New Roman"/>
                <w:color w:val="000000" w:themeColor="text1"/>
                <w:sz w:val="24"/>
                <w:szCs w:val="24"/>
                <w:highlight w:val="none"/>
                <w:lang w:val="en-US" w:eastAsia="zh-CN"/>
                <w14:textFill>
                  <w14:solidFill>
                    <w14:schemeClr w14:val="tx1"/>
                  </w14:solidFill>
                </w14:textFill>
              </w:rPr>
              <w:t>建筑、装饰垃圾原料</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生产</w:t>
            </w:r>
            <w:r>
              <w:rPr>
                <w:rFonts w:hint="eastAsia" w:cs="Times New Roman"/>
                <w:color w:val="000000" w:themeColor="text1"/>
                <w:sz w:val="24"/>
                <w:szCs w:val="24"/>
                <w:highlight w:val="none"/>
                <w:lang w:val="en-US" w:eastAsia="zh-CN"/>
                <w14:textFill>
                  <w14:solidFill>
                    <w14:schemeClr w14:val="tx1"/>
                  </w14:solidFill>
                </w14:textFill>
              </w:rPr>
              <w:t>粗细骨料，继而衍生下游</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再生混凝土制品和水泥稳定基再生骨料无机混合料</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主要产生的大气污染物为</w:t>
            </w:r>
            <w:r>
              <w:rPr>
                <w:rFonts w:hint="eastAsia" w:cs="Times New Roman"/>
                <w:color w:val="000000" w:themeColor="text1"/>
                <w:sz w:val="24"/>
                <w:szCs w:val="24"/>
                <w:highlight w:val="none"/>
                <w:lang w:val="en-US" w:eastAsia="zh-CN"/>
                <w14:textFill>
                  <w14:solidFill>
                    <w14:schemeClr w14:val="tx1"/>
                  </w14:solidFill>
                </w14:textFill>
              </w:rPr>
              <w:t>粉尘</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不属于</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产生和排放有毒有害大气污染物项目</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建筑垃圾破碎和筛分以及再生骨料的储存、转运等生产区域的粉尘采取集中式布袋除尘</w:t>
            </w:r>
            <w:r>
              <w:rPr>
                <w:rFonts w:hint="eastAsia" w:cs="Times New Roman"/>
                <w:color w:val="000000" w:themeColor="text1"/>
                <w:sz w:val="24"/>
                <w:szCs w:val="24"/>
                <w:highlight w:val="none"/>
                <w:lang w:val="en-US" w:eastAsia="zh-CN"/>
                <w14:textFill>
                  <w14:solidFill>
                    <w14:schemeClr w14:val="tx1"/>
                  </w14:solidFill>
                </w14:textFill>
              </w:rPr>
              <w:t>为主</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、环保雾炮和活性干雾捕捉为辅的降尘方式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，处理后经</w:t>
            </w:r>
            <w:r>
              <w:rPr>
                <w:rFonts w:hint="eastAsia"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m高的排气筒达标排放</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故本项目符合</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市</w:t>
            </w: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大气环境受体敏感重点管控区</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要求。</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③土壤污染风险防控底线及分区管控</w:t>
            </w:r>
          </w:p>
          <w:p>
            <w:pPr>
              <w:pStyle w:val="64"/>
              <w:keepNext w:val="0"/>
              <w:keepLines w:val="0"/>
              <w:pageBreakBefore w:val="0"/>
              <w:numPr>
                <w:ilvl w:val="0"/>
                <w:numId w:val="3"/>
              </w:numPr>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土壤污染风险防控底线：根据</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固原市生态环境分区管控方案文本</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中</w:t>
            </w:r>
            <w:r>
              <w:rPr>
                <w:rFonts w:hint="eastAsia" w:cs="Times New Roman"/>
                <w:color w:val="000000" w:themeColor="text1"/>
                <w:sz w:val="24"/>
                <w:szCs w:val="24"/>
                <w:highlight w:val="none"/>
                <w:lang w:val="en-US" w:eastAsia="zh-CN"/>
                <w14:textFill>
                  <w14:solidFill>
                    <w14:schemeClr w14:val="tx1"/>
                  </w14:solidFill>
                </w14:textFill>
              </w:rPr>
              <w:t>土壤环境风险管控底线</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，到2025年，</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全市受污染耕地安全利用率保持在100%，重点建设用地安全利用得到有效保障。</w:t>
            </w:r>
          </w:p>
          <w:p>
            <w:pPr>
              <w:pStyle w:val="64"/>
              <w:keepNext w:val="0"/>
              <w:keepLines w:val="0"/>
              <w:pageBreakBefore w:val="0"/>
              <w:numPr>
                <w:ilvl w:val="0"/>
                <w:numId w:val="0"/>
              </w:numPr>
              <w:suppressLineNumbers w:val="0"/>
              <w:kinsoku/>
              <w:wordWrap/>
              <w:topLinePunct w:val="0"/>
              <w:bidi w:val="0"/>
              <w:adjustRightInd w:val="0"/>
              <w:snapToGrid w:val="0"/>
              <w:spacing w:before="0" w:beforeAutospacing="0" w:after="0" w:afterAutospacing="0"/>
              <w:ind w:left="0" w:right="0" w:rightChars="0" w:firstLine="480" w:firstLineChars="200"/>
              <w:rPr>
                <w:rFonts w:hint="default" w:ascii="Times New Roman" w:hAnsi="Times New Roman" w:eastAsia="仿宋_GB2312" w:cs="Times New Roman"/>
                <w:color w:val="FF0000"/>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分区管控要求：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市土壤污染风险分区管控划分，本项目位于一般管控区。其管控要求包含：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本项目与土壤污染风险分区管控图位置关系见</w:t>
            </w:r>
            <w:r>
              <w:rPr>
                <w:rFonts w:hint="eastAsia" w:ascii="Times New Roman" w:hAnsi="Times New Roman" w:eastAsia="仿宋_GB2312" w:cs="Times New Roman"/>
                <w:b/>
                <w:bCs w:val="0"/>
                <w:color w:val="000000" w:themeColor="text1"/>
                <w:sz w:val="24"/>
                <w:szCs w:val="24"/>
                <w:highlight w:val="none"/>
                <w:lang w:val="en-US" w:eastAsia="zh-CN"/>
                <w14:textFill>
                  <w14:solidFill>
                    <w14:schemeClr w14:val="tx1"/>
                  </w14:solidFill>
                </w14:textFill>
              </w:rPr>
              <w:t>附</w:t>
            </w:r>
            <w: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图</w:t>
            </w:r>
            <w:r>
              <w:rPr>
                <w:rFonts w:hint="eastAsia" w:cs="Times New Roman"/>
                <w:b/>
                <w:bCs/>
                <w:color w:val="000000" w:themeColor="text1"/>
                <w:sz w:val="24"/>
                <w:szCs w:val="24"/>
                <w:highlight w:val="none"/>
                <w:lang w:val="en-US" w:eastAsia="zh-CN"/>
                <w14:textFill>
                  <w14:solidFill>
                    <w14:schemeClr w14:val="tx1"/>
                  </w14:solidFill>
                </w14:textFill>
              </w:rPr>
              <w:t>1-5</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000000" w:themeColor="text1"/>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为建筑垃圾资源化利用项目</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，位于</w:t>
            </w:r>
            <w:r>
              <w:rPr>
                <w:rFonts w:hint="default" w:ascii="Times New Roman" w:hAnsi="Times New Roman" w:cs="Times New Roman"/>
                <w:color w:val="000000" w:themeColor="text1"/>
                <w:highlight w:val="none"/>
                <w:lang w:val="en-US" w:eastAsia="zh-CN"/>
                <w14:textFill>
                  <w14:solidFill>
                    <w14:schemeClr w14:val="tx1"/>
                  </w14:solidFill>
                </w14:textFill>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不属于有色金属冶炼、焦化等行业企业，故本项目符合</w:t>
            </w:r>
            <w:r>
              <w:rPr>
                <w:rFonts w:hint="eastAsia" w:cs="Times New Roman"/>
                <w:color w:val="000000" w:themeColor="text1"/>
                <w:sz w:val="24"/>
                <w:szCs w:val="24"/>
                <w:highlight w:val="none"/>
                <w:lang w:val="en-US" w:eastAsia="zh-CN"/>
                <w14:textFill>
                  <w14:solidFill>
                    <w14:schemeClr w14:val="tx1"/>
                  </w14:solidFill>
                </w14:textFill>
              </w:rPr>
              <w:t>固原市</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土壤污染风险一般管控区要求。</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b/>
                <w:bCs/>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综上</w:t>
            </w:r>
            <w:r>
              <w:rPr>
                <w:rFonts w:hint="default" w:ascii="Times New Roman" w:hAnsi="Times New Roman" w:cs="Times New Roman"/>
                <w:b/>
                <w:bCs/>
                <w:color w:val="000000" w:themeColor="text1"/>
                <w:highlight w:val="none"/>
                <w:lang w:eastAsia="zh-CN"/>
                <w14:textFill>
                  <w14:solidFill>
                    <w14:schemeClr w14:val="tx1"/>
                  </w14:solidFill>
                </w14:textFill>
              </w:rPr>
              <w:t>分析</w:t>
            </w:r>
            <w:r>
              <w:rPr>
                <w:rFonts w:hint="default" w:ascii="Times New Roman" w:hAnsi="Times New Roman" w:cs="Times New Roman"/>
                <w:b/>
                <w:bCs/>
                <w:color w:val="000000" w:themeColor="text1"/>
                <w:highlight w:val="none"/>
                <w:lang w:val="en-US" w:eastAsia="zh-CN"/>
                <w14:textFill>
                  <w14:solidFill>
                    <w14:schemeClr w14:val="tx1"/>
                  </w14:solidFill>
                </w14:textFill>
              </w:rPr>
              <w:t>，本项目建设符合环境质量底线要求。</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b/>
                <w:bCs/>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lang w:eastAsia="zh-CN"/>
                <w14:textFill>
                  <w14:solidFill>
                    <w14:schemeClr w14:val="tx1"/>
                  </w14:solidFill>
                </w14:textFill>
              </w:rPr>
              <w:t>⑶</w:t>
            </w:r>
            <w:r>
              <w:rPr>
                <w:rFonts w:hint="default" w:ascii="Times New Roman" w:hAnsi="Times New Roman" w:cs="Times New Roman"/>
                <w:b/>
                <w:bCs/>
                <w:color w:val="000000" w:themeColor="text1"/>
                <w:highlight w:val="none"/>
                <w14:textFill>
                  <w14:solidFill>
                    <w14:schemeClr w14:val="tx1"/>
                  </w14:solidFill>
                </w14:textFill>
              </w:rPr>
              <w:t>资源利用上线</w:t>
            </w:r>
            <w:r>
              <w:rPr>
                <w:rFonts w:hint="default" w:ascii="Times New Roman" w:hAnsi="Times New Roman" w:cs="Times New Roman"/>
                <w:b/>
                <w:bCs/>
                <w:color w:val="000000" w:themeColor="text1"/>
                <w:highlight w:val="none"/>
                <w:lang w:eastAsia="zh-CN"/>
                <w14:textFill>
                  <w14:solidFill>
                    <w14:schemeClr w14:val="tx1"/>
                  </w14:solidFill>
                </w14:textFill>
              </w:rPr>
              <w:t>及分区管控</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①能源（煤炭）资源利用上线及分区管控</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w:t>
            </w:r>
            <w:r>
              <w:rPr>
                <w:rFonts w:hint="default"/>
                <w:color w:val="000000" w:themeColor="text1"/>
                <w:highlight w:val="none"/>
                <w14:textFill>
                  <w14:solidFill>
                    <w14:schemeClr w14:val="tx1"/>
                  </w14:solidFill>
                </w14:textFill>
              </w:rPr>
              <w:t>位于高污染燃料禁燃区</w:t>
            </w:r>
            <w:r>
              <w:rPr>
                <w:rFonts w:hint="eastAsia"/>
                <w:color w:val="000000" w:themeColor="text1"/>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24"/>
                <w:szCs w:val="24"/>
                <w:highlight w:val="none"/>
                <w:lang w:val="zh-CN" w:eastAsia="zh-CN"/>
                <w14:textFill>
                  <w14:solidFill>
                    <w14:schemeClr w14:val="tx1"/>
                  </w14:solidFill>
                </w14:textFill>
              </w:rPr>
              <w:t>不消耗煤炭资源</w:t>
            </w:r>
            <w:r>
              <w:rPr>
                <w:rFonts w:hint="default" w:ascii="Times New Roman" w:hAnsi="Times New Roman" w:cs="Times New Roman"/>
                <w:bCs/>
                <w:color w:val="000000" w:themeColor="text1"/>
                <w:sz w:val="24"/>
                <w:szCs w:val="24"/>
                <w:highlight w:val="none"/>
                <w:lang w:val="zh-CN"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不涉及</w:t>
            </w:r>
            <w:r>
              <w:rPr>
                <w:rFonts w:hint="eastAsia" w:cs="Times New Roman"/>
                <w:color w:val="000000" w:themeColor="text1"/>
                <w:highlight w:val="none"/>
                <w:lang w:val="en-US" w:eastAsia="zh-CN"/>
                <w14:textFill>
                  <w14:solidFill>
                    <w14:schemeClr w14:val="tx1"/>
                  </w14:solidFill>
                </w14:textFill>
              </w:rPr>
              <w:t>固原</w:t>
            </w:r>
            <w:r>
              <w:rPr>
                <w:rFonts w:hint="default" w:ascii="Times New Roman" w:hAnsi="Times New Roman" w:cs="Times New Roman"/>
                <w:color w:val="000000" w:themeColor="text1"/>
                <w:highlight w:val="none"/>
                <w14:textFill>
                  <w14:solidFill>
                    <w14:schemeClr w14:val="tx1"/>
                  </w14:solidFill>
                </w14:textFill>
              </w:rPr>
              <w:t>市能源（煤炭）资源利用上线。</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②水资源利用上线及分区管控</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w:t>
            </w:r>
            <w:r>
              <w:rPr>
                <w:rFonts w:hint="default" w:ascii="Times New Roman" w:hAnsi="Times New Roman" w:cs="Times New Roman"/>
                <w:color w:val="000000" w:themeColor="text1"/>
                <w:highlight w:val="none"/>
                <w:lang w:eastAsia="zh-CN"/>
                <w14:textFill>
                  <w14:solidFill>
                    <w14:schemeClr w14:val="tx1"/>
                  </w14:solidFill>
                </w14:textFill>
              </w:rPr>
              <w:t>位于</w:t>
            </w:r>
            <w:r>
              <w:rPr>
                <w:rFonts w:hint="default" w:ascii="Times New Roman" w:hAnsi="Times New Roman" w:cs="Times New Roman"/>
                <w:color w:val="000000" w:themeColor="text1"/>
                <w:highlight w:val="none"/>
                <w:lang w:val="en-US" w:eastAsia="zh-CN"/>
                <w14:textFill>
                  <w14:solidFill>
                    <w14:schemeClr w14:val="tx1"/>
                  </w14:solidFill>
                </w14:textFill>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default" w:ascii="Times New Roman" w:hAnsi="Times New Roman" w:cs="Times New Roman"/>
                <w:color w:val="000000" w:themeColor="text1"/>
                <w:highlight w:val="none"/>
                <w:lang w:eastAsia="zh-CN"/>
                <w14:textFill>
                  <w14:solidFill>
                    <w14:schemeClr w14:val="tx1"/>
                  </w14:solidFill>
                </w14:textFill>
              </w:rPr>
              <w:t>，属于水资源</w:t>
            </w:r>
            <w:r>
              <w:rPr>
                <w:rFonts w:hint="default" w:ascii="Times New Roman" w:hAnsi="Times New Roman" w:cs="Times New Roman"/>
                <w:color w:val="000000" w:themeColor="text1"/>
                <w:highlight w:val="none"/>
                <w:lang w:val="en-US" w:eastAsia="zh-CN"/>
                <w14:textFill>
                  <w14:solidFill>
                    <w14:schemeClr w14:val="tx1"/>
                  </w14:solidFill>
                </w14:textFill>
              </w:rPr>
              <w:t>利用上线一般</w:t>
            </w:r>
            <w:r>
              <w:rPr>
                <w:rFonts w:hint="default" w:ascii="Times New Roman" w:hAnsi="Times New Roman" w:cs="Times New Roman"/>
                <w:color w:val="000000" w:themeColor="text1"/>
                <w:highlight w:val="none"/>
                <w:lang w:eastAsia="zh-CN"/>
                <w14:textFill>
                  <w14:solidFill>
                    <w14:schemeClr w14:val="tx1"/>
                  </w14:solidFill>
                </w14:textFill>
              </w:rPr>
              <w:t>管控区</w:t>
            </w:r>
            <w:r>
              <w:rPr>
                <w:rFonts w:hint="default" w:ascii="Times New Roman" w:hAnsi="Times New Roman" w:cs="Times New Roman"/>
                <w:color w:val="000000" w:themeColor="text1"/>
                <w:highlight w:val="none"/>
                <w:lang w:val="en-US" w:eastAsia="zh-CN"/>
                <w14:textFill>
                  <w14:solidFill>
                    <w14:schemeClr w14:val="tx1"/>
                  </w14:solidFill>
                </w14:textFill>
              </w:rPr>
              <w:t>。本项目的生活用水及生产用水等均由引入项目区内的给水管网直接供给，不开采地下水；项目用水主要为</w:t>
            </w:r>
            <w:r>
              <w:rPr>
                <w:rFonts w:hint="eastAsia" w:cs="Times New Roman"/>
                <w:color w:val="000000" w:themeColor="text1"/>
                <w:highlight w:val="none"/>
                <w:lang w:val="en-US" w:eastAsia="zh-CN"/>
                <w14:textFill>
                  <w14:solidFill>
                    <w14:schemeClr w14:val="tx1"/>
                  </w14:solidFill>
                </w14:textFill>
              </w:rPr>
              <w:t>生产</w:t>
            </w:r>
            <w:r>
              <w:rPr>
                <w:rFonts w:hint="default" w:ascii="Times New Roman" w:hAnsi="Times New Roman" w:cs="Times New Roman"/>
                <w:color w:val="000000" w:themeColor="text1"/>
                <w:highlight w:val="none"/>
                <w:lang w:val="en-US" w:eastAsia="zh-CN"/>
                <w14:textFill>
                  <w14:solidFill>
                    <w14:schemeClr w14:val="tx1"/>
                  </w14:solidFill>
                </w14:textFill>
              </w:rPr>
              <w:t>用水、</w:t>
            </w:r>
            <w:r>
              <w:rPr>
                <w:rFonts w:hint="eastAsia" w:cs="Times New Roman"/>
                <w:color w:val="000000" w:themeColor="text1"/>
                <w:highlight w:val="none"/>
                <w:lang w:val="en-US" w:eastAsia="zh-CN"/>
                <w14:textFill>
                  <w14:solidFill>
                    <w14:schemeClr w14:val="tx1"/>
                  </w14:solidFill>
                </w14:textFill>
              </w:rPr>
              <w:t>消防</w:t>
            </w:r>
            <w:r>
              <w:rPr>
                <w:rFonts w:hint="default" w:ascii="Times New Roman" w:hAnsi="Times New Roman" w:cs="Times New Roman"/>
                <w:color w:val="000000" w:themeColor="text1"/>
                <w:highlight w:val="none"/>
                <w:lang w:val="en-US" w:eastAsia="zh-CN"/>
                <w14:textFill>
                  <w14:solidFill>
                    <w14:schemeClr w14:val="tx1"/>
                  </w14:solidFill>
                </w14:textFill>
              </w:rPr>
              <w:t>用水和生活用水，用水量较小，满足地区水资源利用上限要求。故本项目</w:t>
            </w:r>
            <w:r>
              <w:rPr>
                <w:rFonts w:hint="default" w:ascii="Times New Roman" w:hAnsi="Times New Roman" w:cs="Times New Roman"/>
                <w:color w:val="000000" w:themeColor="text1"/>
                <w:highlight w:val="none"/>
                <w14:textFill>
                  <w14:solidFill>
                    <w14:schemeClr w14:val="tx1"/>
                  </w14:solidFill>
                </w14:textFill>
              </w:rPr>
              <w:t>符合水资源利用上线要求。</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③土地资源利用上线及分区管控</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从生态环境保护的角度出发，综合考虑生态保护红线、永久基本农田等保护区域的面积，可开发利用土地资源的存量，以及土地资源的集约利用水平等因素，评价各区县在土地资源开发利用与生态环境保护方面的潜在矛盾程度。将原州区、西吉县、隆德县、泾源县等4个区县确定为土地资源重点管控区。</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eastAsia="仿宋_GB2312" w:cs="Times New Roman"/>
                <w:color w:val="FF0000"/>
                <w:sz w:val="24"/>
                <w:szCs w:val="24"/>
                <w:highlight w:val="none"/>
                <w:lang w:val="en-US" w:eastAsia="zh-CN"/>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本项目位于</w:t>
            </w:r>
            <w:r>
              <w:rPr>
                <w:rFonts w:hint="default" w:ascii="Times New Roman" w:hAnsi="Times New Roman" w:cs="Times New Roman"/>
                <w:color w:val="000000" w:themeColor="text1"/>
                <w:highlight w:val="none"/>
                <w:lang w:val="en-US" w:eastAsia="zh-CN"/>
                <w14:textFill>
                  <w14:solidFill>
                    <w14:schemeClr w14:val="tx1"/>
                  </w14:solidFill>
                </w14:textFill>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属于工业用地，不</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属于</w:t>
            </w:r>
            <w:r>
              <w:rPr>
                <w:rFonts w:hint="eastAsia" w:cs="Times New Roman"/>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市土地资源重点管控区。本项目</w:t>
            </w:r>
            <w:r>
              <w:rPr>
                <w:rFonts w:hint="eastAsia" w:cs="Times New Roman"/>
                <w:color w:val="000000" w:themeColor="text1"/>
                <w:sz w:val="24"/>
                <w:szCs w:val="24"/>
                <w:highlight w:val="none"/>
                <w:lang w:val="en-US" w:eastAsia="zh-CN"/>
                <w14:textFill>
                  <w14:solidFill>
                    <w14:schemeClr w14:val="tx1"/>
                  </w14:solidFill>
                </w14:textFill>
              </w:rPr>
              <w:t>已</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于2025年12月16日取得彭阳县人民政府《关于白阳镇周沟村集体建设用地村企联营的批复》（彭政函〔2025〕73号）及《彭阳县建筑垃圾资源化利用项目农村集体建设用地使用权入股合同书》</w:t>
            </w:r>
            <w:r>
              <w:rPr>
                <w:rFonts w:hint="eastAsia" w:cs="Times New Roman"/>
                <w:color w:val="000000" w:themeColor="text1"/>
                <w:sz w:val="24"/>
                <w:szCs w:val="24"/>
                <w:highlight w:val="none"/>
                <w:lang w:val="en-US" w:eastAsia="zh-CN"/>
                <w14:textFill>
                  <w14:solidFill>
                    <w14:schemeClr w14:val="tx1"/>
                  </w14:solidFill>
                </w14:textFill>
              </w:rPr>
              <w:t>，项目总占地面积31136.57平方米（约46.7亩）</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。故本项目符合土地资源利用上线及管控要求。</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b/>
                <w:bCs/>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lang w:eastAsia="zh-CN"/>
                <w14:textFill>
                  <w14:solidFill>
                    <w14:schemeClr w14:val="tx1"/>
                  </w14:solidFill>
                </w14:textFill>
              </w:rPr>
              <w:t>综上分析，本项目符合资源利用上线要求。</w:t>
            </w:r>
          </w:p>
          <w:p>
            <w:pPr>
              <w:pStyle w:val="64"/>
              <w:keepNext w:val="0"/>
              <w:keepLines w:val="0"/>
              <w:pageBreakBefore w:val="0"/>
              <w:suppressLineNumbers w:val="0"/>
              <w:kinsoku/>
              <w:wordWrap/>
              <w:topLinePunct w:val="0"/>
              <w:autoSpaceDE/>
              <w:autoSpaceDN/>
              <w:bidi w:val="0"/>
              <w:adjustRightInd w:val="0"/>
              <w:snapToGrid w:val="0"/>
              <w:spacing w:before="0" w:beforeAutospacing="0" w:after="0" w:afterAutospacing="0" w:line="348" w:lineRule="auto"/>
              <w:ind w:left="0" w:right="0"/>
              <w:textAlignment w:val="auto"/>
              <w:rPr>
                <w:rFonts w:hint="default" w:ascii="Times New Roman" w:hAnsi="Times New Roman" w:cs="Times New Roman"/>
                <w:b/>
                <w:bCs/>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lang w:eastAsia="zh-CN"/>
                <w14:textFill>
                  <w14:solidFill>
                    <w14:schemeClr w14:val="tx1"/>
                  </w14:solidFill>
                </w14:textFill>
              </w:rPr>
              <w:t>⑷环境管控单元与准入清单</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bCs/>
                <w:color w:val="000000" w:themeColor="text1"/>
                <w:sz w:val="24"/>
                <w:szCs w:val="24"/>
                <w:highlight w:val="none"/>
                <w:lang w:val="zh-CN" w:eastAsia="zh-CN"/>
                <w14:textFill>
                  <w14:solidFill>
                    <w14:schemeClr w14:val="tx1"/>
                  </w14:solidFill>
                </w14:textFill>
              </w:rPr>
            </w:pPr>
            <w:r>
              <w:rPr>
                <w:rFonts w:hint="default" w:ascii="Times New Roman" w:hAnsi="Times New Roman" w:eastAsia="仿宋_GB2312" w:cs="Times New Roman"/>
                <w:bCs/>
                <w:color w:val="000000" w:themeColor="text1"/>
                <w:sz w:val="24"/>
                <w:szCs w:val="24"/>
                <w:highlight w:val="none"/>
                <w:lang w:val="zh-CN" w:eastAsia="zh-CN"/>
                <w14:textFill>
                  <w14:solidFill>
                    <w14:schemeClr w14:val="tx1"/>
                  </w14:solidFill>
                </w14:textFill>
              </w:rPr>
              <w:t>①环境管控单元</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eastAsia="仿宋_GB2312" w:cs="Times New Roman"/>
                <w:bCs/>
                <w:color w:val="000000" w:themeColor="text1"/>
                <w:sz w:val="24"/>
                <w:szCs w:val="24"/>
                <w:highlight w:val="none"/>
                <w:lang w:val="en-US" w:eastAsia="zh-CN"/>
                <w14:textFill>
                  <w14:solidFill>
                    <w14:schemeClr w14:val="tx1"/>
                  </w14:solidFill>
                </w14:textFill>
              </w:rPr>
            </w:pPr>
            <w:r>
              <w:rPr>
                <w:rFonts w:hint="eastAsia" w:eastAsia="仿宋_GB2312" w:cs="Times New Roman"/>
                <w:bCs/>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bCs/>
                <w:color w:val="000000" w:themeColor="text1"/>
                <w:sz w:val="24"/>
                <w:szCs w:val="24"/>
                <w:highlight w:val="none"/>
                <w:lang w:val="zh-CN" w:eastAsia="zh-CN"/>
                <w14:textFill>
                  <w14:solidFill>
                    <w14:schemeClr w14:val="tx1"/>
                  </w14:solidFill>
                </w14:textFill>
              </w:rPr>
              <w:t>市共划定的环境管控单元包括优先保护单元、重点管控单元以及一般管控单元。对照</w:t>
            </w:r>
            <w:r>
              <w:rPr>
                <w:rFonts w:hint="eastAsia" w:eastAsia="仿宋_GB2312" w:cs="Times New Roman"/>
                <w:bCs/>
                <w:color w:val="000000" w:themeColor="text1"/>
                <w:sz w:val="24"/>
                <w:szCs w:val="24"/>
                <w:highlight w:val="none"/>
                <w:lang w:val="en-US" w:eastAsia="zh-CN"/>
                <w14:textFill>
                  <w14:solidFill>
                    <w14:schemeClr w14:val="tx1"/>
                  </w14:solidFill>
                </w14:textFill>
              </w:rPr>
              <w:t>固原</w:t>
            </w:r>
            <w:r>
              <w:rPr>
                <w:rFonts w:hint="default" w:ascii="Times New Roman" w:hAnsi="Times New Roman" w:eastAsia="仿宋_GB2312" w:cs="Times New Roman"/>
                <w:bCs/>
                <w:color w:val="000000" w:themeColor="text1"/>
                <w:sz w:val="24"/>
                <w:szCs w:val="24"/>
                <w:highlight w:val="none"/>
                <w:lang w:val="zh-CN" w:eastAsia="zh-CN"/>
                <w14:textFill>
                  <w14:solidFill>
                    <w14:schemeClr w14:val="tx1"/>
                  </w14:solidFill>
                </w14:textFill>
              </w:rPr>
              <w:t>市环境管控单元分布图，本项目位于重点管控单元区。本项目与固原市环境管控单元分布位置关系</w:t>
            </w:r>
            <w:r>
              <w:rPr>
                <w:rFonts w:hint="eastAsia" w:eastAsia="仿宋_GB2312" w:cs="Times New Roman"/>
                <w:bCs/>
                <w:color w:val="000000" w:themeColor="text1"/>
                <w:sz w:val="24"/>
                <w:szCs w:val="24"/>
                <w:highlight w:val="none"/>
                <w:lang w:val="en-US" w:eastAsia="zh-CN"/>
                <w14:textFill>
                  <w14:solidFill>
                    <w14:schemeClr w14:val="tx1"/>
                  </w14:solidFill>
                </w14:textFill>
              </w:rPr>
              <w:t>见</w:t>
            </w:r>
            <w:r>
              <w:rPr>
                <w:rFonts w:hint="eastAsia" w:ascii="Times New Roman" w:hAnsi="Times New Roman" w:eastAsia="仿宋_GB2312" w:cs="Times New Roman"/>
                <w:b/>
                <w:bCs w:val="0"/>
                <w:color w:val="000000" w:themeColor="text1"/>
                <w:sz w:val="24"/>
                <w:szCs w:val="24"/>
                <w:highlight w:val="none"/>
                <w:lang w:val="en-US" w:eastAsia="zh-CN"/>
                <w14:textFill>
                  <w14:solidFill>
                    <w14:schemeClr w14:val="tx1"/>
                  </w14:solidFill>
                </w14:textFill>
              </w:rPr>
              <w:t>附</w:t>
            </w:r>
            <w:r>
              <w:rPr>
                <w:rFonts w:hint="default" w:ascii="Times New Roman" w:hAnsi="Times New Roman" w:eastAsia="仿宋_GB2312" w:cs="Times New Roman"/>
                <w:b/>
                <w:bCs w:val="0"/>
                <w:color w:val="000000" w:themeColor="text1"/>
                <w:sz w:val="24"/>
                <w:szCs w:val="24"/>
                <w:highlight w:val="none"/>
                <w:lang w:val="zh-CN" w:eastAsia="zh-CN"/>
                <w14:textFill>
                  <w14:solidFill>
                    <w14:schemeClr w14:val="tx1"/>
                  </w14:solidFill>
                </w14:textFill>
              </w:rPr>
              <w:t>图</w:t>
            </w:r>
            <w:r>
              <w:rPr>
                <w:rFonts w:hint="eastAsia" w:eastAsia="仿宋_GB2312" w:cs="Times New Roman"/>
                <w:b/>
                <w:bCs w:val="0"/>
                <w:color w:val="000000" w:themeColor="text1"/>
                <w:sz w:val="24"/>
                <w:szCs w:val="24"/>
                <w:highlight w:val="none"/>
                <w:lang w:val="en-US" w:eastAsia="zh-CN"/>
                <w14:textFill>
                  <w14:solidFill>
                    <w14:schemeClr w14:val="tx1"/>
                  </w14:solidFill>
                </w14:textFill>
              </w:rPr>
              <w:t>1-6</w:t>
            </w:r>
            <w:r>
              <w:rPr>
                <w:rFonts w:hint="eastAsia" w:eastAsia="仿宋_GB2312" w:cs="Times New Roman"/>
                <w:bCs/>
                <w:color w:val="000000" w:themeColor="text1"/>
                <w:sz w:val="24"/>
                <w:szCs w:val="24"/>
                <w:highlight w:val="none"/>
                <w:lang w:val="en-US"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24"/>
                <w:szCs w:val="24"/>
                <w:highlight w:val="none"/>
                <w:lang w:val="en-US" w:eastAsia="zh-CN"/>
                <w14:textFill>
                  <w14:solidFill>
                    <w14:schemeClr w14:val="tx1"/>
                  </w14:solidFill>
                </w14:textFill>
              </w:rPr>
              <w:t>②生态环境准入清单</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bCs/>
                <w:color w:val="000000" w:themeColor="text1"/>
                <w:sz w:val="24"/>
                <w:szCs w:val="24"/>
                <w:highlight w:val="none"/>
                <w:lang w:val="en-US" w:eastAsia="zh-CN"/>
                <w14:textFill>
                  <w14:solidFill>
                    <w14:schemeClr w14:val="tx1"/>
                  </w14:solidFill>
                </w14:textFill>
              </w:rPr>
            </w:pPr>
            <w:r>
              <w:rPr>
                <w:rFonts w:hint="eastAsia" w:eastAsia="仿宋_GB2312" w:cs="Times New Roman"/>
                <w:bCs/>
                <w:color w:val="000000" w:themeColor="text1"/>
                <w:sz w:val="24"/>
                <w:szCs w:val="24"/>
                <w:highlight w:val="none"/>
                <w:lang w:val="en-US" w:eastAsia="zh-CN"/>
                <w14:textFill>
                  <w14:solidFill>
                    <w14:schemeClr w14:val="tx1"/>
                  </w14:solidFill>
                </w14:textFill>
              </w:rPr>
              <w:t>本项目与固原市生态环境总体准入清单符合性分析见表1-1。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1"/>
              <w:rPr>
                <w:rFonts w:hint="default" w:ascii="Times New Roman" w:hAnsi="Times New Roman" w:eastAsia="仿宋_GB2312"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4"/>
                <w:szCs w:val="24"/>
                <w:highlight w:val="none"/>
                <w:lang w:val="en-US" w:eastAsia="zh-CN" w:bidi="ar-SA"/>
                <w14:textFill>
                  <w14:solidFill>
                    <w14:schemeClr w14:val="tx1"/>
                  </w14:solidFill>
                </w14:textFill>
              </w:rPr>
              <w:t>本项目与</w:t>
            </w:r>
            <w:r>
              <w:rPr>
                <w:rFonts w:hint="eastAsia" w:eastAsia="仿宋_GB2312" w:cs="Times New Roman"/>
                <w:color w:val="000000" w:themeColor="text1"/>
                <w:kern w:val="2"/>
                <w:sz w:val="24"/>
                <w:szCs w:val="24"/>
                <w:highlight w:val="none"/>
                <w:lang w:val="en-US" w:eastAsia="zh-CN" w:bidi="ar-SA"/>
                <w14:textFill>
                  <w14:solidFill>
                    <w14:schemeClr w14:val="tx1"/>
                  </w14:solidFill>
                </w14:textFill>
              </w:rPr>
              <w:t>固原</w:t>
            </w:r>
            <w:r>
              <w:rPr>
                <w:rFonts w:hint="default" w:ascii="Times New Roman" w:hAnsi="Times New Roman" w:eastAsia="仿宋_GB2312" w:cs="Times New Roman"/>
                <w:color w:val="000000" w:themeColor="text1"/>
                <w:kern w:val="2"/>
                <w:sz w:val="24"/>
                <w:szCs w:val="24"/>
                <w:highlight w:val="none"/>
                <w:lang w:val="en-US" w:eastAsia="zh-CN" w:bidi="ar-SA"/>
                <w14:textFill>
                  <w14:solidFill>
                    <w14:schemeClr w14:val="tx1"/>
                  </w14:solidFill>
                </w14:textFill>
              </w:rPr>
              <w:t>市环境管控单元生态环境准入清单的符合性见表1-</w:t>
            </w:r>
            <w:r>
              <w:rPr>
                <w:rFonts w:hint="eastAsia" w:eastAsia="仿宋_GB2312" w:cs="Times New Roman"/>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仿宋_GB2312" w:cs="Times New Roman"/>
                <w:color w:val="000000" w:themeColor="text1"/>
                <w:kern w:val="2"/>
                <w:sz w:val="24"/>
                <w:szCs w:val="24"/>
                <w:highlight w:val="none"/>
                <w:lang w:val="en-US" w:eastAsia="zh-CN" w:bidi="ar-SA"/>
                <w14:textFill>
                  <w14:solidFill>
                    <w14:schemeClr w14:val="tx1"/>
                  </w14:solidFill>
                </w14:textFill>
              </w:rPr>
              <w:t>。</w:t>
            </w:r>
          </w:p>
          <w:p>
            <w:pPr>
              <w:keepNext w:val="0"/>
              <w:keepLines w:val="0"/>
              <w:suppressLineNumbers w:val="0"/>
              <w:adjustRightInd w:val="0"/>
              <w:snapToGrid w:val="0"/>
              <w:spacing w:before="0" w:beforeAutospacing="0" w:after="0" w:afterAutospacing="0"/>
              <w:ind w:left="0" w:right="0"/>
              <w:jc w:val="center"/>
              <w:rPr>
                <w:rFonts w:hint="eastAsia" w:ascii="黑体" w:hAnsi="黑体" w:eastAsia="黑体" w:cs="黑体"/>
                <w:b/>
                <w:bCs/>
                <w:snapToGrid/>
                <w:sz w:val="24"/>
                <w:szCs w:val="24"/>
              </w:rPr>
            </w:pPr>
            <w:r>
              <w:rPr>
                <w:rFonts w:hint="default" w:ascii="Times New Roman" w:hAnsi="Times New Roman" w:cs="Times New Roman" w:eastAsiaTheme="majorEastAsia"/>
                <w:snapToGrid/>
                <w:sz w:val="21"/>
                <w:szCs w:val="21"/>
              </w:rPr>
              <w:t>表</w:t>
            </w:r>
            <w:r>
              <w:rPr>
                <w:rFonts w:hint="eastAsia" w:eastAsia="仿宋_GB2312" w:cs="Times New Roman"/>
                <w:bCs/>
                <w:color w:val="000000" w:themeColor="text1"/>
                <w:sz w:val="21"/>
                <w:szCs w:val="21"/>
                <w:highlight w:val="none"/>
                <w:lang w:val="en-US" w:eastAsia="zh-CN"/>
                <w14:textFill>
                  <w14:solidFill>
                    <w14:schemeClr w14:val="tx1"/>
                  </w14:solidFill>
                </w14:textFill>
              </w:rPr>
              <w:t>1-1</w:t>
            </w:r>
            <w:r>
              <w:rPr>
                <w:rFonts w:hint="eastAsia" w:asciiTheme="majorEastAsia" w:hAnsiTheme="majorEastAsia" w:eastAsiaTheme="majorEastAsia" w:cstheme="majorEastAsia"/>
                <w:snapToGrid/>
                <w:sz w:val="24"/>
                <w:szCs w:val="24"/>
              </w:rPr>
              <w:t xml:space="preserve">  </w:t>
            </w:r>
            <w:r>
              <w:rPr>
                <w:rFonts w:hint="eastAsia" w:asciiTheme="majorEastAsia" w:hAnsiTheme="majorEastAsia" w:eastAsiaTheme="majorEastAsia" w:cstheme="majorEastAsia"/>
                <w:snapToGrid/>
                <w:sz w:val="24"/>
                <w:szCs w:val="24"/>
                <w:lang w:val="en-US" w:eastAsia="zh-CN"/>
              </w:rPr>
              <w:t xml:space="preserve"> </w:t>
            </w:r>
            <w:r>
              <w:rPr>
                <w:rFonts w:hint="eastAsia" w:asciiTheme="majorEastAsia" w:hAnsiTheme="majorEastAsia" w:eastAsiaTheme="majorEastAsia" w:cstheme="majorEastAsia"/>
                <w:b/>
                <w:bCs/>
                <w:snapToGrid/>
                <w:sz w:val="24"/>
                <w:szCs w:val="24"/>
              </w:rPr>
              <w:t>与固原市生态环境总体准入清单符合性分析</w:t>
            </w:r>
          </w:p>
          <w:tbl>
            <w:tblPr>
              <w:tblStyle w:val="3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473"/>
              <w:gridCol w:w="855"/>
              <w:gridCol w:w="4029"/>
              <w:gridCol w:w="1775"/>
              <w:gridCol w:w="7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328" w:type="dxa"/>
                  <w:gridSpan w:val="2"/>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管控维度</w:t>
                  </w:r>
                </w:p>
              </w:tc>
              <w:tc>
                <w:tcPr>
                  <w:tcW w:w="4030" w:type="dxa"/>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管控要求</w:t>
                  </w:r>
                </w:p>
              </w:tc>
              <w:tc>
                <w:tcPr>
                  <w:tcW w:w="1775" w:type="dxa"/>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本项目情况</w:t>
                  </w:r>
                </w:p>
              </w:tc>
              <w:tc>
                <w:tcPr>
                  <w:tcW w:w="752" w:type="dxa"/>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A1 空间布局约束</w:t>
                  </w: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A1.1</w:t>
                  </w:r>
                </w:p>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禁止开发建设活动的要求</w:t>
                  </w:r>
                </w:p>
              </w:tc>
              <w:tc>
                <w:tcPr>
                  <w:tcW w:w="4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1.严禁产能过剩行业新增产能，各开发区主导产业产值占比达到60%以上，严防发达地区淘汰退出的高污染企业落户固原。</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2.严禁在“五河”临岸1公里范围内新建“两高一资”项目及相关产业园区。</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3.城市建成区一律禁止新建35蒸吨/小时以下燃煤锅炉。</w:t>
                  </w:r>
                </w:p>
              </w:tc>
              <w:tc>
                <w:tcPr>
                  <w:tcW w:w="17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1.本项目不涉及。</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2.本项目不属于“两高一资”项目。</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3.本项目不涉及。</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A1.2限制开发建设活动的要求</w:t>
                  </w:r>
                </w:p>
              </w:tc>
              <w:tc>
                <w:tcPr>
                  <w:tcW w:w="4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严格控制在优先保护类耕地集中区域新建有色金属冶炼、石油化工、化工、焦化、电镀、制革等行业企业。</w:t>
                  </w:r>
                </w:p>
              </w:tc>
              <w:tc>
                <w:tcPr>
                  <w:tcW w:w="17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本项目不涉及</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A1.3不符合空</w:t>
                  </w:r>
                </w:p>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间布局要求的活动的退出要求</w:t>
                  </w:r>
                </w:p>
              </w:tc>
              <w:tc>
                <w:tcPr>
                  <w:tcW w:w="4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1.在一定过渡期并给予合理补偿的基础上，依法依规关闭或搬迁禁养区内确需关闭或搬迁的畜禽规模养殖场（园区）。</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2.对违反资源环境法律法规、规划，污染环境、破坏生态、乱采滥挖的露天矿山，依法予以关闭。对污染治理不规范的露天矿山，按照“一矿一策”制定整治方案，依法责令停产整治。</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3.对六盘山水源核心区，坚决退出旅游项目，严禁游客进入。</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4.淘汰不符合国家规定的燃煤锅炉，实现市、县（区）城区清洁取暖全覆盖。</w:t>
                  </w:r>
                </w:p>
              </w:tc>
              <w:tc>
                <w:tcPr>
                  <w:tcW w:w="17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1.本项目不涉及。</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2.本项目不涉及。</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3.本项目不涉及。</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4.本项目不涉及。</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A2 污染物排放管控</w:t>
                  </w: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A2.1允许排放量要求</w:t>
                  </w:r>
                </w:p>
              </w:tc>
              <w:tc>
                <w:tcPr>
                  <w:tcW w:w="4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1.化学需氧量、氨氮、氮氧化物和挥发性有机物排放总量完成自治区下达任务。</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2.严格重金属排放项目准入，坚持“减量置换”或“等量置换”原则。</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3.在“五河”干流已覆盖集污管网的区域配套建设污水处理设施，确保所有建制镇和中心村污水处理全覆盖。</w:t>
                  </w:r>
                </w:p>
                <w:p>
                  <w:pPr>
                    <w:pStyle w:val="13"/>
                    <w:keepNext w:val="0"/>
                    <w:keepLines w:val="0"/>
                    <w:suppressLineNumbers w:val="0"/>
                    <w:adjustRightInd w:val="0"/>
                    <w:snapToGrid w:val="0"/>
                    <w:spacing w:before="0" w:beforeAutospacing="0" w:after="0" w:afterAutospacing="0"/>
                    <w:ind w:left="0" w:right="0" w:firstLine="0" w:firstLineChars="0"/>
                    <w:jc w:val="both"/>
                    <w:rPr>
                      <w:rFonts w:cs="Times New Roman"/>
                      <w:snapToGrid/>
                      <w:szCs w:val="22"/>
                    </w:rPr>
                  </w:pPr>
                  <w:r>
                    <w:rPr>
                      <w:rFonts w:cs="Times New Roman"/>
                      <w:snapToGrid/>
                      <w:szCs w:val="22"/>
                    </w:rPr>
                    <w:t>4.火电、水泥等重点行业及燃煤锅炉，严格按照大气污染物排放标准及特别排放限值要求执行。</w:t>
                  </w:r>
                </w:p>
                <w:p>
                  <w:pPr>
                    <w:keepNext w:val="0"/>
                    <w:keepLines w:val="0"/>
                    <w:suppressLineNumbers w:val="0"/>
                    <w:adjustRightInd w:val="0"/>
                    <w:snapToGrid w:val="0"/>
                    <w:spacing w:before="0" w:beforeAutospacing="0" w:after="0" w:afterAutospacing="0"/>
                    <w:ind w:left="0" w:right="0"/>
                    <w:jc w:val="both"/>
                    <w:rPr>
                      <w:rFonts w:ascii="Times New Roman" w:hAnsi="Times New Roman" w:eastAsia="宋体" w:cs="Times New Roman"/>
                      <w:snapToGrid/>
                      <w:szCs w:val="22"/>
                    </w:rPr>
                  </w:pPr>
                  <w:r>
                    <w:rPr>
                      <w:rFonts w:ascii="Times New Roman" w:hAnsi="Times New Roman" w:eastAsia="宋体" w:cs="Times New Roman"/>
                      <w:snapToGrid/>
                      <w:szCs w:val="22"/>
                    </w:rPr>
                    <w:t>5.到2025年，全市工业固体废弃物综合利用率达到80%，中水利用率达到85%以上。</w:t>
                  </w:r>
                </w:p>
                <w:p>
                  <w:pPr>
                    <w:keepNext w:val="0"/>
                    <w:keepLines w:val="0"/>
                    <w:suppressLineNumbers w:val="0"/>
                    <w:adjustRightInd w:val="0"/>
                    <w:snapToGrid w:val="0"/>
                    <w:spacing w:before="0" w:beforeAutospacing="0" w:after="0" w:afterAutospacing="0"/>
                    <w:ind w:left="0" w:right="0"/>
                    <w:jc w:val="both"/>
                    <w:rPr>
                      <w:rFonts w:cs="Times New Roman"/>
                      <w:szCs w:val="22"/>
                    </w:rPr>
                  </w:pPr>
                  <w:r>
                    <w:rPr>
                      <w:rFonts w:cs="Times New Roman"/>
                      <w:snapToGrid/>
                      <w:szCs w:val="22"/>
                    </w:rPr>
                    <w:t>6.到2025年，65蒸吨/小时及以上燃煤锅炉(含电力)全面实现超低排放；所有燃气锅炉氮氧化物排放浓度低于50毫克/立方米。</w:t>
                  </w:r>
                </w:p>
              </w:tc>
              <w:tc>
                <w:tcPr>
                  <w:tcW w:w="17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color w:val="000000" w:themeColor="text1"/>
                      <w:szCs w:val="22"/>
                      <w:highlight w:val="none"/>
                      <w14:textFill>
                        <w14:solidFill>
                          <w14:schemeClr w14:val="tx1"/>
                        </w14:solidFill>
                      </w14:textFill>
                    </w:rPr>
                  </w:pPr>
                  <w:r>
                    <w:rPr>
                      <w:rFonts w:cs="Times New Roman"/>
                      <w:snapToGrid/>
                      <w:szCs w:val="22"/>
                    </w:rPr>
                    <w:t>1.</w:t>
                  </w:r>
                  <w:r>
                    <w:rPr>
                      <w:rFonts w:cs="Times New Roman"/>
                      <w:snapToGrid/>
                      <w:color w:val="000000" w:themeColor="text1"/>
                      <w:szCs w:val="22"/>
                      <w:highlight w:val="none"/>
                      <w14:textFill>
                        <w14:solidFill>
                          <w14:schemeClr w14:val="tx1"/>
                        </w14:solidFill>
                      </w14:textFill>
                    </w:rPr>
                    <w:t>本项目</w:t>
                  </w:r>
                  <w:r>
                    <w:rPr>
                      <w:rFonts w:hint="eastAsia" w:cs="Times New Roman"/>
                      <w:snapToGrid/>
                      <w:color w:val="000000" w:themeColor="text1"/>
                      <w:szCs w:val="22"/>
                      <w:highlight w:val="none"/>
                      <w:lang w:val="en-US" w:eastAsia="zh-CN"/>
                      <w14:textFill>
                        <w14:solidFill>
                          <w14:schemeClr w14:val="tx1"/>
                        </w14:solidFill>
                      </w14:textFill>
                    </w:rPr>
                    <w:t>生产废水沉淀后回用，生活污水经化粪池处理后定期拉运至</w:t>
                  </w:r>
                  <w:r>
                    <w:rPr>
                      <w:rFonts w:hint="eastAsia" w:cs="Times New Roman"/>
                      <w:color w:val="000000" w:themeColor="text1"/>
                      <w:szCs w:val="22"/>
                      <w:highlight w:val="none"/>
                      <w:lang w:val="en-US" w:eastAsia="zh-CN"/>
                      <w14:textFill>
                        <w14:solidFill>
                          <w14:schemeClr w14:val="tx1"/>
                        </w14:solidFill>
                      </w14:textFill>
                    </w:rPr>
                    <w:t>彭阳县第二污水处理厂；大气污染物主要为颗粒物；项目不涉及相应污染物排放总量</w:t>
                  </w:r>
                  <w:r>
                    <w:rPr>
                      <w:rFonts w:cs="Times New Roman"/>
                      <w:snapToGrid/>
                      <w:color w:val="000000" w:themeColor="text1"/>
                      <w:szCs w:val="22"/>
                      <w:highlight w:val="none"/>
                      <w14:textFill>
                        <w14:solidFill>
                          <w14:schemeClr w14:val="tx1"/>
                        </w14:solidFill>
                      </w14:textFill>
                    </w:rPr>
                    <w:t>。</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2.本项目不涉及。</w:t>
                  </w:r>
                </w:p>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3.本项目不涉及。</w:t>
                  </w:r>
                </w:p>
                <w:p>
                  <w:pPr>
                    <w:pStyle w:val="13"/>
                    <w:keepNext w:val="0"/>
                    <w:keepLines w:val="0"/>
                    <w:suppressLineNumbers w:val="0"/>
                    <w:adjustRightInd w:val="0"/>
                    <w:snapToGrid w:val="0"/>
                    <w:spacing w:before="0" w:beforeAutospacing="0" w:after="0" w:afterAutospacing="0"/>
                    <w:ind w:left="0" w:right="0" w:firstLine="0" w:firstLineChars="0"/>
                    <w:jc w:val="both"/>
                    <w:rPr>
                      <w:rFonts w:hint="eastAsia" w:eastAsia="宋体" w:cs="Times New Roman"/>
                      <w:snapToGrid/>
                      <w:szCs w:val="22"/>
                      <w:lang w:eastAsia="zh-CN"/>
                    </w:rPr>
                  </w:pPr>
                  <w:r>
                    <w:rPr>
                      <w:rFonts w:cs="Times New Roman"/>
                      <w:snapToGrid/>
                      <w:szCs w:val="22"/>
                    </w:rPr>
                    <w:t>4.本项目不涉及</w:t>
                  </w:r>
                  <w:r>
                    <w:rPr>
                      <w:rFonts w:hint="eastAsia" w:cs="Times New Roman"/>
                      <w:snapToGrid/>
                      <w:szCs w:val="22"/>
                      <w:lang w:eastAsia="zh-CN"/>
                    </w:rPr>
                    <w:t>。</w:t>
                  </w:r>
                </w:p>
                <w:p>
                  <w:pPr>
                    <w:pStyle w:val="14"/>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both"/>
                    <w:textAlignment w:val="auto"/>
                    <w:rPr>
                      <w:rFonts w:hint="default" w:ascii="Times New Roman" w:hAnsi="Times New Roman" w:eastAsia="宋体" w:cs="Times New Roman"/>
                      <w:b w:val="0"/>
                      <w:bCs/>
                      <w:snapToGrid/>
                      <w:kern w:val="2"/>
                      <w:sz w:val="21"/>
                      <w:szCs w:val="20"/>
                      <w:lang w:val="en-US" w:eastAsia="zh-CN" w:bidi="ar-SA"/>
                    </w:rPr>
                  </w:pPr>
                  <w:r>
                    <w:rPr>
                      <w:rFonts w:ascii="Times New Roman" w:hAnsi="Times New Roman" w:eastAsia="宋体" w:cs="Times New Roman"/>
                      <w:b w:val="0"/>
                      <w:bCs/>
                      <w:snapToGrid/>
                      <w:kern w:val="2"/>
                      <w:sz w:val="21"/>
                      <w:szCs w:val="20"/>
                      <w:lang w:val="en-US" w:eastAsia="zh-CN" w:bidi="ar-SA"/>
                    </w:rPr>
                    <w:t>5.本项目</w:t>
                  </w:r>
                  <w:r>
                    <w:rPr>
                      <w:rFonts w:hint="eastAsia" w:ascii="Times New Roman" w:hAnsi="Times New Roman" w:eastAsia="宋体" w:cs="Times New Roman"/>
                      <w:b w:val="0"/>
                      <w:bCs/>
                      <w:snapToGrid/>
                      <w:kern w:val="2"/>
                      <w:sz w:val="21"/>
                      <w:szCs w:val="20"/>
                      <w:lang w:val="en-US" w:eastAsia="zh-CN" w:bidi="ar-SA"/>
                    </w:rPr>
                    <w:t>为建筑垃圾资源化利用项目。</w:t>
                  </w:r>
                </w:p>
                <w:p>
                  <w:pPr>
                    <w:keepNext w:val="0"/>
                    <w:keepLines w:val="0"/>
                    <w:suppressLineNumbers w:val="0"/>
                    <w:adjustRightInd w:val="0"/>
                    <w:snapToGrid w:val="0"/>
                    <w:spacing w:before="0" w:beforeAutospacing="0" w:after="0" w:afterAutospacing="0"/>
                    <w:ind w:left="0" w:right="0"/>
                    <w:jc w:val="both"/>
                    <w:rPr>
                      <w:rFonts w:hint="eastAsia" w:eastAsia="宋体" w:cs="Times New Roman"/>
                      <w:szCs w:val="22"/>
                      <w:lang w:eastAsia="zh-CN"/>
                    </w:rPr>
                  </w:pPr>
                  <w:r>
                    <w:rPr>
                      <w:rFonts w:cs="Times New Roman"/>
                      <w:bCs/>
                      <w:snapToGrid/>
                      <w:szCs w:val="22"/>
                    </w:rPr>
                    <w:t>6.本项目不涉及</w:t>
                  </w:r>
                  <w:r>
                    <w:rPr>
                      <w:rFonts w:hint="eastAsia" w:cs="Times New Roman"/>
                      <w:bCs/>
                      <w:snapToGrid/>
                      <w:szCs w:val="22"/>
                      <w:lang w:eastAsia="zh-CN"/>
                    </w:rPr>
                    <w:t>。</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A2.2</w:t>
                  </w:r>
                </w:p>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现有源提标升级改造及淘汰退出</w:t>
                  </w:r>
                </w:p>
              </w:tc>
              <w:tc>
                <w:tcPr>
                  <w:tcW w:w="4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1.到2025年，65蒸吨/小时及以上燃煤锅炉(含电力)全面实现超低排放；所有燃气锅炉氮氧化物排放浓度低于50毫克/立方米。</w:t>
                  </w:r>
                </w:p>
                <w:p>
                  <w:pPr>
                    <w:pStyle w:val="13"/>
                    <w:keepNext w:val="0"/>
                    <w:keepLines w:val="0"/>
                    <w:suppressLineNumbers w:val="0"/>
                    <w:adjustRightInd w:val="0"/>
                    <w:snapToGrid w:val="0"/>
                    <w:spacing w:before="0" w:beforeAutospacing="0" w:after="0" w:afterAutospacing="0"/>
                    <w:ind w:left="0" w:right="0" w:firstLine="0" w:firstLineChars="0"/>
                    <w:jc w:val="both"/>
                    <w:rPr>
                      <w:rFonts w:cs="Times New Roman"/>
                      <w:snapToGrid/>
                      <w:szCs w:val="22"/>
                    </w:rPr>
                  </w:pPr>
                  <w:r>
                    <w:rPr>
                      <w:rFonts w:hint="eastAsia" w:cs="Times New Roman"/>
                      <w:snapToGrid/>
                      <w:szCs w:val="22"/>
                      <w:lang w:val="en-US" w:eastAsia="zh-CN"/>
                    </w:rPr>
                    <w:t>2.</w:t>
                  </w:r>
                  <w:r>
                    <w:rPr>
                      <w:rFonts w:cs="Times New Roman"/>
                      <w:snapToGrid/>
                      <w:szCs w:val="22"/>
                    </w:rPr>
                    <w:t>探索畜禽养殖“出户入园”模式，落实“一控两减三利用”，减少化肥和农药使用量；实现畜禽粪便、农作物秸秆、农膜资源化利用，到2025年，农业废弃物综合利用率达到94%以上。</w:t>
                  </w:r>
                </w:p>
              </w:tc>
              <w:tc>
                <w:tcPr>
                  <w:tcW w:w="1775" w:type="dxa"/>
                  <w:tcBorders>
                    <w:tl2br w:val="nil"/>
                    <w:tr2bl w:val="nil"/>
                  </w:tcBorders>
                  <w:vAlign w:val="center"/>
                </w:tcPr>
                <w:p>
                  <w:pPr>
                    <w:pStyle w:val="13"/>
                    <w:keepNext w:val="0"/>
                    <w:keepLines w:val="0"/>
                    <w:suppressLineNumbers w:val="0"/>
                    <w:adjustRightInd w:val="0"/>
                    <w:snapToGrid w:val="0"/>
                    <w:spacing w:before="0" w:beforeAutospacing="0" w:after="0" w:afterAutospacing="0"/>
                    <w:ind w:left="0" w:right="0" w:firstLine="0" w:firstLineChars="0"/>
                    <w:jc w:val="both"/>
                    <w:rPr>
                      <w:rFonts w:cs="Times New Roman"/>
                      <w:snapToGrid/>
                      <w:szCs w:val="22"/>
                    </w:rPr>
                  </w:pPr>
                  <w:r>
                    <w:rPr>
                      <w:rFonts w:cs="Times New Roman"/>
                      <w:snapToGrid/>
                      <w:szCs w:val="22"/>
                    </w:rPr>
                    <w:t>本项目不涉及。</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A3 环境风险</w:t>
                  </w: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A3.1</w:t>
                  </w:r>
                </w:p>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联防联控要求</w:t>
                  </w:r>
                </w:p>
              </w:tc>
              <w:tc>
                <w:tcPr>
                  <w:tcW w:w="4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1.开展医疗、化工、石油开采和汽修等重点行业涉及危险废物排查整治，建立健全环境风险重点管控单位名录，严控危险废物贮存环节环境风险，严禁超期、超量贮存各类危险废物。</w:t>
                  </w:r>
                </w:p>
                <w:p>
                  <w:pPr>
                    <w:pStyle w:val="13"/>
                    <w:keepNext w:val="0"/>
                    <w:keepLines w:val="0"/>
                    <w:suppressLineNumbers w:val="0"/>
                    <w:adjustRightInd w:val="0"/>
                    <w:snapToGrid w:val="0"/>
                    <w:spacing w:before="0" w:beforeAutospacing="0" w:after="0" w:afterAutospacing="0"/>
                    <w:ind w:left="0" w:right="0" w:firstLine="0" w:firstLineChars="0"/>
                    <w:jc w:val="both"/>
                    <w:rPr>
                      <w:rFonts w:cs="Times New Roman"/>
                      <w:snapToGrid/>
                      <w:szCs w:val="22"/>
                    </w:rPr>
                  </w:pPr>
                  <w:r>
                    <w:rPr>
                      <w:rFonts w:cs="Times New Roman"/>
                      <w:snapToGrid/>
                      <w:szCs w:val="22"/>
                    </w:rPr>
                    <w:t>2.以环境风险较高的饮用水水源地保护区、交通干道</w:t>
                  </w:r>
                  <w:r>
                    <w:rPr>
                      <w:rFonts w:ascii="Times New Roman" w:hAnsi="Times New Roman" w:eastAsia="宋体" w:cs="Times New Roman"/>
                      <w:snapToGrid/>
                      <w:szCs w:val="22"/>
                    </w:rPr>
                    <w:t>和集中式污染处理设施等为重点，提高防范环境风险能力，规范化集中式污染处理设施</w:t>
                  </w:r>
                  <w:r>
                    <w:rPr>
                      <w:rFonts w:cs="Times New Roman"/>
                      <w:snapToGrid/>
                      <w:szCs w:val="22"/>
                    </w:rPr>
                    <w:t>日常运行维护，建设应急导流槽、事故调蓄池、应急闸坝等事故排水收集截留设施等预防性设施。</w:t>
                  </w:r>
                </w:p>
                <w:p>
                  <w:pPr>
                    <w:pStyle w:val="14"/>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right="0" w:firstLine="0" w:firstLineChars="0"/>
                    <w:jc w:val="both"/>
                    <w:textAlignment w:val="auto"/>
                    <w:rPr>
                      <w:rFonts w:cs="Times New Roman"/>
                      <w:b w:val="0"/>
                      <w:snapToGrid/>
                    </w:rPr>
                  </w:pPr>
                  <w:r>
                    <w:rPr>
                      <w:rFonts w:ascii="Times New Roman" w:hAnsi="Times New Roman" w:eastAsia="宋体" w:cs="Times New Roman"/>
                      <w:b w:val="0"/>
                      <w:snapToGrid/>
                      <w:kern w:val="2"/>
                      <w:sz w:val="21"/>
                      <w:szCs w:val="20"/>
                      <w:lang w:val="en-US" w:eastAsia="zh-CN" w:bidi="ar-SA"/>
                    </w:rPr>
                    <w:t>3.健全突发环境事件应急预案体系，推进跨区域、跨流域环境应急联动。</w:t>
                  </w:r>
                </w:p>
              </w:tc>
              <w:tc>
                <w:tcPr>
                  <w:tcW w:w="1775"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both"/>
                    <w:rPr>
                      <w:rFonts w:cs="Times New Roman"/>
                      <w:snapToGrid/>
                      <w:szCs w:val="22"/>
                    </w:rPr>
                  </w:pPr>
                  <w:r>
                    <w:rPr>
                      <w:rFonts w:cs="Times New Roman"/>
                      <w:snapToGrid/>
                      <w:szCs w:val="22"/>
                    </w:rPr>
                    <w:t>1.本项目不涉及。</w:t>
                  </w:r>
                </w:p>
                <w:p>
                  <w:pPr>
                    <w:pStyle w:val="13"/>
                    <w:keepNext w:val="0"/>
                    <w:keepLines w:val="0"/>
                    <w:suppressLineNumbers w:val="0"/>
                    <w:adjustRightInd w:val="0"/>
                    <w:snapToGrid w:val="0"/>
                    <w:spacing w:before="0" w:beforeAutospacing="0" w:after="0" w:afterAutospacing="0" w:line="240" w:lineRule="auto"/>
                    <w:ind w:left="0" w:right="0" w:firstLine="0" w:firstLineChars="0"/>
                    <w:jc w:val="both"/>
                    <w:rPr>
                      <w:rFonts w:cs="Times New Roman"/>
                      <w:snapToGrid/>
                      <w:szCs w:val="22"/>
                    </w:rPr>
                  </w:pPr>
                  <w:r>
                    <w:rPr>
                      <w:rFonts w:cs="Times New Roman"/>
                      <w:snapToGrid/>
                      <w:szCs w:val="22"/>
                    </w:rPr>
                    <w:t>2.本项目不涉及。</w:t>
                  </w:r>
                </w:p>
                <w:p>
                  <w:pPr>
                    <w:pStyle w:val="14"/>
                    <w:keepNext w:val="0"/>
                    <w:keepLines w:val="0"/>
                    <w:suppressLineNumbers w:val="0"/>
                    <w:adjustRightInd w:val="0"/>
                    <w:snapToGrid w:val="0"/>
                    <w:spacing w:beforeAutospacing="0" w:after="0" w:afterAutospacing="0" w:line="240" w:lineRule="auto"/>
                    <w:ind w:left="0" w:right="0"/>
                    <w:jc w:val="both"/>
                    <w:rPr>
                      <w:rFonts w:cs="Times New Roman"/>
                      <w:b w:val="0"/>
                      <w:snapToGrid/>
                    </w:rPr>
                  </w:pPr>
                  <w:r>
                    <w:rPr>
                      <w:rFonts w:ascii="Times New Roman" w:hAnsi="Times New Roman" w:eastAsia="宋体" w:cs="Times New Roman"/>
                      <w:b w:val="0"/>
                      <w:snapToGrid/>
                      <w:kern w:val="2"/>
                      <w:sz w:val="21"/>
                      <w:szCs w:val="20"/>
                      <w:lang w:val="en-US" w:eastAsia="zh-CN" w:bidi="ar-SA"/>
                    </w:rPr>
                    <w:t>3.</w:t>
                  </w:r>
                  <w:r>
                    <w:rPr>
                      <w:rFonts w:hint="eastAsia" w:ascii="Times New Roman" w:hAnsi="Times New Roman" w:eastAsia="宋体" w:cs="Times New Roman"/>
                      <w:b w:val="0"/>
                      <w:snapToGrid/>
                      <w:kern w:val="2"/>
                      <w:sz w:val="21"/>
                      <w:szCs w:val="20"/>
                      <w:lang w:val="en-US" w:eastAsia="zh-CN" w:bidi="ar-SA"/>
                    </w:rPr>
                    <w:t>本项目不涉及。</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A4 资源利用效率要求</w:t>
                  </w: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A4.1</w:t>
                  </w:r>
                </w:p>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水资源利用效率总量及效率要求</w:t>
                  </w:r>
                </w:p>
              </w:tc>
              <w:tc>
                <w:tcPr>
                  <w:tcW w:w="4030" w:type="dxa"/>
                  <w:tcBorders>
                    <w:tl2br w:val="nil"/>
                    <w:tr2bl w:val="nil"/>
                  </w:tcBorders>
                  <w:vAlign w:val="center"/>
                </w:tcPr>
                <w:p>
                  <w:pPr>
                    <w:keepNext w:val="0"/>
                    <w:keepLines w:val="0"/>
                    <w:numPr>
                      <w:ilvl w:val="0"/>
                      <w:numId w:val="0"/>
                    </w:numPr>
                    <w:suppressLineNumbers w:val="0"/>
                    <w:adjustRightInd w:val="0"/>
                    <w:snapToGrid w:val="0"/>
                    <w:spacing w:before="0" w:beforeAutospacing="0" w:after="0" w:afterAutospacing="0"/>
                    <w:ind w:left="0" w:right="0"/>
                    <w:jc w:val="both"/>
                    <w:rPr>
                      <w:rFonts w:ascii="Times New Roman" w:hAnsi="Times New Roman" w:eastAsia="宋体" w:cs="Times New Roman"/>
                      <w:snapToGrid/>
                      <w:szCs w:val="22"/>
                    </w:rPr>
                  </w:pPr>
                  <w:r>
                    <w:rPr>
                      <w:rFonts w:hint="eastAsia" w:ascii="Times New Roman" w:hAnsi="Times New Roman" w:eastAsia="宋体" w:cs="Times New Roman"/>
                      <w:snapToGrid/>
                      <w:szCs w:val="22"/>
                      <w:lang w:val="en-US" w:eastAsia="zh-CN"/>
                    </w:rPr>
                    <w:t>1.</w:t>
                  </w:r>
                  <w:r>
                    <w:rPr>
                      <w:rFonts w:ascii="Times New Roman" w:hAnsi="Times New Roman" w:eastAsia="宋体" w:cs="Times New Roman"/>
                      <w:snapToGrid/>
                      <w:szCs w:val="22"/>
                    </w:rPr>
                    <w:t>实行煤炭消费总量控制，严控高耗煤行业新增项目。</w:t>
                  </w:r>
                </w:p>
                <w:p>
                  <w:pPr>
                    <w:keepNext w:val="0"/>
                    <w:keepLines w:val="0"/>
                    <w:numPr>
                      <w:ilvl w:val="0"/>
                      <w:numId w:val="0"/>
                    </w:numPr>
                    <w:suppressLineNumbers w:val="0"/>
                    <w:adjustRightInd w:val="0"/>
                    <w:snapToGrid w:val="0"/>
                    <w:spacing w:before="0" w:beforeAutospacing="0" w:after="0" w:afterAutospacing="0"/>
                    <w:ind w:left="0" w:right="0"/>
                    <w:jc w:val="both"/>
                    <w:rPr>
                      <w:rFonts w:ascii="Times New Roman" w:hAnsi="Times New Roman" w:eastAsia="宋体" w:cs="Times New Roman"/>
                      <w:snapToGrid/>
                      <w:szCs w:val="22"/>
                    </w:rPr>
                  </w:pPr>
                  <w:r>
                    <w:rPr>
                      <w:rFonts w:ascii="Times New Roman" w:hAnsi="Times New Roman" w:eastAsia="宋体" w:cs="Times New Roman"/>
                      <w:snapToGrid/>
                      <w:szCs w:val="22"/>
                    </w:rPr>
                    <w:t>2.到2025年，全市单位地区生产总值能耗降低基本目标为13%，激励目标为14%。</w:t>
                  </w:r>
                </w:p>
              </w:tc>
              <w:tc>
                <w:tcPr>
                  <w:tcW w:w="1775" w:type="dxa"/>
                  <w:tcBorders>
                    <w:tl2br w:val="nil"/>
                    <w:tr2bl w:val="nil"/>
                  </w:tcBorders>
                  <w:vAlign w:val="center"/>
                </w:tcPr>
                <w:p>
                  <w:pPr>
                    <w:keepNext w:val="0"/>
                    <w:keepLines w:val="0"/>
                    <w:numPr>
                      <w:ilvl w:val="0"/>
                      <w:numId w:val="0"/>
                    </w:numPr>
                    <w:suppressLineNumbers w:val="0"/>
                    <w:adjustRightInd w:val="0"/>
                    <w:snapToGrid w:val="0"/>
                    <w:spacing w:before="0" w:beforeAutospacing="0" w:after="0" w:afterAutospacing="0"/>
                    <w:ind w:left="0" w:right="0"/>
                    <w:jc w:val="both"/>
                    <w:rPr>
                      <w:rFonts w:ascii="Times New Roman" w:hAnsi="Times New Roman" w:eastAsia="宋体" w:cs="Times New Roman"/>
                      <w:snapToGrid/>
                      <w:szCs w:val="22"/>
                    </w:rPr>
                  </w:pPr>
                  <w:r>
                    <w:rPr>
                      <w:rFonts w:ascii="Times New Roman" w:hAnsi="Times New Roman" w:eastAsia="宋体" w:cs="Times New Roman"/>
                      <w:snapToGrid/>
                      <w:szCs w:val="22"/>
                    </w:rPr>
                    <w:t>1.本项目不</w:t>
                  </w:r>
                  <w:r>
                    <w:rPr>
                      <w:rFonts w:hint="eastAsia" w:cs="Times New Roman"/>
                      <w:snapToGrid/>
                      <w:szCs w:val="22"/>
                      <w:lang w:eastAsia="zh-CN"/>
                    </w:rPr>
                    <w:t>使用煤炭</w:t>
                  </w:r>
                  <w:r>
                    <w:rPr>
                      <w:rFonts w:ascii="Times New Roman" w:hAnsi="Times New Roman" w:eastAsia="宋体" w:cs="Times New Roman"/>
                      <w:snapToGrid/>
                      <w:szCs w:val="22"/>
                    </w:rPr>
                    <w:t>。</w:t>
                  </w:r>
                </w:p>
                <w:p>
                  <w:pPr>
                    <w:keepNext w:val="0"/>
                    <w:keepLines w:val="0"/>
                    <w:numPr>
                      <w:ilvl w:val="0"/>
                      <w:numId w:val="0"/>
                    </w:numPr>
                    <w:suppressLineNumbers w:val="0"/>
                    <w:adjustRightInd w:val="0"/>
                    <w:snapToGrid w:val="0"/>
                    <w:spacing w:before="0" w:beforeAutospacing="0" w:after="0" w:afterAutospacing="0"/>
                    <w:ind w:left="0" w:right="0"/>
                    <w:jc w:val="both"/>
                    <w:rPr>
                      <w:rFonts w:ascii="Times New Roman" w:hAnsi="Times New Roman" w:eastAsia="宋体" w:cs="Times New Roman"/>
                      <w:snapToGrid/>
                      <w:szCs w:val="22"/>
                    </w:rPr>
                  </w:pPr>
                  <w:r>
                    <w:rPr>
                      <w:rFonts w:ascii="Times New Roman" w:hAnsi="Times New Roman" w:eastAsia="宋体" w:cs="Times New Roman"/>
                      <w:snapToGrid/>
                      <w:szCs w:val="22"/>
                    </w:rPr>
                    <w:t>2.本项目能耗较低，对全市生产总值能耗影响较小。</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p>
              </w:tc>
              <w:tc>
                <w:tcPr>
                  <w:tcW w:w="85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A4.2</w:t>
                  </w:r>
                </w:p>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水资源利用总量及效率要求</w:t>
                  </w:r>
                </w:p>
              </w:tc>
              <w:tc>
                <w:tcPr>
                  <w:tcW w:w="4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cs="Times New Roman"/>
                      <w:snapToGrid/>
                      <w:szCs w:val="22"/>
                    </w:rPr>
                    <w:t>落实节水指标纳入县（区）政绩考核，对水资源超载地区实行用水和项目“双限批”，到2025年全市用水总量控制在2.90亿立方米，单位GDP用水量较2020年下降13%。积极推广农业成套综合节水技术，到2025年农田灌溉水有效利用系数达到0.79。</w:t>
                  </w:r>
                </w:p>
              </w:tc>
              <w:tc>
                <w:tcPr>
                  <w:tcW w:w="177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both"/>
                    <w:rPr>
                      <w:rFonts w:cs="Times New Roman"/>
                      <w:snapToGrid/>
                      <w:szCs w:val="22"/>
                    </w:rPr>
                  </w:pPr>
                  <w:r>
                    <w:rPr>
                      <w:rFonts w:hint="eastAsia"/>
                      <w:szCs w:val="22"/>
                      <w:lang w:val="en-US" w:eastAsia="zh-CN"/>
                    </w:rPr>
                    <w:t>本</w:t>
                  </w:r>
                  <w:r>
                    <w:rPr>
                      <w:rFonts w:hint="eastAsia"/>
                      <w:szCs w:val="22"/>
                    </w:rPr>
                    <w:t>项目用水量较小，由管网接入，不会影响水资源利用上线。</w:t>
                  </w:r>
                </w:p>
              </w:tc>
              <w:tc>
                <w:tcPr>
                  <w:tcW w:w="75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符合</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表</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1-</w:t>
            </w:r>
            <w:r>
              <w:rPr>
                <w:rFonts w:hint="eastAsia" w:cs="Times New Roman"/>
                <w:color w:val="000000" w:themeColor="text1"/>
                <w:kern w:val="0"/>
                <w:szCs w:val="21"/>
                <w:highlight w:val="none"/>
                <w:lang w:val="en-US" w:eastAsia="zh-CN"/>
                <w14:textFill>
                  <w14:solidFill>
                    <w14:schemeClr w14:val="tx1"/>
                  </w14:solidFill>
                </w14:textFill>
              </w:rPr>
              <w:t>2</w:t>
            </w:r>
            <w:r>
              <w:rPr>
                <w:rFonts w:hint="default" w:ascii="Times New Roman" w:hAnsi="Times New Roman" w:eastAsia="黑体" w:cs="Times New Roman"/>
                <w:b w:val="0"/>
                <w:bCs/>
                <w:color w:val="000000" w:themeColor="text1"/>
                <w:sz w:val="24"/>
                <w:szCs w:val="22"/>
                <w:highlight w:val="none"/>
                <w14:textFill>
                  <w14:solidFill>
                    <w14:schemeClr w14:val="tx1"/>
                  </w14:solidFill>
                </w14:textFill>
              </w:rPr>
              <w:t xml:space="preserve">  </w:t>
            </w:r>
            <w:r>
              <w:rPr>
                <w:rFonts w:hint="eastAsia" w:eastAsia="黑体" w:cs="Times New Roman"/>
                <w:b w:val="0"/>
                <w:bCs/>
                <w:color w:val="000000" w:themeColor="text1"/>
                <w:sz w:val="24"/>
                <w:szCs w:val="22"/>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4"/>
                <w:szCs w:val="22"/>
                <w:highlight w:val="none"/>
                <w:lang w:val="en-US" w:eastAsia="zh-CN"/>
                <w14:textFill>
                  <w14:solidFill>
                    <w14:schemeClr w14:val="tx1"/>
                  </w14:solidFill>
                </w14:textFill>
              </w:rPr>
              <w:t>项目与</w:t>
            </w:r>
            <w:r>
              <w:rPr>
                <w:rFonts w:hint="eastAsia" w:cs="Times New Roman"/>
                <w:b/>
                <w:bCs w:val="0"/>
                <w:color w:val="000000" w:themeColor="text1"/>
                <w:sz w:val="24"/>
                <w:szCs w:val="22"/>
                <w:highlight w:val="none"/>
                <w:lang w:val="en-US" w:eastAsia="zh-CN"/>
                <w14:textFill>
                  <w14:solidFill>
                    <w14:schemeClr w14:val="tx1"/>
                  </w14:solidFill>
                </w14:textFill>
              </w:rPr>
              <w:t>固原</w:t>
            </w:r>
            <w:r>
              <w:rPr>
                <w:rFonts w:hint="default" w:ascii="Times New Roman" w:hAnsi="Times New Roman" w:eastAsia="宋体" w:cs="Times New Roman"/>
                <w:b/>
                <w:bCs w:val="0"/>
                <w:color w:val="000000" w:themeColor="text1"/>
                <w:sz w:val="24"/>
                <w:szCs w:val="22"/>
                <w:highlight w:val="none"/>
                <w:lang w:val="en-US" w:eastAsia="zh-CN"/>
                <w14:textFill>
                  <w14:solidFill>
                    <w14:schemeClr w14:val="tx1"/>
                  </w14:solidFill>
                </w14:textFill>
              </w:rPr>
              <w:t>市环境管控单元生态环境准入清单</w:t>
            </w:r>
            <w:r>
              <w:rPr>
                <w:rFonts w:hint="default" w:ascii="Times New Roman" w:hAnsi="Times New Roman" w:cs="Times New Roman"/>
                <w:b/>
                <w:bCs w:val="0"/>
                <w:color w:val="000000" w:themeColor="text1"/>
                <w:sz w:val="24"/>
                <w:szCs w:val="22"/>
                <w:highlight w:val="none"/>
                <w:lang w:val="en-US" w:eastAsia="zh-CN"/>
                <w14:textFill>
                  <w14:solidFill>
                    <w14:schemeClr w14:val="tx1"/>
                  </w14:solidFill>
                </w14:textFill>
              </w:rPr>
              <w:t>对照分析</w:t>
            </w:r>
            <w:r>
              <w:rPr>
                <w:rFonts w:hint="default" w:ascii="Times New Roman" w:hAnsi="Times New Roman" w:eastAsia="宋体" w:cs="Times New Roman"/>
                <w:b/>
                <w:bCs w:val="0"/>
                <w:color w:val="000000" w:themeColor="text1"/>
                <w:sz w:val="24"/>
                <w:szCs w:val="22"/>
                <w:highlight w:val="none"/>
                <w14:textFill>
                  <w14:solidFill>
                    <w14:schemeClr w14:val="tx1"/>
                  </w14:solidFill>
                </w14:textFill>
              </w:rPr>
              <w:t>一览表</w:t>
            </w:r>
          </w:p>
          <w:tbl>
            <w:tblPr>
              <w:tblStyle w:val="38"/>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82"/>
              <w:gridCol w:w="1535"/>
              <w:gridCol w:w="3383"/>
              <w:gridCol w:w="26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固原</w:t>
                  </w: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市环境管控单元生态环境准入清单</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本项目情况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7"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序号</w:t>
                  </w:r>
                </w:p>
              </w:tc>
              <w:tc>
                <w:tcPr>
                  <w:tcW w:w="33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ZH64042530006</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7"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环境管控单元名称</w:t>
                  </w:r>
                </w:p>
              </w:tc>
              <w:tc>
                <w:tcPr>
                  <w:tcW w:w="33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彭阳县</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重点</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管控单元</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7"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行政区划</w:t>
                  </w:r>
                </w:p>
              </w:tc>
              <w:tc>
                <w:tcPr>
                  <w:tcW w:w="33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宁夏回族自治区</w:t>
                  </w:r>
                  <w:r>
                    <w:rPr>
                      <w:rFonts w:hint="eastAsia" w:cs="Times New Roman"/>
                      <w:color w:val="000000" w:themeColor="text1"/>
                      <w:kern w:val="0"/>
                      <w:sz w:val="21"/>
                      <w:szCs w:val="21"/>
                      <w:highlight w:val="none"/>
                      <w:lang w:val="en-US" w:eastAsia="zh-CN" w:bidi="ar"/>
                      <w14:textFill>
                        <w14:solidFill>
                          <w14:schemeClr w14:val="tx1"/>
                        </w14:solidFill>
                      </w14:textFill>
                    </w:rPr>
                    <w:t>固原</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市</w:t>
                  </w:r>
                  <w:r>
                    <w:rPr>
                      <w:rFonts w:hint="eastAsia" w:cs="Times New Roman"/>
                      <w:color w:val="000000" w:themeColor="text1"/>
                      <w:kern w:val="0"/>
                      <w:sz w:val="21"/>
                      <w:szCs w:val="21"/>
                      <w:highlight w:val="none"/>
                      <w:lang w:val="en-US" w:eastAsia="zh-CN" w:bidi="ar"/>
                      <w14:textFill>
                        <w14:solidFill>
                          <w14:schemeClr w14:val="tx1"/>
                        </w14:solidFill>
                      </w14:textFill>
                    </w:rPr>
                    <w:t>彭阳</w:t>
                  </w: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县</w:t>
                  </w:r>
                  <w:r>
                    <w:rPr>
                      <w:rFonts w:hint="eastAsia" w:cs="Times New Roman"/>
                      <w:color w:val="000000" w:themeColor="text1"/>
                      <w:kern w:val="0"/>
                      <w:sz w:val="21"/>
                      <w:szCs w:val="21"/>
                      <w:highlight w:val="none"/>
                      <w:lang w:val="en-US" w:eastAsia="zh-CN" w:bidi="ar"/>
                      <w14:textFill>
                        <w14:solidFill>
                          <w14:schemeClr w14:val="tx1"/>
                        </w14:solidFill>
                      </w14:textFill>
                    </w:rPr>
                    <w:t>白阳镇</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宁夏回族自治区</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固原</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市</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彭阳</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县</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新集乡与白阳镇交界处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7"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要素属性</w:t>
                  </w:r>
                </w:p>
              </w:tc>
              <w:tc>
                <w:tcPr>
                  <w:tcW w:w="33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大气环境受体敏感区＋高污染燃料禁燃区</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17"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管控单元分类</w:t>
                  </w:r>
                </w:p>
              </w:tc>
              <w:tc>
                <w:tcPr>
                  <w:tcW w:w="33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重点</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管控单元</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管控要求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5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空间布局约束</w:t>
                  </w:r>
                </w:p>
              </w:tc>
              <w:tc>
                <w:tcPr>
                  <w:tcW w:w="33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color w:val="000000" w:themeColor="text1"/>
                      <w:kern w:val="0"/>
                      <w:szCs w:val="21"/>
                      <w:highlight w:val="none"/>
                      <w:lang w:bidi="ar"/>
                      <w14:textFill>
                        <w14:solidFill>
                          <w14:schemeClr w14:val="tx1"/>
                        </w14:solidFill>
                      </w14:textFill>
                    </w:rPr>
                  </w:pPr>
                  <w:r>
                    <w:rPr>
                      <w:rFonts w:hint="default"/>
                      <w:color w:val="000000" w:themeColor="text1"/>
                      <w:kern w:val="0"/>
                      <w:szCs w:val="21"/>
                      <w:highlight w:val="none"/>
                      <w:lang w:bidi="ar"/>
                      <w14:textFill>
                        <w14:solidFill>
                          <w14:schemeClr w14:val="tx1"/>
                        </w14:solidFill>
                      </w14:textFill>
                    </w:rPr>
                    <w:t>1.禁止新建涉及大规模排放大气污染物和VOCs排放的工业项目。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color w:val="000000" w:themeColor="text1"/>
                      <w:kern w:val="0"/>
                      <w:szCs w:val="21"/>
                      <w:highlight w:val="none"/>
                      <w:lang w:bidi="ar"/>
                      <w14:textFill>
                        <w14:solidFill>
                          <w14:schemeClr w14:val="tx1"/>
                        </w14:solidFill>
                      </w14:textFill>
                    </w:rPr>
                  </w:pPr>
                  <w:r>
                    <w:rPr>
                      <w:rFonts w:hint="default"/>
                      <w:color w:val="000000" w:themeColor="text1"/>
                      <w:kern w:val="0"/>
                      <w:szCs w:val="21"/>
                      <w:highlight w:val="none"/>
                      <w:lang w:bidi="ar"/>
                      <w14:textFill>
                        <w14:solidFill>
                          <w14:schemeClr w14:val="tx1"/>
                        </w14:solidFill>
                      </w14:textFill>
                    </w:rPr>
                    <w:t>2.禁止新建涉及有毒有害大气污染物排放的项目。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color w:val="000000" w:themeColor="text1"/>
                      <w:kern w:val="0"/>
                      <w:szCs w:val="21"/>
                      <w:highlight w:val="none"/>
                      <w:lang w:bidi="ar"/>
                      <w14:textFill>
                        <w14:solidFill>
                          <w14:schemeClr w14:val="tx1"/>
                        </w14:solidFill>
                      </w14:textFill>
                    </w:rPr>
                  </w:pPr>
                  <w:r>
                    <w:rPr>
                      <w:rFonts w:hint="default"/>
                      <w:color w:val="000000" w:themeColor="text1"/>
                      <w:kern w:val="0"/>
                      <w:szCs w:val="21"/>
                      <w:highlight w:val="none"/>
                      <w:lang w:bidi="ar"/>
                      <w14:textFill>
                        <w14:solidFill>
                          <w14:schemeClr w14:val="tx1"/>
                        </w14:solidFill>
                      </w14:textFill>
                    </w:rPr>
                    <w:t>3.严格限制新建涉及恶臭污染物、颗粒物无组织排放的项目。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kern w:val="0"/>
                      <w:szCs w:val="21"/>
                      <w:highlight w:val="none"/>
                      <w:lang w:bidi="ar"/>
                      <w14:textFill>
                        <w14:solidFill>
                          <w14:schemeClr w14:val="tx1"/>
                        </w14:solidFill>
                      </w14:textFill>
                    </w:rPr>
                    <w:t>4.依照相关法律法规，除重大项目外原则上禁止占用永久基本农田。</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1.本项目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属于建筑垃圾资源化利用项目，排放的大气污染物为颗粒物粉尘，通过两套“布袋除尘器+15m排气筒”收集有组织废气，并在厂区内设置</w:t>
                  </w:r>
                  <w:r>
                    <w:rPr>
                      <w:rFonts w:hint="eastAsia"/>
                      <w:color w:val="000000" w:themeColor="text1"/>
                      <w:szCs w:val="21"/>
                      <w:highlight w:val="none"/>
                      <w14:textFill>
                        <w14:solidFill>
                          <w14:schemeClr w14:val="tx1"/>
                        </w14:solidFill>
                      </w14:textFill>
                    </w:rPr>
                    <w:t>活性干雾机</w:t>
                  </w:r>
                  <w:r>
                    <w:rPr>
                      <w:rFonts w:hint="eastAsia"/>
                      <w:color w:val="000000" w:themeColor="text1"/>
                      <w:szCs w:val="21"/>
                      <w:highlight w:val="none"/>
                      <w:lang w:val="en-US" w:eastAsia="zh-CN"/>
                      <w14:textFill>
                        <w14:solidFill>
                          <w14:schemeClr w14:val="tx1"/>
                        </w14:solidFill>
                      </w14:textFill>
                    </w:rPr>
                    <w:t>处理无组织废气</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2.本项目不涉及。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3.本项目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属于建筑垃圾资源化利用项目，排放的大气污染物为颗粒物粉尘，通过两套“布袋除尘器+15m排气筒”收集有组织废气，并在厂区内设置</w:t>
                  </w:r>
                  <w:r>
                    <w:rPr>
                      <w:rFonts w:hint="eastAsia"/>
                      <w:color w:val="000000" w:themeColor="text1"/>
                      <w:szCs w:val="21"/>
                      <w:highlight w:val="none"/>
                      <w14:textFill>
                        <w14:solidFill>
                          <w14:schemeClr w14:val="tx1"/>
                        </w14:solidFill>
                      </w14:textFill>
                    </w:rPr>
                    <w:t>活性干雾机</w:t>
                  </w:r>
                  <w:r>
                    <w:rPr>
                      <w:rFonts w:hint="eastAsia"/>
                      <w:color w:val="000000" w:themeColor="text1"/>
                      <w:szCs w:val="21"/>
                      <w:highlight w:val="none"/>
                      <w:lang w:val="en-US" w:eastAsia="zh-CN"/>
                      <w14:textFill>
                        <w14:solidFill>
                          <w14:schemeClr w14:val="tx1"/>
                        </w14:solidFill>
                      </w14:textFill>
                    </w:rPr>
                    <w:t>处理无组织废气</w:t>
                  </w:r>
                </w:p>
                <w:p>
                  <w:pPr>
                    <w:pStyle w:val="28"/>
                    <w:keepNext w:val="0"/>
                    <w:keepLines w:val="0"/>
                    <w:suppressLineNumbers w:val="0"/>
                    <w:spacing w:before="0" w:beforeAutospacing="0" w:after="0" w:afterAutospacing="0"/>
                    <w:ind w:left="0" w:right="0" w:firstLine="210" w:firstLineChars="100"/>
                    <w:rPr>
                      <w:rFonts w:hint="default"/>
                      <w:lang w:val="en-US" w:eastAsia="zh-CN"/>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本项目不涉及。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5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污染物排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放管控</w:t>
                  </w:r>
                </w:p>
              </w:tc>
              <w:tc>
                <w:tcPr>
                  <w:tcW w:w="33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1.改建、扩建水泥、建材等行业项目应实施主要大气污染物等量替代。</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2.新建或改扩建畜禽规模养殖场应依法依规开展环境影响评价，配</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套建设粪污处理设施，提高粪污综合利用率。</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3.彭阳县供热公司应采取有效措施，减小燃煤、灰渣等物料贮存转运产生的颗粒物排放。（超低排放改造）</w:t>
                  </w:r>
                </w:p>
              </w:tc>
              <w:tc>
                <w:tcPr>
                  <w:tcW w:w="2637" w:type="dxa"/>
                  <w:tcBorders>
                    <w:tl2br w:val="nil"/>
                    <w:tr2bl w:val="nil"/>
                  </w:tcBorders>
                  <w:noWrap w:val="0"/>
                  <w:vAlign w:val="center"/>
                </w:tcPr>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本项目不涉及。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15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环境风险防范</w:t>
                  </w:r>
                </w:p>
              </w:tc>
              <w:tc>
                <w:tcPr>
                  <w:tcW w:w="33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彭阳县污水处理厂应配套有效措施，防止因渗漏污染地下水、土壤，</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以及因事故造成废水直排污染茹河。</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本项目不涉及。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53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资源开发效率</w:t>
                  </w:r>
                </w:p>
              </w:tc>
              <w:tc>
                <w:tcPr>
                  <w:tcW w:w="33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禁燃区内禁止使用、销售各种高污染燃料，不得新建、改建、扩建任何燃用高污染燃料的设备。</w:t>
                  </w:r>
                </w:p>
              </w:tc>
              <w:tc>
                <w:tcPr>
                  <w:tcW w:w="263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属于建筑垃圾资源化利用项目，不涉及</w:t>
                  </w:r>
                  <w:r>
                    <w:rPr>
                      <w:rFonts w:hint="eastAsia"/>
                      <w:color w:val="000000" w:themeColor="text1"/>
                      <w:szCs w:val="21"/>
                      <w:highlight w:val="none"/>
                      <w14:textFill>
                        <w14:solidFill>
                          <w14:schemeClr w14:val="tx1"/>
                        </w14:solidFill>
                      </w14:textFill>
                    </w:rPr>
                    <w:t>任何燃用高污染燃料的设备</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contextualSpacing/>
              <w:textAlignment w:val="auto"/>
              <w:rPr>
                <w:rFonts w:hint="default" w:ascii="Times New Roman" w:hAnsi="Times New Roman" w:eastAsia="仿宋_GB2312"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0"/>
                <w:sz w:val="24"/>
                <w:szCs w:val="24"/>
                <w:highlight w:val="none"/>
                <w:lang w:val="en-US" w:eastAsia="zh-CN" w:bidi="ar-SA"/>
                <w14:textFill>
                  <w14:solidFill>
                    <w14:schemeClr w14:val="tx1"/>
                  </w14:solidFill>
                </w14:textFill>
              </w:rPr>
              <w:t>综上所述，</w:t>
            </w:r>
            <w:bookmarkStart w:id="1" w:name="OLE_LINK37"/>
            <w:r>
              <w:rPr>
                <w:rFonts w:hint="default" w:ascii="Times New Roman" w:hAnsi="Times New Roman" w:eastAsia="仿宋_GB2312" w:cs="Times New Roman"/>
                <w:b/>
                <w:bCs/>
                <w:color w:val="000000" w:themeColor="text1"/>
                <w:kern w:val="0"/>
                <w:sz w:val="24"/>
                <w:szCs w:val="24"/>
                <w:highlight w:val="none"/>
                <w:lang w:val="en-US" w:eastAsia="zh-CN" w:bidi="ar-SA"/>
                <w14:textFill>
                  <w14:solidFill>
                    <w14:schemeClr w14:val="tx1"/>
                  </w14:solidFill>
                </w14:textFill>
              </w:rPr>
              <w:t>本项目的建设符合</w:t>
            </w:r>
            <w:r>
              <w:rPr>
                <w:rFonts w:hint="eastAsia" w:eastAsia="仿宋_GB2312" w:cs="Times New Roman"/>
                <w:b/>
                <w:bCs/>
                <w:color w:val="000000" w:themeColor="text1"/>
                <w:kern w:val="0"/>
                <w:sz w:val="24"/>
                <w:szCs w:val="24"/>
                <w:highlight w:val="none"/>
                <w:lang w:val="en-US" w:eastAsia="zh-CN" w:bidi="ar-SA"/>
                <w14:textFill>
                  <w14:solidFill>
                    <w14:schemeClr w14:val="tx1"/>
                  </w14:solidFill>
                </w14:textFill>
              </w:rPr>
              <w:t>固原</w:t>
            </w:r>
            <w:r>
              <w:rPr>
                <w:rFonts w:hint="default" w:ascii="Times New Roman" w:hAnsi="Times New Roman" w:eastAsia="仿宋_GB2312" w:cs="Times New Roman"/>
                <w:b/>
                <w:bCs/>
                <w:color w:val="000000" w:themeColor="text1"/>
                <w:kern w:val="0"/>
                <w:sz w:val="24"/>
                <w:szCs w:val="24"/>
                <w:highlight w:val="none"/>
                <w:lang w:val="en-US" w:eastAsia="zh-CN" w:bidi="ar-SA"/>
                <w14:textFill>
                  <w14:solidFill>
                    <w14:schemeClr w14:val="tx1"/>
                  </w14:solidFill>
                </w14:textFill>
              </w:rPr>
              <w:t>市“三线一清单”及其分区管控相关要求。</w:t>
            </w:r>
            <w:bookmarkEnd w:id="1"/>
          </w:p>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leftChars="0" w:right="0" w:rightChars="0" w:firstLine="0" w:firstLineChars="0"/>
              <w:contextualSpacing/>
              <w:textAlignment w:val="auto"/>
              <w:rPr>
                <w:rFonts w:hint="default" w:eastAsia="仿宋_GB2312"/>
                <w:b/>
                <w:bCs/>
                <w:color w:val="000000" w:themeColor="text1"/>
                <w:sz w:val="24"/>
                <w:szCs w:val="24"/>
                <w:highlight w:val="none"/>
                <w:shd w:val="clear" w:color="auto" w:fill="auto"/>
                <w14:textFill>
                  <w14:solidFill>
                    <w14:schemeClr w14:val="tx1"/>
                  </w14:solidFill>
                </w14:textFill>
              </w:rPr>
            </w:pPr>
            <w:r>
              <w:rPr>
                <w:rFonts w:hint="eastAsia" w:eastAsia="仿宋_GB2312"/>
                <w:b/>
                <w:bCs/>
                <w:color w:val="000000" w:themeColor="text1"/>
                <w:sz w:val="24"/>
                <w:szCs w:val="24"/>
                <w:highlight w:val="none"/>
                <w:shd w:val="clear" w:color="auto" w:fill="auto"/>
                <w:lang w:val="en-US" w:eastAsia="zh-CN"/>
                <w14:textFill>
                  <w14:solidFill>
                    <w14:schemeClr w14:val="tx1"/>
                  </w14:solidFill>
                </w14:textFill>
              </w:rPr>
              <w:t>2.</w:t>
            </w:r>
            <w:r>
              <w:rPr>
                <w:rFonts w:hint="default" w:eastAsia="仿宋_GB2312"/>
                <w:b/>
                <w:bCs/>
                <w:color w:val="000000" w:themeColor="text1"/>
                <w:sz w:val="24"/>
                <w:szCs w:val="24"/>
                <w:highlight w:val="none"/>
                <w:shd w:val="clear" w:color="auto" w:fill="auto"/>
                <w14:textFill>
                  <w14:solidFill>
                    <w14:schemeClr w14:val="tx1"/>
                  </w14:solidFill>
                </w14:textFill>
              </w:rPr>
              <w:t>与《国务院办公厅转发住房城乡建设部&lt;关于进一步加强城市建筑垃圾治理的意见&gt;的通知》（国办函〔2025〕57号）的符合性分析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80" w:firstLineChars="200"/>
              <w:textAlignment w:val="auto"/>
              <w:rPr>
                <w:rFonts w:hint="default"/>
                <w:szCs w:val="22"/>
                <w:lang w:val="en-US" w:eastAsia="zh-CN"/>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本项目与</w:t>
            </w:r>
            <w:r>
              <w:rPr>
                <w:rFonts w:hint="default" w:eastAsia="仿宋_GB2312"/>
                <w:color w:val="000000" w:themeColor="text1"/>
                <w:sz w:val="24"/>
                <w:szCs w:val="24"/>
                <w:highlight w:val="none"/>
                <w:shd w:val="clear" w:color="auto" w:fill="auto"/>
                <w14:textFill>
                  <w14:solidFill>
                    <w14:schemeClr w14:val="tx1"/>
                  </w14:solidFill>
                </w14:textFill>
              </w:rPr>
              <w:t>《国务院办公厅转发住房城乡建设部&lt;关于进一步加强城市建筑垃圾治理的意见&gt;的通知》（国办函〔2025〕57号）</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符合性分析见表1-</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3</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。经分析，本项目与上述规范中相关要求相符。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000000" w:themeColor="text1"/>
                <w:spacing w:val="-1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1"/>
                <w:kern w:val="0"/>
                <w:szCs w:val="21"/>
                <w:highlight w:val="none"/>
                <w:lang w:eastAsia="zh-CN"/>
                <w14:textFill>
                  <w14:solidFill>
                    <w14:schemeClr w14:val="tx1"/>
                  </w14:solidFill>
                </w14:textFill>
              </w:rPr>
              <w:t>表</w:t>
            </w:r>
            <w:r>
              <w:rPr>
                <w:rFonts w:hint="default" w:ascii="Times New Roman" w:hAnsi="Times New Roman" w:cs="Times New Roman"/>
                <w:color w:val="000000" w:themeColor="text1"/>
                <w:spacing w:val="-11"/>
                <w:kern w:val="0"/>
                <w:szCs w:val="21"/>
                <w:highlight w:val="none"/>
                <w:lang w:val="en-US" w:eastAsia="zh-CN"/>
                <w14:textFill>
                  <w14:solidFill>
                    <w14:schemeClr w14:val="tx1"/>
                  </w14:solidFill>
                </w14:textFill>
              </w:rPr>
              <w:t>1-3</w:t>
            </w:r>
            <w:r>
              <w:rPr>
                <w:rFonts w:hint="default" w:ascii="Times New Roman" w:hAnsi="Times New Roman" w:eastAsia="黑体" w:cs="Times New Roman"/>
                <w:b w:val="0"/>
                <w:bCs/>
                <w:color w:val="000000" w:themeColor="text1"/>
                <w:spacing w:val="-11"/>
                <w:sz w:val="24"/>
                <w:szCs w:val="22"/>
                <w:highlight w:val="none"/>
                <w14:textFill>
                  <w14:solidFill>
                    <w14:schemeClr w14:val="tx1"/>
                  </w14:solidFill>
                </w14:textFill>
              </w:rPr>
              <w:t xml:space="preserve">  </w:t>
            </w:r>
            <w:r>
              <w:rPr>
                <w:rFonts w:hint="eastAsia" w:eastAsia="黑体" w:cs="Times New Roman"/>
                <w:b w:val="0"/>
                <w:bCs/>
                <w:color w:val="000000" w:themeColor="text1"/>
                <w:spacing w:val="-11"/>
                <w:sz w:val="24"/>
                <w:szCs w:val="22"/>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pacing w:val="-11"/>
                <w:sz w:val="24"/>
                <w:szCs w:val="22"/>
                <w:highlight w:val="none"/>
                <w:lang w:val="en-US" w:eastAsia="zh-CN"/>
                <w14:textFill>
                  <w14:solidFill>
                    <w14:schemeClr w14:val="tx1"/>
                  </w14:solidFill>
                </w14:textFill>
              </w:rPr>
              <w:t>项目与</w:t>
            </w:r>
            <w:r>
              <w:rPr>
                <w:rFonts w:hint="default"/>
                <w:b/>
                <w:color w:val="000000" w:themeColor="text1"/>
                <w:spacing w:val="-11"/>
                <w:sz w:val="24"/>
                <w:szCs w:val="22"/>
                <w:highlight w:val="none"/>
                <w14:textFill>
                  <w14:solidFill>
                    <w14:schemeClr w14:val="tx1"/>
                  </w14:solidFill>
                </w14:textFill>
              </w:rPr>
              <w:t>《国务院办公厅转发住房城乡建设部&lt;关于进一步加强城市建筑垃圾治理的意见&gt;的通知》（国办函〔2025〕57号）</w:t>
            </w:r>
            <w:r>
              <w:rPr>
                <w:rFonts w:hint="default" w:ascii="Times New Roman" w:hAnsi="Times New Roman" w:cs="Times New Roman"/>
                <w:b/>
                <w:bCs w:val="0"/>
                <w:color w:val="000000" w:themeColor="text1"/>
                <w:spacing w:val="-11"/>
                <w:sz w:val="24"/>
                <w:szCs w:val="22"/>
                <w:highlight w:val="none"/>
                <w:lang w:val="en-US" w:eastAsia="zh-CN"/>
                <w14:textFill>
                  <w14:solidFill>
                    <w14:schemeClr w14:val="tx1"/>
                  </w14:solidFill>
                </w14:textFill>
              </w:rPr>
              <w:t>对照分析</w:t>
            </w:r>
            <w:r>
              <w:rPr>
                <w:rFonts w:hint="default" w:ascii="Times New Roman" w:hAnsi="Times New Roman" w:eastAsia="宋体" w:cs="Times New Roman"/>
                <w:b/>
                <w:bCs w:val="0"/>
                <w:color w:val="000000" w:themeColor="text1"/>
                <w:spacing w:val="-11"/>
                <w:sz w:val="24"/>
                <w:szCs w:val="22"/>
                <w:highlight w:val="none"/>
                <w14:textFill>
                  <w14:solidFill>
                    <w14:schemeClr w14:val="tx1"/>
                  </w14:solidFill>
                </w14:textFill>
              </w:rPr>
              <w:t>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68"/>
              <w:gridCol w:w="4122"/>
              <w:gridCol w:w="8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b/>
                      <w:bCs/>
                      <w:color w:val="000000" w:themeColor="text1"/>
                      <w:szCs w:val="21"/>
                      <w:highlight w:val="none"/>
                      <w:shd w:val="clear" w:color="auto" w:fill="auto"/>
                      <w14:textFill>
                        <w14:solidFill>
                          <w14:schemeClr w14:val="tx1"/>
                        </w14:solidFill>
                      </w14:textFill>
                    </w:rPr>
                    <w:t>国务院办公厅转发住房城乡建设部&lt;关于进一步加强城市建筑垃圾治理的意见&gt;的通知》（国办函〔2025〕57号）</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本项目</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eastAsia" w:cs="Times New Roman"/>
                      <w:b/>
                      <w:bCs/>
                      <w:color w:val="000000" w:themeColor="text1"/>
                      <w:sz w:val="21"/>
                      <w:szCs w:val="21"/>
                      <w:highlight w:val="none"/>
                      <w:shd w:val="clear" w:color="auto" w:fill="auto"/>
                      <w:lang w:val="en-US" w:eastAsia="zh-CN"/>
                      <w14:textFill>
                        <w14:solidFill>
                          <w14:schemeClr w14:val="tx1"/>
                        </w14:solidFill>
                      </w14:textFill>
                    </w:rPr>
                  </w:pPr>
                  <w:r>
                    <w:rPr>
                      <w:rFonts w:hint="eastAsia"/>
                      <w:b/>
                      <w:bCs/>
                      <w:color w:val="000000" w:themeColor="text1"/>
                      <w:szCs w:val="21"/>
                      <w:highlight w:val="none"/>
                      <w:shd w:val="clear" w:color="auto" w:fill="auto"/>
                      <w14:textFill>
                        <w14:solidFill>
                          <w14:schemeClr w14:val="tx1"/>
                        </w14:solidFill>
                      </w14:textFill>
                    </w:rPr>
                    <w:t>二、加强建筑垃圾源头管理</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eastAsia" w:cs="Times New Roman"/>
                      <w:b/>
                      <w:bCs/>
                      <w:color w:val="000000" w:themeColor="text1"/>
                      <w:sz w:val="21"/>
                      <w:szCs w:val="21"/>
                      <w:highlight w:val="none"/>
                      <w:shd w:val="clear" w:color="auto" w:fill="auto"/>
                      <w:lang w:val="en-US" w:eastAsia="zh-CN"/>
                      <w14:textFill>
                        <w14:solidFill>
                          <w14:schemeClr w14:val="tx1"/>
                        </w14:solidFill>
                      </w14:textFill>
                    </w:rPr>
                  </w:pPr>
                  <w:r>
                    <w:rPr>
                      <w:rFonts w:hint="eastAsia"/>
                      <w:b/>
                      <w:bCs/>
                      <w:color w:val="000000" w:themeColor="text1"/>
                      <w:szCs w:val="21"/>
                      <w:highlight w:val="none"/>
                      <w:shd w:val="clear" w:color="auto" w:fill="auto"/>
                      <w14:textFill>
                        <w14:solidFill>
                          <w14:schemeClr w14:val="tx1"/>
                        </w14:solidFill>
                      </w14:textFill>
                    </w:rPr>
                    <w:t>二）实行分类处理。</w:t>
                  </w:r>
                  <w:r>
                    <w:rPr>
                      <w:rFonts w:hint="eastAsia"/>
                      <w:b w:val="0"/>
                      <w:bCs w:val="0"/>
                      <w:color w:val="000000" w:themeColor="text1"/>
                      <w:szCs w:val="21"/>
                      <w:highlight w:val="none"/>
                      <w:shd w:val="clear" w:color="auto" w:fill="auto"/>
                      <w14:textFill>
                        <w14:solidFill>
                          <w14:schemeClr w14:val="tx1"/>
                        </w14:solidFill>
                      </w14:textFill>
                    </w:rPr>
                    <w:t>各地要依照《建筑垃圾处理技术标准》，将建筑垃圾分为工程渣土、工程泥浆、工程垃圾、拆除垃圾、装修垃圾，实行分类处理，因地制宜明确处理方式。严禁将建筑垃圾直接与生活垃圾混合处理。原则上，工程渣土和干化处理后的工程泥浆可用于土方平衡、场地平整、道路建设、环境治理或烧结制品等；工程垃圾、拆除垃圾、装修垃圾应优先用于生产再生骨料、再生建材、道路材料等；无法利用的，应进行无害化处置，保障处置安全，防止污染环境。</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w:t>
                  </w:r>
                  <w:r>
                    <w:rPr>
                      <w:rFonts w:hint="eastAsia"/>
                      <w:color w:val="000000" w:themeColor="text1"/>
                      <w:szCs w:val="21"/>
                      <w:highlight w:val="none"/>
                      <w14:textFill>
                        <w14:solidFill>
                          <w14:schemeClr w14:val="tx1"/>
                        </w14:solidFill>
                      </w14:textFill>
                    </w:rPr>
                    <w:t>建筑、装修垃圾</w:t>
                  </w:r>
                  <w:r>
                    <w:rPr>
                      <w:rFonts w:hint="eastAsia"/>
                      <w:color w:val="000000" w:themeColor="text1"/>
                      <w:szCs w:val="21"/>
                      <w:highlight w:val="none"/>
                      <w:lang w:val="en-US" w:eastAsia="zh-CN"/>
                      <w14:textFill>
                        <w14:solidFill>
                          <w14:schemeClr w14:val="tx1"/>
                        </w14:solidFill>
                      </w14:textFill>
                    </w:rPr>
                    <w:t>经处理后产生的不同级别骨料用于</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再生混凝土制品</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和水稳料生产，产生的渣土</w:t>
                  </w:r>
                  <w:r>
                    <w:rPr>
                      <w:rFonts w:hint="eastAsia" w:ascii="Times New Roman" w:hAnsi="Times New Roman" w:eastAsia="宋体" w:cs="Times New Roman"/>
                      <w:color w:val="000000"/>
                      <w:szCs w:val="22"/>
                    </w:rPr>
                    <w:t>统一收集到渣土仓内，主要用于回填工程，如拆除工程场地平整，垃圾填埋场的封场填埋等</w:t>
                  </w:r>
                  <w:r>
                    <w:rPr>
                      <w:rFonts w:hint="eastAsia" w:ascii="Times New Roman" w:hAnsi="Times New Roman" w:eastAsia="宋体" w:cs="Times New Roman"/>
                      <w:color w:val="000000"/>
                      <w:szCs w:val="22"/>
                      <w:lang w:eastAsia="zh-CN"/>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三</w:t>
                  </w: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w:t>
                  </w:r>
                  <w:r>
                    <w:rPr>
                      <w:rFonts w:hint="default"/>
                      <w:b/>
                      <w:bCs/>
                      <w:color w:val="000000" w:themeColor="text1"/>
                      <w:szCs w:val="21"/>
                      <w:highlight w:val="none"/>
                      <w:shd w:val="clear" w:color="auto" w:fill="auto"/>
                      <w14:textFill>
                        <w14:solidFill>
                          <w14:schemeClr w14:val="tx1"/>
                        </w14:solidFill>
                      </w14:textFill>
                    </w:rPr>
                    <w:t>强化建筑垃圾运输监管</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b/>
                      <w:bCs/>
                      <w:color w:val="000000" w:themeColor="text1"/>
                      <w:szCs w:val="21"/>
                      <w:highlight w:val="none"/>
                      <w:shd w:val="clear" w:color="auto" w:fill="auto"/>
                      <w14:textFill>
                        <w14:solidFill>
                          <w14:schemeClr w14:val="tx1"/>
                        </w14:solidFill>
                      </w14:textFill>
                    </w:rPr>
                    <w:t>（五）明确技术要求。</w:t>
                  </w:r>
                  <w:r>
                    <w:rPr>
                      <w:rFonts w:hint="default"/>
                      <w:b w:val="0"/>
                      <w:bCs w:val="0"/>
                      <w:color w:val="000000" w:themeColor="text1"/>
                      <w:szCs w:val="21"/>
                      <w:highlight w:val="none"/>
                      <w:shd w:val="clear" w:color="auto" w:fill="auto"/>
                      <w14:textFill>
                        <w14:solidFill>
                          <w14:schemeClr w14:val="tx1"/>
                        </w14:solidFill>
                      </w14:textFill>
                    </w:rPr>
                    <w:t>各地要制定完善建筑垃圾运输车辆、船舶相关技术要求，明确外观规格、标志标识、密闭装置、北斗卫星定位、安全配置、装卸记录、数据传输等要求，鼓励使用新能源车辆、船舶运输建筑垃圾。</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w:t>
                  </w:r>
                  <w:r>
                    <w:rPr>
                      <w:rFonts w:hint="default"/>
                      <w:color w:val="000000" w:themeColor="text1"/>
                      <w:szCs w:val="21"/>
                      <w:highlight w:val="none"/>
                      <w14:textFill>
                        <w14:solidFill>
                          <w14:schemeClr w14:val="tx1"/>
                        </w14:solidFill>
                      </w14:textFill>
                    </w:rPr>
                    <w:t>为了防止运输建筑、装修垃圾过程中因撒漏、飞扬造成的粉尘和其他污染源的“二次污染”，要求垃圾运输车辆，采用新型环保渣土运输车辆，并严格实施密闭化，安装北斗定位监控装置，统一纳入数字城市管理平台进行管理，按照规定路线运行</w:t>
                  </w:r>
                  <w:r>
                    <w:rPr>
                      <w:rFonts w:hint="eastAsia"/>
                      <w:color w:val="000000" w:themeColor="text1"/>
                      <w:szCs w:val="21"/>
                      <w:highlight w:val="none"/>
                      <w:lang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b/>
                      <w:bCs/>
                      <w:color w:val="000000" w:themeColor="text1"/>
                      <w:szCs w:val="21"/>
                      <w:highlight w:val="none"/>
                      <w:shd w:val="clear" w:color="auto" w:fill="auto"/>
                      <w14:textFill>
                        <w14:solidFill>
                          <w14:schemeClr w14:val="tx1"/>
                        </w14:solidFill>
                      </w14:textFill>
                    </w:rPr>
                    <w:t>四、规范建筑垃圾处置</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FF0000"/>
                      <w:sz w:val="21"/>
                      <w:szCs w:val="21"/>
                      <w:highlight w:val="none"/>
                      <w:shd w:val="clear" w:color="auto" w:fill="auto"/>
                      <w:lang w:val="en-US" w:eastAsia="zh-CN"/>
                    </w:rPr>
                  </w:pPr>
                  <w:r>
                    <w:rPr>
                      <w:rFonts w:hint="eastAsia"/>
                      <w:b/>
                      <w:bCs/>
                      <w:color w:val="000000" w:themeColor="text1"/>
                      <w:szCs w:val="21"/>
                      <w:highlight w:val="none"/>
                      <w:shd w:val="clear" w:color="auto" w:fill="auto"/>
                      <w14:textFill>
                        <w14:solidFill>
                          <w14:schemeClr w14:val="tx1"/>
                        </w14:solidFill>
                      </w14:textFill>
                    </w:rPr>
                    <w:t>（八）加强规划选址。</w:t>
                  </w:r>
                  <w:r>
                    <w:rPr>
                      <w:rFonts w:hint="eastAsia"/>
                      <w:b w:val="0"/>
                      <w:bCs w:val="0"/>
                      <w:color w:val="000000" w:themeColor="text1"/>
                      <w:szCs w:val="21"/>
                      <w:highlight w:val="none"/>
                      <w:shd w:val="clear" w:color="auto" w:fill="auto"/>
                      <w14:textFill>
                        <w14:solidFill>
                          <w14:schemeClr w14:val="tx1"/>
                        </w14:solidFill>
                      </w14:textFill>
                    </w:rPr>
                    <w:t>各地在编制城市国土空间规划及相关专项规划时，要统筹考虑本行政区域内建筑垃圾产生量、源头分布及建筑垃圾处理设施用地需求，科学规划建筑垃圾处理设施建设规模、选址布局、建设时序等，根据需要落实建筑垃圾处理设施用地，确定建筑垃圾利用、处置固定去处。各地要充分考虑运输成本、经济效益和生态效益，在严守耕地和永久基本农田保护红线等三条控制线基础上，合理规划建设长期的建筑垃圾填埋场，并研究就近配套建设资源化利用设施，及时处理建筑垃圾。</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eastAsia" w:ascii="Times New Roman" w:hAnsi="Times New Roman" w:eastAsia="宋体" w:cs="Times New Roman"/>
                      <w:b w:val="0"/>
                      <w:bCs w:val="0"/>
                      <w:color w:val="FF0000"/>
                      <w:sz w:val="21"/>
                      <w:szCs w:val="21"/>
                      <w:highlight w:val="none"/>
                      <w:vertAlign w:val="baseline"/>
                      <w:lang w:val="en-US" w:eastAsia="zh-CN"/>
                    </w:rPr>
                  </w:pPr>
                  <w:r>
                    <w:rPr>
                      <w:rFonts w:hint="default"/>
                      <w:color w:val="auto"/>
                      <w:szCs w:val="21"/>
                      <w:highlight w:val="none"/>
                    </w:rPr>
                    <w:t>本项目位于宁夏固原市彭阳县新集乡与白阳镇交界处，彭沟公路西侧，距彭阳县城4公里。项目周围市政道路交错，交通便利，有较好建设实施条件，且项目选址具有唯一性，不存在比选方案。项目用地已于2025年12月16日取得彭阳县人民政府《关于白阳镇周沟村集体建设用地村企联营的批复》（彭政函〔2025〕73号），经分析符合用地要求</w:t>
                  </w:r>
                  <w:r>
                    <w:rPr>
                      <w:rFonts w:hint="eastAsia"/>
                      <w:color w:val="auto"/>
                      <w:szCs w:val="21"/>
                      <w:highlight w:val="none"/>
                      <w:lang w:eastAsia="zh-CN"/>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FF0000"/>
                      <w:sz w:val="21"/>
                      <w:szCs w:val="21"/>
                      <w:highlight w:val="none"/>
                      <w:vertAlign w:val="baseline"/>
                      <w:lang w:val="en-US" w:eastAsia="zh-CN"/>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w:t>
                  </w:r>
                </w:p>
              </w:tc>
            </w:tr>
          </w:tbl>
          <w:p>
            <w:pPr>
              <w:keepNext w:val="0"/>
              <w:keepLines w:val="0"/>
              <w:pageBreakBefore w:val="0"/>
              <w:widowControl w:val="0"/>
              <w:numPr>
                <w:ilvl w:val="-1"/>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leftChars="0" w:right="0" w:rightChars="0"/>
              <w:textAlignment w:val="auto"/>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pPr>
            <w:r>
              <w:rPr>
                <w:rFonts w:hint="eastAsia" w:eastAsia="仿宋_GB2312" w:cs="Times New Roman"/>
                <w:b/>
                <w:bCs/>
                <w:color w:val="000000" w:themeColor="text1"/>
                <w:sz w:val="24"/>
                <w:szCs w:val="24"/>
                <w:highlight w:val="none"/>
                <w:shd w:val="clear" w:color="auto" w:fill="auto"/>
                <w:lang w:val="en-US" w:eastAsia="zh-CN"/>
                <w14:textFill>
                  <w14:solidFill>
                    <w14:schemeClr w14:val="tx1"/>
                  </w14:solidFill>
                </w14:textFill>
              </w:rPr>
              <w:t>3.与《固体废物综合治理行动计划》（国发〔2025〕14号）</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符合性分析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80" w:firstLineChars="200"/>
              <w:textAlignment w:val="auto"/>
              <w:rPr>
                <w:rFonts w:hint="default"/>
                <w:szCs w:val="22"/>
                <w:lang w:val="en-US" w:eastAsia="zh-CN"/>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本项目与《固体废物综合治理行动计划》（国发〔2025〕14号）符合性分析见表1-</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4</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。经分析，本项目与上述规范中相关要求相符。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000000" w:themeColor="text1"/>
                <w:spacing w:val="-1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1"/>
                <w:kern w:val="0"/>
                <w:szCs w:val="21"/>
                <w:highlight w:val="none"/>
                <w:lang w:eastAsia="zh-CN"/>
                <w14:textFill>
                  <w14:solidFill>
                    <w14:schemeClr w14:val="tx1"/>
                  </w14:solidFill>
                </w14:textFill>
              </w:rPr>
              <w:t>表</w:t>
            </w:r>
            <w:r>
              <w:rPr>
                <w:rFonts w:hint="default" w:ascii="Times New Roman" w:hAnsi="Times New Roman" w:cs="Times New Roman"/>
                <w:color w:val="000000" w:themeColor="text1"/>
                <w:spacing w:val="-11"/>
                <w:kern w:val="0"/>
                <w:szCs w:val="21"/>
                <w:highlight w:val="none"/>
                <w:lang w:val="en-US" w:eastAsia="zh-CN"/>
                <w14:textFill>
                  <w14:solidFill>
                    <w14:schemeClr w14:val="tx1"/>
                  </w14:solidFill>
                </w14:textFill>
              </w:rPr>
              <w:t>1-</w:t>
            </w:r>
            <w:r>
              <w:rPr>
                <w:rFonts w:hint="eastAsia" w:cs="Times New Roman"/>
                <w:color w:val="000000" w:themeColor="text1"/>
                <w:spacing w:val="-11"/>
                <w:kern w:val="0"/>
                <w:szCs w:val="21"/>
                <w:highlight w:val="none"/>
                <w:lang w:val="en-US" w:eastAsia="zh-CN"/>
                <w14:textFill>
                  <w14:solidFill>
                    <w14:schemeClr w14:val="tx1"/>
                  </w14:solidFill>
                </w14:textFill>
              </w:rPr>
              <w:t>4</w:t>
            </w:r>
            <w:r>
              <w:rPr>
                <w:rFonts w:hint="default" w:ascii="Times New Roman" w:hAnsi="Times New Roman" w:eastAsia="黑体" w:cs="Times New Roman"/>
                <w:b w:val="0"/>
                <w:bCs/>
                <w:color w:val="000000" w:themeColor="text1"/>
                <w:spacing w:val="-11"/>
                <w:sz w:val="24"/>
                <w:szCs w:val="22"/>
                <w:highlight w:val="none"/>
                <w14:textFill>
                  <w14:solidFill>
                    <w14:schemeClr w14:val="tx1"/>
                  </w14:solidFill>
                </w14:textFill>
              </w:rPr>
              <w:t xml:space="preserve">  </w:t>
            </w:r>
            <w:r>
              <w:rPr>
                <w:rFonts w:hint="eastAsia" w:eastAsia="黑体" w:cs="Times New Roman"/>
                <w:b w:val="0"/>
                <w:bCs/>
                <w:color w:val="000000" w:themeColor="text1"/>
                <w:spacing w:val="-11"/>
                <w:sz w:val="24"/>
                <w:szCs w:val="22"/>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pacing w:val="-11"/>
                <w:sz w:val="24"/>
                <w:szCs w:val="22"/>
                <w:highlight w:val="none"/>
                <w:lang w:val="en-US" w:eastAsia="zh-CN"/>
                <w14:textFill>
                  <w14:solidFill>
                    <w14:schemeClr w14:val="tx1"/>
                  </w14:solidFill>
                </w14:textFill>
              </w:rPr>
              <w:t>项目与《固体废物综合治理行动计划》（国发〔2025〕14号）</w:t>
            </w:r>
            <w:r>
              <w:rPr>
                <w:rFonts w:hint="default" w:ascii="Times New Roman" w:hAnsi="Times New Roman" w:cs="Times New Roman"/>
                <w:b/>
                <w:bCs w:val="0"/>
                <w:color w:val="000000" w:themeColor="text1"/>
                <w:spacing w:val="-11"/>
                <w:sz w:val="24"/>
                <w:szCs w:val="22"/>
                <w:highlight w:val="none"/>
                <w:lang w:val="en-US" w:eastAsia="zh-CN"/>
                <w14:textFill>
                  <w14:solidFill>
                    <w14:schemeClr w14:val="tx1"/>
                  </w14:solidFill>
                </w14:textFill>
              </w:rPr>
              <w:t>对照分析</w:t>
            </w:r>
            <w:r>
              <w:rPr>
                <w:rFonts w:hint="default" w:ascii="Times New Roman" w:hAnsi="Times New Roman" w:eastAsia="宋体" w:cs="Times New Roman"/>
                <w:b/>
                <w:bCs w:val="0"/>
                <w:color w:val="000000" w:themeColor="text1"/>
                <w:spacing w:val="-11"/>
                <w:sz w:val="24"/>
                <w:szCs w:val="22"/>
                <w:highlight w:val="none"/>
                <w14:textFill>
                  <w14:solidFill>
                    <w14:schemeClr w14:val="tx1"/>
                  </w14:solidFill>
                </w14:textFill>
              </w:rPr>
              <w:t>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68"/>
              <w:gridCol w:w="4122"/>
              <w:gridCol w:w="8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3" w:hRule="atLeast"/>
                <w:jc w:val="center"/>
              </w:trPr>
              <w:tc>
                <w:tcPr>
                  <w:tcW w:w="28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《固体废物综合治理行动计划》（国发〔2025〕14号）</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本项目</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二、推动源头管控和减量</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（二）实施城镇固体废物源头管控。</w:t>
                  </w:r>
                  <w:r>
                    <w:rPr>
                      <w:rFonts w:hint="default" w:ascii="Times New Roman" w:hAnsi="Times New Roman" w:eastAsia="宋体" w:cs="Times New Roman"/>
                      <w:b w:val="0"/>
                      <w:bCs w:val="0"/>
                      <w:color w:val="000000" w:themeColor="text1"/>
                      <w:sz w:val="21"/>
                      <w:szCs w:val="21"/>
                      <w:highlight w:val="none"/>
                      <w:shd w:val="clear" w:color="auto" w:fill="auto"/>
                      <w:lang w:val="en-US" w:eastAsia="zh-CN"/>
                      <w14:textFill>
                        <w14:solidFill>
                          <w14:schemeClr w14:val="tx1"/>
                        </w14:solidFill>
                      </w14:textFill>
                    </w:rPr>
                    <w:t>推进建筑垃圾分类处理。稳步发展装配式建筑，推广绿色施工、全装修或标准化装修交付，强化建筑工地固体废物源头管控。将建筑垃圾减量、运输、利用、处置所需费用列入工程造价，在工程招标和施工设计中明确减量要求和措施。</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本项目为彭阳县建筑垃圾资源化利用项目。项目施工</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前已委托宁夏泓钰工程设计有限公司做了初步设计，对</w:t>
                  </w:r>
                  <w:r>
                    <w:rPr>
                      <w:rFonts w:hint="default" w:ascii="Times New Roman" w:hAnsi="Times New Roman" w:eastAsia="宋体" w:cs="Times New Roman"/>
                      <w:b w:val="0"/>
                      <w:bCs w:val="0"/>
                      <w:color w:val="000000" w:themeColor="text1"/>
                      <w:sz w:val="21"/>
                      <w:szCs w:val="21"/>
                      <w:highlight w:val="none"/>
                      <w:shd w:val="clear" w:color="auto" w:fill="auto"/>
                      <w:lang w:val="en-US" w:eastAsia="zh-CN"/>
                      <w14:textFill>
                        <w14:solidFill>
                          <w14:schemeClr w14:val="tx1"/>
                        </w14:solidFill>
                      </w14:textFill>
                    </w:rPr>
                    <w:t>建筑垃圾减量、运输、利用、处置所需费</w:t>
                  </w:r>
                  <w:r>
                    <w:rPr>
                      <w:rFonts w:hint="eastAsia" w:cs="Times New Roman"/>
                      <w:b w:val="0"/>
                      <w:bCs w:val="0"/>
                      <w:color w:val="000000" w:themeColor="text1"/>
                      <w:sz w:val="21"/>
                      <w:szCs w:val="21"/>
                      <w:highlight w:val="none"/>
                      <w:shd w:val="clear" w:color="auto" w:fill="auto"/>
                      <w:lang w:val="en-US" w:eastAsia="zh-CN"/>
                      <w14:textFill>
                        <w14:solidFill>
                          <w14:schemeClr w14:val="tx1"/>
                        </w14:solidFill>
                      </w14:textFill>
                    </w:rPr>
                    <w:t>已做明细分析。</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六、实施重点领域专项整治</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FF0000"/>
                      <w:sz w:val="21"/>
                      <w:szCs w:val="21"/>
                      <w:highlight w:val="none"/>
                      <w:shd w:val="clear" w:color="auto" w:fill="auto"/>
                      <w:lang w:val="en-US" w:eastAsia="zh-CN"/>
                    </w:rPr>
                  </w:pP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十四</w:t>
                  </w: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深入推进建筑垃圾专项整治。</w:t>
                  </w:r>
                  <w:r>
                    <w:rPr>
                      <w:rFonts w:hint="default" w:ascii="Times New Roman" w:hAnsi="Times New Roman" w:eastAsia="宋体" w:cs="Times New Roman"/>
                      <w:b w:val="0"/>
                      <w:bCs w:val="0"/>
                      <w:color w:val="000000" w:themeColor="text1"/>
                      <w:sz w:val="21"/>
                      <w:szCs w:val="21"/>
                      <w:highlight w:val="none"/>
                      <w:shd w:val="clear" w:color="auto" w:fill="auto"/>
                      <w:lang w:val="en-US" w:eastAsia="zh-CN"/>
                      <w14:textFill>
                        <w14:solidFill>
                          <w14:schemeClr w14:val="tx1"/>
                        </w14:solidFill>
                      </w14:textFill>
                    </w:rPr>
                    <w:t>加快建筑垃圾利用和处置设施规划建设。深入排查建筑垃圾产生、收集、贮存、运输、利用、处置等各环节违法违规问题。</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color w:val="FF0000"/>
                      <w:sz w:val="21"/>
                      <w:szCs w:val="21"/>
                      <w:highlight w:val="none"/>
                      <w:vertAlign w:val="baseline"/>
                      <w:lang w:val="en-US" w:eastAsia="zh-CN"/>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主要</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建设建筑垃圾模块化可搬运型再生线1条，再生混凝土制品生产线1条，水稳料移动式模块化生产线1条。</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highlight w:val="none"/>
                      <w:shd w:val="clear" w:color="auto" w:fill="auto"/>
                      <w:lang w:val="en-US" w:eastAsia="zh-CN"/>
                      <w14:textFill>
                        <w14:solidFill>
                          <w14:schemeClr w14:val="tx1"/>
                        </w14:solidFill>
                      </w14:textFill>
                    </w:rPr>
                    <w:t>建筑垃圾产生、收集、贮存、运输、利用、处置等各环节</w:t>
                  </w:r>
                  <w:r>
                    <w:rPr>
                      <w:rFonts w:hint="eastAsia" w:cs="Times New Roman"/>
                      <w:b w:val="0"/>
                      <w:bCs w:val="0"/>
                      <w:color w:val="000000" w:themeColor="text1"/>
                      <w:sz w:val="21"/>
                      <w:szCs w:val="21"/>
                      <w:highlight w:val="none"/>
                      <w:shd w:val="clear" w:color="auto" w:fill="auto"/>
                      <w:lang w:val="en-US" w:eastAsia="zh-CN"/>
                      <w14:textFill>
                        <w14:solidFill>
                          <w14:schemeClr w14:val="tx1"/>
                        </w14:solidFill>
                      </w14:textFill>
                    </w:rPr>
                    <w:t>无</w:t>
                  </w:r>
                  <w:r>
                    <w:rPr>
                      <w:rFonts w:hint="default" w:ascii="Times New Roman" w:hAnsi="Times New Roman" w:eastAsia="宋体" w:cs="Times New Roman"/>
                      <w:b w:val="0"/>
                      <w:bCs w:val="0"/>
                      <w:color w:val="000000" w:themeColor="text1"/>
                      <w:sz w:val="21"/>
                      <w:szCs w:val="21"/>
                      <w:highlight w:val="none"/>
                      <w:shd w:val="clear" w:color="auto" w:fill="auto"/>
                      <w:lang w:val="en-US" w:eastAsia="zh-CN"/>
                      <w14:textFill>
                        <w14:solidFill>
                          <w14:schemeClr w14:val="tx1"/>
                        </w14:solidFill>
                      </w14:textFill>
                    </w:rPr>
                    <w:t>违法违规问题。</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FF0000"/>
                      <w:sz w:val="21"/>
                      <w:szCs w:val="21"/>
                      <w:highlight w:val="none"/>
                      <w:vertAlign w:val="baseline"/>
                      <w:lang w:val="en-US" w:eastAsia="zh-CN"/>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leftChars="0" w:right="0" w:rightChars="0"/>
              <w:textAlignment w:val="auto"/>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pPr>
            <w:r>
              <w:rPr>
                <w:rFonts w:hint="eastAsia" w:eastAsia="仿宋_GB2312" w:cs="Times New Roman"/>
                <w:b/>
                <w:bCs/>
                <w:color w:val="000000" w:themeColor="text1"/>
                <w:sz w:val="24"/>
                <w:szCs w:val="24"/>
                <w:highlight w:val="none"/>
                <w:shd w:val="clear" w:color="auto" w:fill="auto"/>
                <w:lang w:val="en-US" w:eastAsia="zh-CN"/>
                <w14:textFill>
                  <w14:solidFill>
                    <w14:schemeClr w14:val="tx1"/>
                  </w14:solidFill>
                </w14:textFill>
              </w:rPr>
              <w:t>4</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w:t>
            </w:r>
            <w:r>
              <w:rPr>
                <w:rFonts w:hint="eastAsia" w:eastAsia="仿宋_GB2312" w:cs="Times New Roman"/>
                <w:b/>
                <w:bCs/>
                <w:color w:val="000000" w:themeColor="text1"/>
                <w:sz w:val="24"/>
                <w:szCs w:val="24"/>
                <w:highlight w:val="none"/>
                <w:shd w:val="clear" w:color="auto" w:fill="auto"/>
                <w:lang w:val="en-US" w:eastAsia="zh-CN"/>
                <w14:textFill>
                  <w14:solidFill>
                    <w14:schemeClr w14:val="tx1"/>
                  </w14:solidFill>
                </w14:textFill>
              </w:rPr>
              <w:t>与</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《关于“十四五”大宗固体废物综合利用的指导意见》符合性分析</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仿宋_GB2312" w:cs="Times New Roman"/>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auto"/>
                <w:lang w:val="en-US" w:eastAsia="zh-CN"/>
                <w14:textFill>
                  <w14:solidFill>
                    <w14:schemeClr w14:val="tx1"/>
                  </w14:solidFill>
                </w14:textFill>
              </w:rPr>
              <w:t>《关于“十四五”大宗固体废物综合利用的指导意见》提出：到2025年，煤矸石、粉煤灰、尾矿（共伴生矿）、冶炼渣、工业副产石膏、建筑垃圾、农作物秸秆等大宗固废的综合利用能力显著提升，利用规模不断扩大，新增大宗固废综合利用率达到60%，存量大宗固废有序减少。</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60" w:lineRule="auto"/>
              <w:ind w:left="0" w:leftChars="0" w:right="0" w:firstLine="480" w:firstLineChars="200"/>
              <w:textAlignment w:val="auto"/>
              <w:rPr>
                <w:rFonts w:hint="eastAsia" w:cs="Times New Roman"/>
                <w:color w:val="000000" w:themeColor="text1"/>
                <w:sz w:val="24"/>
                <w:szCs w:val="24"/>
                <w:highlight w:val="none"/>
                <w:shd w:val="clear" w:color="auto" w:fill="auto"/>
                <w:lang w:val="en-US" w:eastAsia="zh-CN"/>
                <w14:textFill>
                  <w14:solidFill>
                    <w14:schemeClr w14:val="tx1"/>
                  </w14:solidFill>
                </w14:textFill>
              </w:rPr>
            </w:pPr>
            <w:r>
              <w:rPr>
                <w:rFonts w:hint="eastAsia" w:cs="Times New Roman"/>
                <w:color w:val="000000" w:themeColor="text1"/>
                <w:sz w:val="24"/>
                <w:szCs w:val="24"/>
                <w:highlight w:val="none"/>
                <w:shd w:val="clear" w:color="auto" w:fill="auto"/>
                <w:lang w:val="en-US" w:eastAsia="zh-CN"/>
                <w14:textFill>
                  <w14:solidFill>
                    <w14:schemeClr w14:val="tx1"/>
                  </w14:solidFill>
                </w14:textFill>
              </w:rPr>
              <w:t>建筑垃圾：加强建筑垃圾分类处理和回收利用；鼓励建筑垃圾再生骨料及制品在建筑工程和道路工程中的应用；将建筑垃圾用于土方平衡、林业用土、环境治理、烧结制品及回填等。</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60" w:lineRule="auto"/>
              <w:ind w:left="0" w:leftChars="0" w:right="0" w:firstLine="480" w:firstLineChars="200"/>
              <w:textAlignment w:val="auto"/>
              <w:rPr>
                <w:rFonts w:hint="default" w:cs="Times New Roman"/>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本项目主要利用建筑垃圾生产</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不同级别</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骨料</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生产再生混凝土制品和</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水泥稳定基再生骨料无机混合料，</w:t>
            </w:r>
            <w:r>
              <w:rPr>
                <w:rFonts w:hint="eastAsia" w:ascii="Times New Roman" w:hAnsi="Times New Roman" w:cs="Times New Roman"/>
                <w:b w:val="0"/>
                <w:bCs w:val="0"/>
                <w:color w:val="000000" w:themeColor="text1"/>
                <w:sz w:val="24"/>
                <w:szCs w:val="24"/>
                <w:highlight w:val="none"/>
                <w:shd w:val="clear" w:color="auto" w:fill="auto"/>
                <w:lang w:val="en-US" w:eastAsia="zh-CN"/>
                <w14:textFill>
                  <w14:solidFill>
                    <w14:schemeClr w14:val="tx1"/>
                  </w14:solidFill>
                </w14:textFill>
              </w:rPr>
              <w:t>用于市政和道路工程。因此，</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本项目</w:t>
            </w:r>
            <w:r>
              <w:rPr>
                <w:rFonts w:hint="eastAsia" w:ascii="Times New Roman" w:hAnsi="Times New Roman" w:cs="Times New Roman"/>
                <w:b w:val="0"/>
                <w:bCs w:val="0"/>
                <w:color w:val="000000" w:themeColor="text1"/>
                <w:sz w:val="24"/>
                <w:szCs w:val="24"/>
                <w:highlight w:val="none"/>
                <w:shd w:val="clear" w:color="auto" w:fill="auto"/>
                <w:lang w:val="en-US" w:eastAsia="zh-CN"/>
                <w14:textFill>
                  <w14:solidFill>
                    <w14:schemeClr w14:val="tx1"/>
                  </w14:solidFill>
                </w14:textFill>
              </w:rPr>
              <w:t>符合《关于“十四五”大宗固体废物综合利用的指导意见》中提出的相关规定及要求。</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0" w:firstLineChars="0"/>
              <w:textAlignment w:val="auto"/>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pPr>
            <w:r>
              <w:rPr>
                <w:rFonts w:hint="eastAsia" w:eastAsia="仿宋_GB2312" w:cs="Times New Roman"/>
                <w:b/>
                <w:bCs/>
                <w:color w:val="000000" w:themeColor="text1"/>
                <w:sz w:val="24"/>
                <w:szCs w:val="24"/>
                <w:highlight w:val="none"/>
                <w:lang w:val="en-US" w:eastAsia="zh-CN"/>
                <w14:textFill>
                  <w14:solidFill>
                    <w14:schemeClr w14:val="tx1"/>
                  </w14:solidFill>
                </w14:textFill>
              </w:rPr>
              <w:t>5.与</w:t>
            </w:r>
            <w:r>
              <w:rPr>
                <w:rFonts w:hint="eastAsia" w:eastAsia="仿宋_GB2312"/>
                <w:b/>
                <w:bCs/>
                <w:color w:val="000000" w:themeColor="text1"/>
                <w:sz w:val="24"/>
                <w:szCs w:val="24"/>
                <w:highlight w:val="none"/>
                <w:lang w:val="en-US" w:eastAsia="zh-CN"/>
                <w14:textFill>
                  <w14:solidFill>
                    <w14:schemeClr w14:val="tx1"/>
                  </w14:solidFill>
                </w14:textFill>
              </w:rPr>
              <w:t>《建筑垃圾污染控制技术规范》（HJ 1462—2026）</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符合性分析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pacing w:val="-11"/>
                <w:kern w:val="0"/>
                <w:szCs w:val="21"/>
                <w:highlight w:val="none"/>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本项目与</w:t>
            </w:r>
            <w:r>
              <w:rPr>
                <w:rFonts w:hint="default" w:eastAsia="仿宋_GB2312"/>
                <w:b w:val="0"/>
                <w:bCs w:val="0"/>
                <w:color w:val="000000" w:themeColor="text1"/>
                <w:sz w:val="24"/>
                <w:szCs w:val="24"/>
                <w:highlight w:val="none"/>
                <w:shd w:val="clear" w:color="auto" w:fill="auto"/>
                <w:lang w:val="en-US" w:eastAsia="zh-CN"/>
                <w14:textFill>
                  <w14:solidFill>
                    <w14:schemeClr w14:val="tx1"/>
                  </w14:solidFill>
                </w14:textFill>
              </w:rPr>
              <w:t>《建筑垃圾污染控制技术规范》（HJ 1462—2026）</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符合性分析见表1-</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5</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。经分析，本项目与上述规范中相关要求相符。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000000" w:themeColor="text1"/>
                <w:spacing w:val="-1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1"/>
                <w:kern w:val="0"/>
                <w:szCs w:val="21"/>
                <w:highlight w:val="none"/>
                <w:lang w:eastAsia="zh-CN"/>
                <w14:textFill>
                  <w14:solidFill>
                    <w14:schemeClr w14:val="tx1"/>
                  </w14:solidFill>
                </w14:textFill>
              </w:rPr>
              <w:t>表</w:t>
            </w:r>
            <w:r>
              <w:rPr>
                <w:rFonts w:hint="default" w:ascii="Times New Roman" w:hAnsi="Times New Roman" w:cs="Times New Roman"/>
                <w:color w:val="000000" w:themeColor="text1"/>
                <w:spacing w:val="-11"/>
                <w:kern w:val="0"/>
                <w:szCs w:val="21"/>
                <w:highlight w:val="none"/>
                <w:lang w:val="en-US" w:eastAsia="zh-CN"/>
                <w14:textFill>
                  <w14:solidFill>
                    <w14:schemeClr w14:val="tx1"/>
                  </w14:solidFill>
                </w14:textFill>
              </w:rPr>
              <w:t>1-</w:t>
            </w:r>
            <w:r>
              <w:rPr>
                <w:rFonts w:hint="eastAsia" w:cs="Times New Roman"/>
                <w:color w:val="000000" w:themeColor="text1"/>
                <w:spacing w:val="-11"/>
                <w:kern w:val="0"/>
                <w:szCs w:val="21"/>
                <w:highlight w:val="none"/>
                <w:lang w:val="en-US" w:eastAsia="zh-CN"/>
                <w14:textFill>
                  <w14:solidFill>
                    <w14:schemeClr w14:val="tx1"/>
                  </w14:solidFill>
                </w14:textFill>
              </w:rPr>
              <w:t>5</w:t>
            </w:r>
            <w:r>
              <w:rPr>
                <w:rFonts w:hint="default" w:ascii="Times New Roman" w:hAnsi="Times New Roman" w:eastAsia="黑体" w:cs="Times New Roman"/>
                <w:b w:val="0"/>
                <w:bCs/>
                <w:color w:val="000000" w:themeColor="text1"/>
                <w:spacing w:val="-11"/>
                <w:sz w:val="24"/>
                <w:szCs w:val="22"/>
                <w:highlight w:val="none"/>
                <w14:textFill>
                  <w14:solidFill>
                    <w14:schemeClr w14:val="tx1"/>
                  </w14:solidFill>
                </w14:textFill>
              </w:rPr>
              <w:t xml:space="preserve">  </w:t>
            </w:r>
            <w:r>
              <w:rPr>
                <w:rFonts w:hint="eastAsia" w:eastAsia="黑体" w:cs="Times New Roman"/>
                <w:b w:val="0"/>
                <w:bCs/>
                <w:color w:val="000000" w:themeColor="text1"/>
                <w:spacing w:val="-11"/>
                <w:sz w:val="24"/>
                <w:szCs w:val="22"/>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pacing w:val="-11"/>
                <w:sz w:val="24"/>
                <w:szCs w:val="22"/>
                <w:highlight w:val="none"/>
                <w:lang w:val="en-US" w:eastAsia="zh-CN"/>
                <w14:textFill>
                  <w14:solidFill>
                    <w14:schemeClr w14:val="tx1"/>
                  </w14:solidFill>
                </w14:textFill>
              </w:rPr>
              <w:t>项目与</w:t>
            </w:r>
            <w:r>
              <w:rPr>
                <w:rFonts w:hint="default" w:eastAsia="宋体"/>
                <w:b/>
                <w:bCs w:val="0"/>
                <w:color w:val="000000" w:themeColor="text1"/>
                <w:spacing w:val="-11"/>
                <w:sz w:val="24"/>
                <w:szCs w:val="22"/>
                <w:highlight w:val="none"/>
                <w:shd w:val="clear"/>
                <w:lang w:val="en-US" w:eastAsia="zh-CN"/>
                <w14:textFill>
                  <w14:solidFill>
                    <w14:schemeClr w14:val="tx1"/>
                  </w14:solidFill>
                </w14:textFill>
              </w:rPr>
              <w:t>《建筑垃圾污染控制技术规范》（HJ 1462—2026）</w:t>
            </w:r>
            <w:r>
              <w:rPr>
                <w:rFonts w:hint="default" w:ascii="Times New Roman" w:hAnsi="Times New Roman" w:cs="Times New Roman"/>
                <w:b/>
                <w:bCs w:val="0"/>
                <w:color w:val="000000" w:themeColor="text1"/>
                <w:spacing w:val="-11"/>
                <w:sz w:val="24"/>
                <w:szCs w:val="22"/>
                <w:highlight w:val="none"/>
                <w:lang w:val="en-US" w:eastAsia="zh-CN"/>
                <w14:textFill>
                  <w14:solidFill>
                    <w14:schemeClr w14:val="tx1"/>
                  </w14:solidFill>
                </w14:textFill>
              </w:rPr>
              <w:t>对照分析</w:t>
            </w:r>
            <w:r>
              <w:rPr>
                <w:rFonts w:hint="default" w:ascii="Times New Roman" w:hAnsi="Times New Roman" w:eastAsia="宋体" w:cs="Times New Roman"/>
                <w:b/>
                <w:bCs w:val="0"/>
                <w:color w:val="000000" w:themeColor="text1"/>
                <w:spacing w:val="-11"/>
                <w:sz w:val="24"/>
                <w:szCs w:val="22"/>
                <w:highlight w:val="none"/>
                <w14:textFill>
                  <w14:solidFill>
                    <w14:schemeClr w14:val="tx1"/>
                  </w14:solidFill>
                </w14:textFill>
              </w:rPr>
              <w:t>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68"/>
              <w:gridCol w:w="4122"/>
              <w:gridCol w:w="8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eastAsia="宋体"/>
                      <w:b/>
                      <w:bCs/>
                      <w:color w:val="000000" w:themeColor="text1"/>
                      <w:sz w:val="21"/>
                      <w:szCs w:val="21"/>
                      <w:highlight w:val="none"/>
                      <w:shd w:val="clear" w:color="auto" w:fill="auto"/>
                      <w:lang w:val="en-US" w:eastAsia="zh-CN"/>
                      <w14:textFill>
                        <w14:solidFill>
                          <w14:schemeClr w14:val="tx1"/>
                        </w14:solidFill>
                      </w14:textFill>
                    </w:rPr>
                    <w:t>《建筑垃圾污染控制技术规范》（HJ 1462—2026）</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本项目</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4 总体要求</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4.2 工程垃圾、拆除垃圾、装修垃圾或其预处理后的产物按照以下要求进行分类：</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a）在拆除和装修过程中应对危险废物单独收集；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b）废旧混凝土、碎砖瓦、废砂浆、废沥青等废弃建材，废金属、废木材、废塑料、废纸、玻璃、橡胶等废弃材料；</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c）未按4.2 b）进行分类的工程垃圾、拆除垃圾、装修垃圾。</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w:t>
                  </w:r>
                  <w:r>
                    <w:rPr>
                      <w:rFonts w:hint="eastAsia"/>
                      <w:color w:val="000000" w:themeColor="text1"/>
                      <w:szCs w:val="21"/>
                      <w:highlight w:val="none"/>
                      <w14:textFill>
                        <w14:solidFill>
                          <w14:schemeClr w14:val="tx1"/>
                        </w14:solidFill>
                      </w14:textFill>
                    </w:rPr>
                    <w:t>为稳定建筑、装修垃圾成分不再交叉污染</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上述各类垃圾在生产作业场地内按规定分区域进行堆放。因本项目建筑、装修垃圾总量不大，预处理粗选工段采用机械+人工方式进行。首先通过工程机械进行预拣将大块团状钢筋、大块木质材料、有机复合材质门窗等大件垃圾分拣出来，运输至场地规定区域堆存，并将大块钢筋砼构件、砌块墙体等粗破碎至600mm以下；再由人工对堆积体上肉眼可见金属、油漆桶、木质材料、废旧电池、液体容器、有机物材料或其他具有腐蚀性、破坏性的垃圾进行粗选，避免进入后端工艺环节破坏生产设备或污染再生骨料。</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color w:val="000000" w:themeColor="text1"/>
                      <w:szCs w:val="21"/>
                      <w:highlight w:val="none"/>
                      <w:shd w:val="clear" w:color="auto" w:fill="auto"/>
                      <w14:textFill>
                        <w14:solidFill>
                          <w14:schemeClr w14:val="tx1"/>
                        </w14:solidFill>
                      </w14:textFill>
                    </w:rPr>
                  </w:pPr>
                  <w:r>
                    <w:rPr>
                      <w:rFonts w:hint="default"/>
                      <w:color w:val="000000" w:themeColor="text1"/>
                      <w:szCs w:val="21"/>
                      <w:highlight w:val="none"/>
                      <w:shd w:val="clear" w:color="auto" w:fill="auto"/>
                      <w14:textFill>
                        <w14:solidFill>
                          <w14:schemeClr w14:val="tx1"/>
                        </w14:solidFill>
                      </w14:textFill>
                    </w:rPr>
                    <w:t>4.6 利用4.2 b）中废弃建材类进行堆填利用的选址，应符合以下规定：</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color w:val="000000" w:themeColor="text1"/>
                      <w:szCs w:val="21"/>
                      <w:highlight w:val="none"/>
                      <w:shd w:val="clear" w:color="auto" w:fill="auto"/>
                      <w14:textFill>
                        <w14:solidFill>
                          <w14:schemeClr w14:val="tx1"/>
                        </w14:solidFill>
                      </w14:textFill>
                    </w:rPr>
                  </w:pPr>
                  <w:r>
                    <w:rPr>
                      <w:rFonts w:hint="default"/>
                      <w:color w:val="000000" w:themeColor="text1"/>
                      <w:szCs w:val="21"/>
                      <w:highlight w:val="none"/>
                      <w:shd w:val="clear" w:color="auto" w:fill="auto"/>
                      <w14:textFill>
                        <w14:solidFill>
                          <w14:schemeClr w14:val="tx1"/>
                        </w14:solidFill>
                      </w14:textFill>
                    </w:rPr>
                    <w:t>a）不应选在生态保护红线区域、自然保护地、永久基本农田集中区域和其他需要特别保护的区域内；</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color w:val="000000" w:themeColor="text1"/>
                      <w:szCs w:val="21"/>
                      <w:highlight w:val="none"/>
                      <w:shd w:val="clear" w:color="auto" w:fill="auto"/>
                      <w14:textFill>
                        <w14:solidFill>
                          <w14:schemeClr w14:val="tx1"/>
                        </w14:solidFill>
                      </w14:textFill>
                    </w:rPr>
                  </w:pPr>
                  <w:r>
                    <w:rPr>
                      <w:rFonts w:hint="default"/>
                      <w:color w:val="000000" w:themeColor="text1"/>
                      <w:szCs w:val="21"/>
                      <w:highlight w:val="none"/>
                      <w:shd w:val="clear" w:color="auto" w:fill="auto"/>
                      <w14:textFill>
                        <w14:solidFill>
                          <w14:schemeClr w14:val="tx1"/>
                        </w14:solidFill>
                      </w14:textFill>
                    </w:rPr>
                    <w:t>b）应避开活动断层、溶洞区、天然滑坡或泥石流影响区以及湿地等区域；</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color w:val="000000" w:themeColor="text1"/>
                      <w:szCs w:val="21"/>
                      <w:highlight w:val="none"/>
                      <w:shd w:val="clear" w:color="auto" w:fill="auto"/>
                      <w14:textFill>
                        <w14:solidFill>
                          <w14:schemeClr w14:val="tx1"/>
                        </w14:solidFill>
                      </w14:textFill>
                    </w:rPr>
                    <w:t>c）不应选在江河、湖泊、运河、渠道、水库最高水位线以下的滩地和岸坡，以及国家和地方长远规划中的水库等人工蓄水设施的淹没区和保护区之内。</w:t>
                  </w:r>
                </w:p>
              </w:tc>
              <w:tc>
                <w:tcPr>
                  <w:tcW w:w="4122" w:type="dxa"/>
                  <w:tcBorders>
                    <w:tl2br w:val="nil"/>
                    <w:tr2bl w:val="nil"/>
                  </w:tcBorders>
                  <w:noWrap w:val="0"/>
                  <w:vAlign w:val="center"/>
                </w:tcPr>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420" w:firstLineChars="200"/>
                    <w:jc w:val="left"/>
                    <w:textAlignment w:val="auto"/>
                    <w:outlineLvl w:val="9"/>
                    <w:rPr>
                      <w:rFonts w:hint="eastAsia"/>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1.本项目建筑、装饰垃圾原料经预处理后分拣出的产物符合</w:t>
                  </w:r>
                  <w:r>
                    <w:rPr>
                      <w:rFonts w:hint="eastAsia"/>
                      <w:color w:val="000000" w:themeColor="text1"/>
                      <w:szCs w:val="21"/>
                      <w:highlight w:val="none"/>
                      <w14:textFill>
                        <w14:solidFill>
                          <w14:schemeClr w14:val="tx1"/>
                        </w14:solidFill>
                      </w14:textFill>
                    </w:rPr>
                    <w:t>《建筑垃圾污染控制技术规范》（HJ 1462—2026）</w:t>
                  </w:r>
                  <w:r>
                    <w:rPr>
                      <w:rFonts w:hint="eastAsia"/>
                      <w:color w:val="000000" w:themeColor="text1"/>
                      <w:szCs w:val="21"/>
                      <w:highlight w:val="none"/>
                      <w:lang w:val="en-US" w:eastAsia="zh-CN"/>
                      <w14:textFill>
                        <w14:solidFill>
                          <w14:schemeClr w14:val="tx1"/>
                        </w14:solidFill>
                      </w14:textFill>
                    </w:rPr>
                    <w:t>中4.2的分类要求，但不属于</w:t>
                  </w:r>
                  <w:r>
                    <w:rPr>
                      <w:rFonts w:hint="default"/>
                      <w:color w:val="000000" w:themeColor="text1"/>
                      <w:szCs w:val="21"/>
                      <w:highlight w:val="none"/>
                      <w:shd w:val="clear" w:color="auto" w:fill="auto"/>
                      <w14:textFill>
                        <w14:solidFill>
                          <w14:schemeClr w14:val="tx1"/>
                        </w14:solidFill>
                      </w14:textFill>
                    </w:rPr>
                    <w:t>堆填利用</w:t>
                  </w:r>
                  <w:r>
                    <w:rPr>
                      <w:rFonts w:hint="eastAsia"/>
                      <w:color w:val="000000" w:themeColor="text1"/>
                      <w:szCs w:val="21"/>
                      <w:highlight w:val="none"/>
                      <w:shd w:val="clear" w:color="auto" w:fill="auto"/>
                      <w:lang w:val="en-US" w:eastAsia="zh-CN"/>
                      <w14:textFill>
                        <w14:solidFill>
                          <w14:schemeClr w14:val="tx1"/>
                        </w14:solidFill>
                      </w14:textFill>
                    </w:rPr>
                    <w:t>类型</w:t>
                  </w:r>
                  <w:r>
                    <w:rPr>
                      <w:rFonts w:hint="eastAsia"/>
                      <w:color w:val="000000" w:themeColor="text1"/>
                      <w:szCs w:val="21"/>
                      <w:highlight w:val="none"/>
                      <w:lang w:val="en-US" w:eastAsia="zh-CN"/>
                      <w14:textFill>
                        <w14:solidFill>
                          <w14:schemeClr w14:val="tx1"/>
                        </w14:solidFill>
                      </w14:textFill>
                    </w:rPr>
                    <w:t>。</w:t>
                  </w:r>
                </w:p>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420" w:firstLineChars="200"/>
                    <w:jc w:val="left"/>
                    <w:textAlignment w:val="auto"/>
                    <w:outlineLvl w:val="9"/>
                    <w:rPr>
                      <w:rFonts w:hint="eastAsia"/>
                      <w:color w:val="000000" w:themeColor="text1"/>
                      <w:szCs w:val="22"/>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2.本项目经分拣后的</w:t>
                  </w:r>
                  <w:r>
                    <w:rPr>
                      <w:rFonts w:hint="default"/>
                      <w:b w:val="0"/>
                      <w:bCs w:val="0"/>
                      <w:color w:val="000000" w:themeColor="text1"/>
                      <w:szCs w:val="21"/>
                      <w:highlight w:val="none"/>
                      <w:shd w:val="clear" w:color="auto" w:fill="auto"/>
                      <w14:textFill>
                        <w14:solidFill>
                          <w14:schemeClr w14:val="tx1"/>
                        </w14:solidFill>
                      </w14:textFill>
                    </w:rPr>
                    <w:t>废沥青</w:t>
                  </w:r>
                  <w:r>
                    <w:rPr>
                      <w:rFonts w:hint="eastAsia"/>
                      <w:b w:val="0"/>
                      <w:bCs w:val="0"/>
                      <w:color w:val="000000" w:themeColor="text1"/>
                      <w:szCs w:val="21"/>
                      <w:highlight w:val="none"/>
                      <w:shd w:val="clear" w:color="auto" w:fill="auto"/>
                      <w:lang w:eastAsia="zh-CN"/>
                      <w14:textFill>
                        <w14:solidFill>
                          <w14:schemeClr w14:val="tx1"/>
                        </w14:solidFill>
                      </w14:textFill>
                    </w:rPr>
                    <w:t>、</w:t>
                  </w:r>
                  <w:r>
                    <w:rPr>
                      <w:rFonts w:hint="default"/>
                      <w:b w:val="0"/>
                      <w:bCs w:val="0"/>
                      <w:color w:val="000000" w:themeColor="text1"/>
                      <w:szCs w:val="21"/>
                      <w:highlight w:val="none"/>
                      <w:shd w:val="clear" w:color="auto" w:fill="auto"/>
                      <w14:textFill>
                        <w14:solidFill>
                          <w14:schemeClr w14:val="tx1"/>
                        </w14:solidFill>
                      </w14:textFill>
                    </w:rPr>
                    <w:t>废金属、废木材、废塑料、废纸、玻璃、橡胶等废弃材料</w:t>
                  </w:r>
                  <w:r>
                    <w:rPr>
                      <w:rFonts w:hint="eastAsia"/>
                      <w:color w:val="000000" w:themeColor="text1"/>
                      <w:szCs w:val="22"/>
                      <w:highlight w:val="none"/>
                      <w14:textFill>
                        <w14:solidFill>
                          <w14:schemeClr w14:val="tx1"/>
                        </w14:solidFill>
                      </w14:textFill>
                    </w:rPr>
                    <w:t>统一收集</w:t>
                  </w:r>
                  <w:r>
                    <w:rPr>
                      <w:rFonts w:hint="eastAsia"/>
                      <w:color w:val="000000" w:themeColor="text1"/>
                      <w:szCs w:val="22"/>
                      <w:highlight w:val="none"/>
                      <w:lang w:val="en-US" w:eastAsia="zh-CN"/>
                      <w14:textFill>
                        <w14:solidFill>
                          <w14:schemeClr w14:val="tx1"/>
                        </w14:solidFill>
                      </w14:textFill>
                    </w:rPr>
                    <w:t>外售利用。</w:t>
                  </w:r>
                </w:p>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420" w:firstLineChars="200"/>
                    <w:jc w:val="left"/>
                    <w:textAlignment w:val="auto"/>
                    <w:outlineLvl w:val="9"/>
                    <w:rPr>
                      <w:rFonts w:hint="eastAsia" w:eastAsia="宋体"/>
                      <w:color w:val="000000" w:themeColor="text1"/>
                      <w:szCs w:val="22"/>
                      <w:highlight w:val="none"/>
                      <w:lang w:val="en-US" w:eastAsia="zh-CN"/>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3.本项目</w:t>
                  </w:r>
                  <w:r>
                    <w:rPr>
                      <w:rFonts w:hint="eastAsia"/>
                      <w:color w:val="000000" w:themeColor="text1"/>
                      <w:szCs w:val="21"/>
                      <w:highlight w:val="none"/>
                      <w:lang w:val="en-US" w:eastAsia="zh-CN"/>
                      <w14:textFill>
                        <w14:solidFill>
                          <w14:schemeClr w14:val="tx1"/>
                        </w14:solidFill>
                      </w14:textFill>
                    </w:rPr>
                    <w:t>经分拣后的</w:t>
                  </w:r>
                  <w:r>
                    <w:rPr>
                      <w:rFonts w:hint="default"/>
                      <w:b w:val="0"/>
                      <w:bCs w:val="0"/>
                      <w:color w:val="000000" w:themeColor="text1"/>
                      <w:szCs w:val="21"/>
                      <w:highlight w:val="none"/>
                      <w:shd w:val="clear" w:color="auto" w:fill="auto"/>
                      <w14:textFill>
                        <w14:solidFill>
                          <w14:schemeClr w14:val="tx1"/>
                        </w14:solidFill>
                      </w14:textFill>
                    </w:rPr>
                    <w:t>废旧混凝土</w:t>
                  </w:r>
                  <w:r>
                    <w:rPr>
                      <w:rFonts w:hint="eastAsia"/>
                      <w:b w:val="0"/>
                      <w:bCs w:val="0"/>
                      <w:color w:val="000000" w:themeColor="text1"/>
                      <w:szCs w:val="21"/>
                      <w:highlight w:val="none"/>
                      <w:shd w:val="clear" w:color="auto" w:fill="auto"/>
                      <w:lang w:val="en-US" w:eastAsia="zh-CN"/>
                      <w14:textFill>
                        <w14:solidFill>
                          <w14:schemeClr w14:val="tx1"/>
                        </w14:solidFill>
                      </w14:textFill>
                    </w:rPr>
                    <w:t>用于下游生产线，不产生</w:t>
                  </w:r>
                  <w:r>
                    <w:rPr>
                      <w:rFonts w:hint="default"/>
                      <w:b w:val="0"/>
                      <w:bCs w:val="0"/>
                      <w:color w:val="000000" w:themeColor="text1"/>
                      <w:szCs w:val="21"/>
                      <w:highlight w:val="none"/>
                      <w:shd w:val="clear" w:color="auto" w:fill="auto"/>
                      <w14:textFill>
                        <w14:solidFill>
                          <w14:schemeClr w14:val="tx1"/>
                        </w14:solidFill>
                      </w14:textFill>
                    </w:rPr>
                    <w:t>碎砖瓦、废砂浆等废弃建材</w:t>
                  </w:r>
                  <w:r>
                    <w:rPr>
                      <w:rFonts w:hint="eastAsia"/>
                      <w:b w:val="0"/>
                      <w:bCs w:val="0"/>
                      <w:color w:val="000000" w:themeColor="text1"/>
                      <w:szCs w:val="21"/>
                      <w:highlight w:val="none"/>
                      <w:shd w:val="clear" w:color="auto" w:fill="auto"/>
                      <w:lang w:eastAsia="zh-CN"/>
                      <w14:textFill>
                        <w14:solidFill>
                          <w14:schemeClr w14:val="tx1"/>
                        </w14:solidFill>
                      </w14:textFill>
                    </w:rPr>
                    <w:t>。</w:t>
                  </w:r>
                </w:p>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420" w:firstLineChars="200"/>
                    <w:jc w:val="left"/>
                    <w:textAlignment w:val="auto"/>
                    <w:outlineLvl w:val="9"/>
                    <w:rPr>
                      <w:rFonts w:hint="eastAsia" w:eastAsia="宋体"/>
                      <w:color w:val="000000" w:themeColor="text1"/>
                      <w:szCs w:val="22"/>
                      <w:highlight w:val="none"/>
                      <w:lang w:val="en-US" w:eastAsia="zh-CN"/>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4.本项目分离出的渣土</w:t>
                  </w:r>
                  <w:r>
                    <w:rPr>
                      <w:rFonts w:hint="eastAsia"/>
                      <w:color w:val="000000" w:themeColor="text1"/>
                      <w:szCs w:val="22"/>
                      <w:highlight w:val="none"/>
                      <w14:textFill>
                        <w14:solidFill>
                          <w14:schemeClr w14:val="tx1"/>
                        </w14:solidFill>
                      </w14:textFill>
                    </w:rPr>
                    <w:t>主要用于回填工程，如拆除工程场地平整，垃圾填埋场的封场填埋等</w:t>
                  </w:r>
                  <w:r>
                    <w:rPr>
                      <w:rFonts w:hint="eastAsia"/>
                      <w:color w:val="000000" w:themeColor="text1"/>
                      <w:szCs w:val="22"/>
                      <w:highlight w:val="none"/>
                      <w:lang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b/>
                      <w:bCs/>
                      <w:color w:val="000000" w:themeColor="text1"/>
                      <w:szCs w:val="21"/>
                      <w:highlight w:val="none"/>
                      <w:shd w:val="clear" w:color="auto" w:fill="auto"/>
                      <w14:textFill>
                        <w14:solidFill>
                          <w14:schemeClr w14:val="tx1"/>
                        </w14:solidFill>
                      </w14:textFill>
                    </w:rPr>
                    <w:t>7 利用与处置过程污染控制要求</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7.1 资源化利用的污染控制要求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7.1.1应根据建筑垃圾的成分和当地需求因地制宜选择资源化利用技术。</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7.1.2建筑垃圾堆放区应采取防扬尘措施，其中4.2 c）堆放区应增加防雨淋措施。</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b w:val="0"/>
                      <w:bCs w:val="0"/>
                      <w:color w:val="000000" w:themeColor="text1"/>
                      <w:szCs w:val="21"/>
                      <w:highlight w:val="none"/>
                      <w:shd w:val="clear" w:color="auto" w:fill="auto"/>
                      <w14:textFill>
                        <w14:solidFill>
                          <w14:schemeClr w14:val="tx1"/>
                        </w14:solidFill>
                      </w14:textFill>
                    </w:rPr>
                  </w:pPr>
                  <w:r>
                    <w:rPr>
                      <w:rFonts w:hint="default"/>
                      <w:b w:val="0"/>
                      <w:bCs w:val="0"/>
                      <w:color w:val="000000" w:themeColor="text1"/>
                      <w:szCs w:val="21"/>
                      <w:highlight w:val="none"/>
                      <w:shd w:val="clear" w:color="auto" w:fill="auto"/>
                      <w14:textFill>
                        <w14:solidFill>
                          <w14:schemeClr w14:val="tx1"/>
                        </w14:solidFill>
                      </w14:textFill>
                    </w:rPr>
                    <w:t>7.1.3建筑垃圾资源化利用过程收集的废水宜进行循环利用，无法循环利用的废水应收集处理。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both"/>
                    <w:textAlignment w:val="auto"/>
                    <w:outlineLvl w:val="9"/>
                    <w:rPr>
                      <w:rFonts w:hint="default" w:ascii="Times New Roman" w:hAnsi="Times New Roman" w:eastAsia="宋体" w:cs="Times New Roman"/>
                      <w:b/>
                      <w:bCs/>
                      <w:color w:val="FF0000"/>
                      <w:sz w:val="21"/>
                      <w:szCs w:val="21"/>
                      <w:highlight w:val="none"/>
                      <w:shd w:val="clear" w:color="auto" w:fill="auto"/>
                      <w:lang w:val="en-US" w:eastAsia="zh-CN"/>
                    </w:rPr>
                  </w:pPr>
                  <w:r>
                    <w:rPr>
                      <w:rFonts w:hint="default"/>
                      <w:b w:val="0"/>
                      <w:bCs w:val="0"/>
                      <w:color w:val="000000" w:themeColor="text1"/>
                      <w:szCs w:val="21"/>
                      <w:highlight w:val="none"/>
                      <w:shd w:val="clear" w:color="auto" w:fill="auto"/>
                      <w14:textFill>
                        <w14:solidFill>
                          <w14:schemeClr w14:val="tx1"/>
                        </w14:solidFill>
                      </w14:textFill>
                    </w:rPr>
                    <w:t>7.1.4分选产生的木材、塑料等可燃杂物宜优先进行再生利用，不能再生利用的可采用焚烧、热解的专用设备设施进行处置或水泥窑协同处置，产生的废渣宜进行资源化利用或填埋处置。</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eastAsia" w:ascii="Times New Roman" w:hAnsi="Times New Roman" w:eastAsia="宋体" w:cs="Times New Roman"/>
                      <w:b w:val="0"/>
                      <w:bCs w:val="0"/>
                      <w:color w:val="FF0000"/>
                      <w:sz w:val="21"/>
                      <w:szCs w:val="21"/>
                      <w:highlight w:val="none"/>
                      <w:vertAlign w:val="baseline"/>
                      <w:lang w:val="en-US" w:eastAsia="zh-CN"/>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主要</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建设建筑垃圾模块化可搬运型再生线1条，再生混凝土制品生产线1条，水稳料移动式模块化生产线1条。</w:t>
                  </w:r>
                  <w:r>
                    <w:rPr>
                      <w:rFonts w:hint="eastAsia"/>
                      <w:color w:val="000000" w:themeColor="text1"/>
                      <w:szCs w:val="21"/>
                      <w:highlight w:val="none"/>
                      <w14:textFill>
                        <w14:solidFill>
                          <w14:schemeClr w14:val="tx1"/>
                        </w14:solidFill>
                      </w14:textFill>
                    </w:rPr>
                    <w:t>露天堆放的建筑垃圾应及时遮盖，应采取设置防风抑尘网、配备洒水抑尘系统或苫盖等措施。堆放区地坪标高应高于周围场地至少0.15米，四周应设置排水沟，满足场地雨水导排要求。</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本项目</w:t>
                  </w:r>
                  <w:r>
                    <w:rPr>
                      <w:rFonts w:hint="eastAsia"/>
                      <w:color w:val="000000" w:themeColor="text1"/>
                      <w:szCs w:val="21"/>
                      <w:highlight w:val="none"/>
                      <w14:textFill>
                        <w14:solidFill>
                          <w14:schemeClr w14:val="tx1"/>
                        </w14:solidFill>
                      </w14:textFill>
                    </w:rPr>
                    <w:t>在原料堆场区设置1座30m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生产废水收集沉淀池，经沉淀后，上清液循环使用，在上清液位处设置2台潜水泵（Q=10m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/h H=10m 一用一备）提供生产用水。</w:t>
                  </w:r>
                  <w:r>
                    <w:rPr>
                      <w:rFonts w:hint="eastAsia"/>
                      <w:color w:val="000000" w:themeColor="text1"/>
                      <w:szCs w:val="21"/>
                      <w:highlight w:val="none"/>
                      <w:lang w:val="en-US" w:eastAsia="zh-CN"/>
                      <w14:textFill>
                        <w14:solidFill>
                          <w14:schemeClr w14:val="tx1"/>
                        </w14:solidFill>
                      </w14:textFill>
                    </w:rPr>
                    <w:t>本项目</w:t>
                  </w:r>
                  <w:r>
                    <w:rPr>
                      <w:rFonts w:hint="default"/>
                      <w:b w:val="0"/>
                      <w:bCs w:val="0"/>
                      <w:color w:val="000000" w:themeColor="text1"/>
                      <w:szCs w:val="21"/>
                      <w:highlight w:val="none"/>
                      <w:shd w:val="clear" w:color="auto" w:fill="auto"/>
                      <w14:textFill>
                        <w14:solidFill>
                          <w14:schemeClr w14:val="tx1"/>
                        </w14:solidFill>
                      </w14:textFill>
                    </w:rPr>
                    <w:t>分选产生的木材、塑料</w:t>
                  </w:r>
                  <w:r>
                    <w:rPr>
                      <w:rFonts w:hint="eastAsia"/>
                      <w:b w:val="0"/>
                      <w:bCs w:val="0"/>
                      <w:color w:val="000000" w:themeColor="text1"/>
                      <w:szCs w:val="21"/>
                      <w:highlight w:val="none"/>
                      <w:shd w:val="clear" w:color="auto" w:fill="auto"/>
                      <w:lang w:val="en-US" w:eastAsia="zh-CN"/>
                      <w14:textFill>
                        <w14:solidFill>
                          <w14:schemeClr w14:val="tx1"/>
                        </w14:solidFill>
                      </w14:textFill>
                    </w:rPr>
                    <w:t>收集后分别外售至木材厂和</w:t>
                  </w:r>
                  <w:r>
                    <w:rPr>
                      <w:rFonts w:hint="eastAsia"/>
                      <w:color w:val="000000" w:themeColor="text1"/>
                      <w:szCs w:val="21"/>
                      <w:highlight w:val="none"/>
                      <w:shd w:val="clear" w:color="auto" w:fill="auto"/>
                      <w14:textFill>
                        <w14:solidFill>
                          <w14:schemeClr w14:val="tx1"/>
                        </w14:solidFill>
                      </w14:textFill>
                    </w:rPr>
                    <w:t>废塑料加工厂</w:t>
                  </w:r>
                  <w:r>
                    <w:rPr>
                      <w:rFonts w:hint="eastAsia"/>
                      <w:color w:val="000000" w:themeColor="text1"/>
                      <w:szCs w:val="21"/>
                      <w:highlight w:val="none"/>
                      <w:shd w:val="clear" w:color="auto" w:fill="auto"/>
                      <w:lang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FF0000"/>
                      <w:sz w:val="21"/>
                      <w:szCs w:val="21"/>
                      <w:highlight w:val="none"/>
                      <w:vertAlign w:val="baseline"/>
                      <w:lang w:val="en-US" w:eastAsia="zh-CN"/>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0" w:firstLineChars="0"/>
              <w:textAlignment w:val="auto"/>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pPr>
            <w:r>
              <w:rPr>
                <w:rFonts w:hint="eastAsia" w:eastAsia="仿宋_GB2312" w:cs="Times New Roman"/>
                <w:b/>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与《宁夏回族自治区生态环境保护“十四五”规划》符合性分析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pacing w:val="-11"/>
                <w:kern w:val="0"/>
                <w:szCs w:val="21"/>
                <w:highlight w:val="none"/>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本项目与《宁夏回族自治区生态环境保护“十四五”规划》符合性分析见表1-</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6</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。经分析，本项目与上述规范中相关要求相符。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000000" w:themeColor="text1"/>
                <w:spacing w:val="-1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1"/>
                <w:kern w:val="0"/>
                <w:szCs w:val="21"/>
                <w:highlight w:val="none"/>
                <w:lang w:eastAsia="zh-CN"/>
                <w14:textFill>
                  <w14:solidFill>
                    <w14:schemeClr w14:val="tx1"/>
                  </w14:solidFill>
                </w14:textFill>
              </w:rPr>
              <w:t>表</w:t>
            </w:r>
            <w:r>
              <w:rPr>
                <w:rFonts w:hint="default" w:ascii="Times New Roman" w:hAnsi="Times New Roman" w:cs="Times New Roman"/>
                <w:color w:val="000000" w:themeColor="text1"/>
                <w:spacing w:val="-11"/>
                <w:kern w:val="0"/>
                <w:szCs w:val="21"/>
                <w:highlight w:val="none"/>
                <w:lang w:val="en-US" w:eastAsia="zh-CN"/>
                <w14:textFill>
                  <w14:solidFill>
                    <w14:schemeClr w14:val="tx1"/>
                  </w14:solidFill>
                </w14:textFill>
              </w:rPr>
              <w:t>1-</w:t>
            </w:r>
            <w:r>
              <w:rPr>
                <w:rFonts w:hint="eastAsia" w:cs="Times New Roman"/>
                <w:color w:val="000000" w:themeColor="text1"/>
                <w:spacing w:val="-11"/>
                <w:kern w:val="0"/>
                <w:szCs w:val="21"/>
                <w:highlight w:val="none"/>
                <w:lang w:val="en-US" w:eastAsia="zh-CN"/>
                <w14:textFill>
                  <w14:solidFill>
                    <w14:schemeClr w14:val="tx1"/>
                  </w14:solidFill>
                </w14:textFill>
              </w:rPr>
              <w:t>6</w:t>
            </w:r>
            <w:r>
              <w:rPr>
                <w:rFonts w:hint="default" w:ascii="Times New Roman" w:hAnsi="Times New Roman" w:eastAsia="黑体" w:cs="Times New Roman"/>
                <w:b w:val="0"/>
                <w:bCs/>
                <w:color w:val="000000" w:themeColor="text1"/>
                <w:spacing w:val="-11"/>
                <w:sz w:val="24"/>
                <w:szCs w:val="22"/>
                <w:highlight w:val="none"/>
                <w14:textFill>
                  <w14:solidFill>
                    <w14:schemeClr w14:val="tx1"/>
                  </w14:solidFill>
                </w14:textFill>
              </w:rPr>
              <w:t xml:space="preserve">  </w:t>
            </w:r>
            <w:r>
              <w:rPr>
                <w:rFonts w:hint="eastAsia" w:eastAsia="黑体" w:cs="Times New Roman"/>
                <w:b w:val="0"/>
                <w:bCs/>
                <w:color w:val="000000" w:themeColor="text1"/>
                <w:spacing w:val="-11"/>
                <w:sz w:val="24"/>
                <w:szCs w:val="22"/>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pacing w:val="-11"/>
                <w:sz w:val="24"/>
                <w:szCs w:val="22"/>
                <w:highlight w:val="none"/>
                <w:lang w:val="en-US" w:eastAsia="zh-CN"/>
                <w14:textFill>
                  <w14:solidFill>
                    <w14:schemeClr w14:val="tx1"/>
                  </w14:solidFill>
                </w14:textFill>
              </w:rPr>
              <w:t>项目与《宁夏回族自治区生态环境保护“十四五”规划》</w:t>
            </w:r>
            <w:r>
              <w:rPr>
                <w:rFonts w:hint="default" w:ascii="Times New Roman" w:hAnsi="Times New Roman" w:cs="Times New Roman"/>
                <w:b/>
                <w:bCs w:val="0"/>
                <w:color w:val="000000" w:themeColor="text1"/>
                <w:spacing w:val="-11"/>
                <w:sz w:val="24"/>
                <w:szCs w:val="22"/>
                <w:highlight w:val="none"/>
                <w:lang w:val="en-US" w:eastAsia="zh-CN"/>
                <w14:textFill>
                  <w14:solidFill>
                    <w14:schemeClr w14:val="tx1"/>
                  </w14:solidFill>
                </w14:textFill>
              </w:rPr>
              <w:t>对照分析</w:t>
            </w:r>
            <w:r>
              <w:rPr>
                <w:rFonts w:hint="default" w:ascii="Times New Roman" w:hAnsi="Times New Roman" w:eastAsia="宋体" w:cs="Times New Roman"/>
                <w:b/>
                <w:bCs w:val="0"/>
                <w:color w:val="000000" w:themeColor="text1"/>
                <w:spacing w:val="-11"/>
                <w:sz w:val="24"/>
                <w:szCs w:val="22"/>
                <w:highlight w:val="none"/>
                <w14:textFill>
                  <w14:solidFill>
                    <w14:schemeClr w14:val="tx1"/>
                  </w14:solidFill>
                </w14:textFill>
              </w:rPr>
              <w:t>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68"/>
              <w:gridCol w:w="4122"/>
              <w:gridCol w:w="8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《宁夏回族自治区生态环境保护“十四五”规划》</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本项目</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专栏3环境空气质量改善工程</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48"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扬尘管控工程。</w:t>
                  </w:r>
                  <w:r>
                    <w:rPr>
                      <w:rFonts w:hint="default" w:ascii="Times New Roman" w:hAnsi="Times New Roman" w:eastAsia="宋体" w:cs="Times New Roman"/>
                      <w:b w:val="0"/>
                      <w:bCs w:val="0"/>
                      <w:color w:val="000000" w:themeColor="text1"/>
                      <w:sz w:val="21"/>
                      <w:szCs w:val="21"/>
                      <w:highlight w:val="none"/>
                      <w:shd w:val="clear" w:color="auto" w:fill="auto"/>
                      <w:lang w:val="en-US" w:eastAsia="zh-CN"/>
                      <w14:textFill>
                        <w14:solidFill>
                          <w14:schemeClr w14:val="tx1"/>
                        </w14:solidFill>
                      </w14:textFill>
                    </w:rPr>
                    <w:t>按需购置、配发机械化清扫车、喷雾车。实施规模以上各类工地视频监控设备、颗粒物在线监测系统安装工程。开展城区裸露土地绿化改造、抑尘覆盖整治。</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项目施工期的大气环境问题主要为扬尘、施工机械及运输车辆尾气。扬尘包括道路运输扬尘、堆场扬尘、施工场内施工扬尘。通过采取对运输道路硬化、洒水抑尘、清扫运输马路等措施减少扬尘的产生量；尽量减少回填土、粉状建筑材料露天堆放，必须露天堆放的易起尘的材料应加苫布覆盖；运输车辆禁止超载，不得使用劣质燃料；对车辆的尾气排放加强监督管理，严格执行汽车排污监管办法相关规定，避免排放黑烟。</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项目运营期</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的大气环境问题主要为</w:t>
                  </w:r>
                  <w:r>
                    <w:rPr>
                      <w:rFonts w:hint="eastAsia"/>
                      <w:color w:val="000000" w:themeColor="text1"/>
                      <w:szCs w:val="21"/>
                      <w:highlight w:val="none"/>
                      <w14:textFill>
                        <w14:solidFill>
                          <w14:schemeClr w14:val="tx1"/>
                        </w14:solidFill>
                      </w14:textFill>
                    </w:rPr>
                    <w:t>建筑垃圾输、破碎、筛分、转运过程中产生的粉尘等。项目采用全密闭的建筑垃圾运输车，对装卸口设密封圈并定期检查保证密闭效果，运输过程中不得遗撒、飘散运载物，并对车辆及时冲洗，清洁上路。建筑垃圾破碎和筛分，以及再生骨料的储存、转运等生产区域的粉尘采取集中式布袋除尘主、环保雾炮和活性干雾捕捉为辅的降尘方式</w:t>
                  </w:r>
                  <w:r>
                    <w:rPr>
                      <w:rFonts w:hint="eastAsia"/>
                      <w:color w:val="000000" w:themeColor="text1"/>
                      <w:szCs w:val="21"/>
                      <w:highlight w:val="none"/>
                      <w:lang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专栏5土壤、地下水及固废防治工程</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2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1" w:firstLineChars="100"/>
                    <w:jc w:val="both"/>
                    <w:textAlignment w:val="auto"/>
                    <w:outlineLvl w:val="9"/>
                    <w:rPr>
                      <w:rFonts w:hint="default" w:ascii="Times New Roman" w:hAnsi="Times New Roman" w:eastAsia="宋体" w:cs="Times New Roman"/>
                      <w:b/>
                      <w:bCs/>
                      <w:color w:val="FF0000"/>
                      <w:sz w:val="21"/>
                      <w:szCs w:val="21"/>
                      <w:highlight w:val="none"/>
                      <w:shd w:val="clear" w:color="auto" w:fill="auto"/>
                      <w:lang w:val="en-US" w:eastAsia="zh-CN"/>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其他固体废物处理工程</w:t>
                  </w: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w:t>
                  </w:r>
                  <w:r>
                    <w:rPr>
                      <w:rFonts w:hint="eastAsia" w:cs="Times New Roman"/>
                      <w:b w:val="0"/>
                      <w:bCs w:val="0"/>
                      <w:color w:val="000000" w:themeColor="text1"/>
                      <w:sz w:val="21"/>
                      <w:szCs w:val="21"/>
                      <w:highlight w:val="none"/>
                      <w:shd w:val="clear" w:color="auto" w:fill="auto"/>
                      <w:lang w:val="en-US" w:eastAsia="zh-CN"/>
                      <w14:textFill>
                        <w14:solidFill>
                          <w14:schemeClr w14:val="tx1"/>
                        </w14:solidFill>
                      </w14:textFill>
                    </w:rPr>
                    <w:t>完善城市生活垃圾分类和建筑垃圾、餐厨垃圾等收转运体系，实施市政污泥处理、建筑垃圾回收利用、园林废弃物处理等一体化处理和综合利用项目，建设固原、中卫、石嘴山城市生活垃圾焚烧发电项目。</w:t>
                  </w:r>
                </w:p>
              </w:tc>
              <w:tc>
                <w:tcPr>
                  <w:tcW w:w="41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color w:val="FF0000"/>
                      <w:sz w:val="21"/>
                      <w:szCs w:val="21"/>
                      <w:highlight w:val="none"/>
                      <w:vertAlign w:val="baseline"/>
                      <w:lang w:val="en-US" w:eastAsia="zh-CN"/>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本项目为彭阳县建筑垃圾资源化利用项目，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主要</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建设建筑垃圾模块化可搬运型再生线1条，再生混凝土制品生产线1条，水稳料移动式模块化生产线1条。</w:t>
                  </w:r>
                </w:p>
              </w:tc>
              <w:tc>
                <w:tcPr>
                  <w:tcW w:w="89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FF0000"/>
                      <w:sz w:val="21"/>
                      <w:szCs w:val="21"/>
                      <w:highlight w:val="none"/>
                      <w:vertAlign w:val="baseline"/>
                      <w:lang w:val="en-US" w:eastAsia="zh-CN"/>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0" w:firstLineChars="0"/>
              <w:textAlignment w:val="auto"/>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pPr>
            <w:r>
              <w:rPr>
                <w:rFonts w:hint="eastAsia" w:eastAsia="仿宋_GB2312" w:cs="Times New Roman"/>
                <w:b/>
                <w:bCs/>
                <w:color w:val="000000" w:themeColor="text1"/>
                <w:sz w:val="24"/>
                <w:szCs w:val="24"/>
                <w:highlight w:val="none"/>
                <w:shd w:val="clear" w:color="auto" w:fill="auto"/>
                <w:lang w:val="en-US" w:eastAsia="zh-CN"/>
                <w14:textFill>
                  <w14:solidFill>
                    <w14:schemeClr w14:val="tx1"/>
                  </w14:solidFill>
                </w14:textFill>
              </w:rPr>
              <w:t>7</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w:t>
            </w:r>
            <w:r>
              <w:rPr>
                <w:rFonts w:hint="eastAsia" w:eastAsia="仿宋_GB2312" w:cs="Times New Roman"/>
                <w:b/>
                <w:bCs/>
                <w:color w:val="000000" w:themeColor="text1"/>
                <w:sz w:val="24"/>
                <w:szCs w:val="24"/>
                <w:highlight w:val="none"/>
                <w:shd w:val="clear" w:color="auto" w:fill="auto"/>
                <w:lang w:val="en-US" w:eastAsia="zh-CN"/>
                <w14:textFill>
                  <w14:solidFill>
                    <w14:schemeClr w14:val="tx1"/>
                  </w14:solidFill>
                </w14:textFill>
              </w:rPr>
              <w:t>与</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w:t>
            </w:r>
            <w:r>
              <w:rPr>
                <w:rFonts w:hint="eastAsia" w:eastAsia="仿宋_GB2312" w:cs="Times New Roman"/>
                <w:b/>
                <w:bCs/>
                <w:color w:val="000000" w:themeColor="text1"/>
                <w:sz w:val="24"/>
                <w:szCs w:val="24"/>
                <w:highlight w:val="none"/>
                <w:shd w:val="clear" w:color="auto" w:fill="auto"/>
                <w:lang w:val="en-US" w:eastAsia="zh-CN"/>
                <w14:textFill>
                  <w14:solidFill>
                    <w14:schemeClr w14:val="tx1"/>
                  </w14:solidFill>
                </w14:textFill>
              </w:rPr>
              <w:t>固原</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市生态环境保护“十四五”规划》符合性分析</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仿宋_GB2312" w:cs="Times New Roman"/>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市生态环境保护“十四五”规划》</w:t>
            </w:r>
            <w:r>
              <w:rPr>
                <w:rFonts w:hint="default" w:ascii="Times New Roman" w:hAnsi="Times New Roman" w:eastAsia="仿宋_GB2312" w:cs="Times New Roman"/>
                <w:color w:val="000000" w:themeColor="text1"/>
                <w:sz w:val="24"/>
                <w:szCs w:val="24"/>
                <w:highlight w:val="none"/>
                <w:shd w:val="clear" w:color="auto" w:fill="auto"/>
                <w:lang w:val="en-US" w:eastAsia="zh-CN"/>
                <w14:textFill>
                  <w14:solidFill>
                    <w14:schemeClr w14:val="tx1"/>
                  </w14:solidFill>
                </w14:textFill>
              </w:rPr>
              <w:t>提出：加大工业固体废弃物处置。以工业园区为重点，开展固体废物非法贮存、倾倒和填埋情况专项排查，全面规范固体废物堆存场所建设、贮存、处置。推进企业清洁生产审核。统筹规划工业园区固体废弃物集中处置能力建设，加强渣场等堆存场所基础设施项目建设。支持固体废弃物综合利用应用技术研究和产业化，构建固体废弃物循环利用体系。</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60" w:lineRule="auto"/>
              <w:ind w:left="0" w:leftChars="0" w:right="0" w:firstLine="480" w:firstLineChars="200"/>
              <w:textAlignment w:val="auto"/>
              <w:rPr>
                <w:rFonts w:hint="default" w:cs="Times New Roman"/>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本项目主要利用建筑垃圾生产</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不同级别</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骨料</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生产再生混凝土制品和</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水泥稳定基再生骨料无机混合料，属于一般工业固体废物、建筑施工废弃物处置及综合利用项目</w:t>
            </w:r>
            <w:r>
              <w:rPr>
                <w:rFonts w:hint="eastAsia" w:ascii="Times New Roman" w:hAnsi="Times New Roman" w:cs="Times New Roman"/>
                <w:b w:val="0"/>
                <w:bCs w:val="0"/>
                <w:color w:val="000000" w:themeColor="text1"/>
                <w:sz w:val="24"/>
                <w:szCs w:val="24"/>
                <w:highlight w:val="none"/>
                <w:shd w:val="clear" w:color="auto" w:fill="auto"/>
                <w:lang w:val="en-US" w:eastAsia="zh-CN"/>
                <w14:textFill>
                  <w14:solidFill>
                    <w14:schemeClr w14:val="tx1"/>
                  </w14:solidFill>
                </w14:textFill>
              </w:rPr>
              <w:t>。因此，符合</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市生态环境保护“十四五”规划》</w:t>
            </w:r>
            <w:r>
              <w:rPr>
                <w:rFonts w:hint="eastAsia" w:ascii="Times New Roman" w:hAnsi="Times New Roman" w:cs="Times New Roman"/>
                <w:b w:val="0"/>
                <w:bCs w:val="0"/>
                <w:color w:val="000000" w:themeColor="text1"/>
                <w:sz w:val="24"/>
                <w:szCs w:val="24"/>
                <w:highlight w:val="none"/>
                <w:shd w:val="clear" w:color="auto" w:fill="auto"/>
                <w:lang w:val="en-US" w:eastAsia="zh-CN"/>
                <w14:textFill>
                  <w14:solidFill>
                    <w14:schemeClr w14:val="tx1"/>
                  </w14:solidFill>
                </w14:textFill>
              </w:rPr>
              <w:t>中提出的相关规定及要求。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textAlignment w:val="auto"/>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pPr>
            <w:r>
              <w:rPr>
                <w:rFonts w:hint="eastAsia" w:eastAsia="仿宋_GB2312" w:cs="Times New Roman"/>
                <w:b/>
                <w:bCs/>
                <w:color w:val="000000" w:themeColor="text1"/>
                <w:sz w:val="24"/>
                <w:szCs w:val="24"/>
                <w:highlight w:val="none"/>
                <w:shd w:val="clear" w:color="auto" w:fill="auto"/>
                <w:lang w:val="en-US" w:eastAsia="zh-CN"/>
                <w14:textFill>
                  <w14:solidFill>
                    <w14:schemeClr w14:val="tx1"/>
                  </w14:solidFill>
                </w14:textFill>
              </w:rPr>
              <w:t>8</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.产业政策符合性分析</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本项目为</w:t>
            </w:r>
            <w:r>
              <w:rPr>
                <w:rFonts w:hint="eastAsia" w:cs="Times New Roman"/>
                <w:b w:val="0"/>
                <w:bCs w:val="0"/>
                <w:color w:val="000000" w:themeColor="text1"/>
                <w:sz w:val="24"/>
                <w:szCs w:val="24"/>
                <w:highlight w:val="none"/>
                <w:u w:val="none"/>
                <w:lang w:val="en-US" w:eastAsia="zh-CN"/>
                <w14:textFill>
                  <w14:solidFill>
                    <w14:schemeClr w14:val="tx1"/>
                  </w14:solidFill>
                </w14:textFill>
              </w:rPr>
              <w:t>建筑垃圾资源化利用</w:t>
            </w:r>
            <w:r>
              <w:rPr>
                <w:rFonts w:hint="default" w:ascii="Times New Roman" w:hAnsi="Times New Roman" w:eastAsia="仿宋_GB2312" w:cs="Times New Roman"/>
                <w:color w:val="000000" w:themeColor="text1"/>
                <w:kern w:val="0"/>
                <w:sz w:val="24"/>
                <w:szCs w:val="24"/>
                <w:highlight w:val="none"/>
                <w:lang w:val="en-US" w:eastAsia="zh-CN" w:bidi="ar"/>
                <w14:textFill>
                  <w14:solidFill>
                    <w14:schemeClr w14:val="tx1"/>
                  </w14:solidFill>
                </w14:textFill>
              </w:rPr>
              <w:t>项目</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主要利用建筑垃圾生产</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不同级别</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骨料</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生产再生混凝土制品和</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水泥稳定基再生骨料无机混合料</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根据《产业结构调整指导目录</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2024</w:t>
            </w:r>
            <w:r>
              <w:rPr>
                <w:rFonts w:hint="default" w:ascii="Times New Roman" w:hAnsi="Times New Roman" w:cs="Times New Roman"/>
                <w:color w:val="000000" w:themeColor="text1"/>
                <w:highlight w:val="none"/>
                <w14:textFill>
                  <w14:solidFill>
                    <w14:schemeClr w14:val="tx1"/>
                  </w14:solidFill>
                </w14:textFill>
              </w:rPr>
              <w:t>年本</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，本项目</w:t>
            </w:r>
            <w:r>
              <w:rPr>
                <w:rFonts w:hint="default" w:ascii="Times New Roman" w:hAnsi="Times New Roman" w:cs="Times New Roman"/>
                <w:color w:val="000000" w:themeColor="text1"/>
                <w:highlight w:val="none"/>
                <w:lang w:val="en-US" w:eastAsia="zh-CN"/>
                <w14:textFill>
                  <w14:solidFill>
                    <w14:schemeClr w14:val="tx1"/>
                  </w14:solidFill>
                </w14:textFill>
              </w:rPr>
              <w:t>属于目录中鼓励类项目</w:t>
            </w:r>
            <w:r>
              <w:rPr>
                <w:rFonts w:hint="eastAsia" w:cs="Times New Roman"/>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四十二、环境保护与资源节约综合利用</w:t>
            </w:r>
            <w:r>
              <w:rPr>
                <w:rFonts w:hint="eastAsia"/>
                <w:color w:val="000000" w:themeColor="text1"/>
                <w:highlight w:val="none"/>
                <w:lang w:val="en-US" w:eastAsia="zh-CN"/>
                <w14:textFill>
                  <w14:solidFill>
                    <w14:schemeClr w14:val="tx1"/>
                  </w14:solidFill>
                </w14:textFill>
              </w:rPr>
              <w:t>中</w:t>
            </w:r>
            <w:r>
              <w:rPr>
                <w:rFonts w:hint="default"/>
                <w:color w:val="000000" w:themeColor="text1"/>
                <w:highlight w:val="none"/>
                <w14:textFill>
                  <w14:solidFill>
                    <w14:schemeClr w14:val="tx1"/>
                  </w14:solidFill>
                </w14:textFill>
              </w:rPr>
              <w:t>8、废弃物循环利用：建筑废弃物等工业废弃物循环利用。</w:t>
            </w:r>
            <w:r>
              <w:rPr>
                <w:rFonts w:hint="default" w:ascii="Times New Roman" w:hAnsi="Times New Roman" w:cs="Times New Roman"/>
                <w:color w:val="000000" w:themeColor="text1"/>
                <w:highlight w:val="none"/>
                <w:lang w:val="en-US" w:eastAsia="zh-CN"/>
                <w14:textFill>
                  <w14:solidFill>
                    <w14:schemeClr w14:val="tx1"/>
                  </w14:solidFill>
                </w14:textFill>
              </w:rPr>
              <w:t>同时项目已取得宁夏回族自治区企业投资项目备案证，</w:t>
            </w:r>
            <w:r>
              <w:rPr>
                <w:rFonts w:hint="default" w:ascii="Times New Roman" w:hAnsi="Times New Roman" w:eastAsia="仿宋_GB2312" w:cs="Times New Roman"/>
                <w:bCs/>
                <w:color w:val="000000" w:themeColor="text1"/>
                <w:kern w:val="0"/>
                <w:sz w:val="24"/>
                <w:szCs w:val="22"/>
                <w:highlight w:val="none"/>
                <w:lang w:val="en-US" w:eastAsia="zh-CN" w:bidi="ar-SA"/>
                <w14:textFill>
                  <w14:solidFill>
                    <w14:schemeClr w14:val="tx1"/>
                  </w14:solidFill>
                </w14:textFill>
              </w:rPr>
              <w:t>备案号为2505-640425-16-01-588959，</w:t>
            </w:r>
            <w:r>
              <w:rPr>
                <w:rFonts w:hint="default" w:ascii="Times New Roman" w:hAnsi="Times New Roman" w:cs="Times New Roman"/>
                <w:color w:val="000000" w:themeColor="text1"/>
                <w:highlight w:val="none"/>
                <w:lang w:eastAsia="zh-CN"/>
                <w14:textFill>
                  <w14:solidFill>
                    <w14:schemeClr w14:val="tx1"/>
                  </w14:solidFill>
                </w14:textFill>
              </w:rPr>
              <w:t>因此，本项目符合国家产业政策。</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60" w:lineRule="auto"/>
              <w:ind w:left="0" w:leftChars="0" w:right="0" w:firstLine="0" w:firstLineChars="0"/>
              <w:textAlignment w:val="auto"/>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pPr>
            <w:r>
              <w:rPr>
                <w:rFonts w:hint="eastAsia" w:cs="Times New Roman"/>
                <w:b/>
                <w:bCs/>
                <w:color w:val="000000" w:themeColor="text1"/>
                <w:sz w:val="24"/>
                <w:szCs w:val="24"/>
                <w:highlight w:val="none"/>
                <w:shd w:val="clear" w:color="auto" w:fill="auto"/>
                <w:lang w:val="en-US" w:eastAsia="zh-CN"/>
                <w14:textFill>
                  <w14:solidFill>
                    <w14:schemeClr w14:val="tx1"/>
                  </w14:solidFill>
                </w14:textFill>
              </w:rPr>
              <w:t>9</w:t>
            </w:r>
            <w:r>
              <w:rPr>
                <w:rFonts w:hint="default" w:ascii="Times New Roman" w:hAnsi="Times New Roman" w:eastAsia="仿宋_GB2312" w:cs="Times New Roman"/>
                <w:b/>
                <w:bCs/>
                <w:color w:val="000000" w:themeColor="text1"/>
                <w:sz w:val="24"/>
                <w:szCs w:val="24"/>
                <w:highlight w:val="none"/>
                <w:shd w:val="clear" w:color="auto" w:fill="auto"/>
                <w:lang w:val="en-US" w:eastAsia="zh-CN"/>
                <w14:textFill>
                  <w14:solidFill>
                    <w14:schemeClr w14:val="tx1"/>
                  </w14:solidFill>
                </w14:textFill>
              </w:rPr>
              <w:t>.项目选址合理性分析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本项目位于</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宁夏</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市</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新集乡与白阳镇交界处</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，彭沟公路西侧，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36" w:lineRule="auto"/>
              <w:ind w:left="0" w:right="0"/>
              <w:textAlignment w:val="auto"/>
              <w:rPr>
                <w:rFonts w:hint="eastAsia" w:eastAsia="仿宋_GB2312" w:cs="Times New Roman"/>
                <w:color w:val="000000" w:themeColor="text1"/>
                <w:kern w:val="16"/>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距彭阳县城4公里。项目周围市政道路交错，交通便利，有较好建设实施条件，且项目选址具有唯一性，不存在比选方案。</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项目</w:t>
            </w:r>
            <w:r>
              <w:rPr>
                <w:rFonts w:hint="eastAsia" w:eastAsia="仿宋_GB2312" w:cs="Times New Roman"/>
                <w:color w:val="000000" w:themeColor="text1"/>
                <w:kern w:val="16"/>
                <w:sz w:val="24"/>
                <w:szCs w:val="24"/>
                <w:highlight w:val="none"/>
                <w:lang w:val="en-US" w:eastAsia="zh-CN"/>
                <w14:textFill>
                  <w14:solidFill>
                    <w14:schemeClr w14:val="tx1"/>
                  </w14:solidFill>
                </w14:textFill>
              </w:rPr>
              <w:t>用地已于2025年12月16日取得彭阳县人民政府《关于白阳镇周沟村集体建设用地村企联营的批复》（彭政函</w:t>
            </w:r>
            <w:r>
              <w:rPr>
                <w:rFonts w:hint="default" w:ascii="Times New Roman" w:hAnsi="Times New Roman" w:eastAsia="仿宋_GB2312" w:cs="Times New Roman"/>
                <w:color w:val="000000" w:themeColor="text1"/>
                <w:sz w:val="24"/>
                <w:szCs w:val="22"/>
                <w:lang w:val="en-US" w:eastAsia="zh-CN"/>
                <w14:textFill>
                  <w14:solidFill>
                    <w14:schemeClr w14:val="tx1"/>
                  </w14:solidFill>
                </w14:textFill>
              </w:rPr>
              <w:t>〔202</w:t>
            </w:r>
            <w:r>
              <w:rPr>
                <w:rFonts w:hint="eastAsia" w:ascii="Times New Roman" w:hAnsi="Times New Roman" w:eastAsia="仿宋_GB2312" w:cs="Times New Roman"/>
                <w:color w:val="000000" w:themeColor="text1"/>
                <w:sz w:val="24"/>
                <w:szCs w:val="22"/>
                <w:lang w:val="en-US" w:eastAsia="zh-CN"/>
                <w14:textFill>
                  <w14:solidFill>
                    <w14:schemeClr w14:val="tx1"/>
                  </w14:solidFill>
                </w14:textFill>
              </w:rPr>
              <w:t>5</w:t>
            </w:r>
            <w:r>
              <w:rPr>
                <w:rFonts w:hint="default" w:ascii="Times New Roman" w:hAnsi="Times New Roman" w:eastAsia="仿宋_GB2312" w:cs="Times New Roman"/>
                <w:color w:val="000000" w:themeColor="text1"/>
                <w:sz w:val="24"/>
                <w:szCs w:val="22"/>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2"/>
                <w:lang w:val="en-US" w:eastAsia="zh-CN"/>
                <w14:textFill>
                  <w14:solidFill>
                    <w14:schemeClr w14:val="tx1"/>
                  </w14:solidFill>
                </w14:textFill>
              </w:rPr>
              <w:t>73</w:t>
            </w:r>
            <w:r>
              <w:rPr>
                <w:rFonts w:hint="default" w:ascii="Times New Roman" w:hAnsi="Times New Roman" w:eastAsia="仿宋_GB2312" w:cs="Times New Roman"/>
                <w:color w:val="000000" w:themeColor="text1"/>
                <w:sz w:val="24"/>
                <w:szCs w:val="22"/>
                <w:lang w:val="en-US" w:eastAsia="zh-CN"/>
                <w14:textFill>
                  <w14:solidFill>
                    <w14:schemeClr w14:val="tx1"/>
                  </w14:solidFill>
                </w14:textFill>
              </w:rPr>
              <w:t>号</w:t>
            </w:r>
            <w:r>
              <w:rPr>
                <w:rFonts w:hint="eastAsia" w:eastAsia="仿宋_GB2312" w:cs="Times New Roman"/>
                <w:color w:val="000000" w:themeColor="text1"/>
                <w:kern w:val="16"/>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，经分析符合</w:t>
            </w:r>
            <w:r>
              <w:rPr>
                <w:rFonts w:hint="eastAsia" w:eastAsia="仿宋_GB2312" w:cs="Times New Roman"/>
                <w:color w:val="000000" w:themeColor="text1"/>
                <w:kern w:val="16"/>
                <w:sz w:val="24"/>
                <w:szCs w:val="24"/>
                <w:highlight w:val="none"/>
                <w:lang w:val="en-US" w:eastAsia="zh-CN"/>
                <w14:textFill>
                  <w14:solidFill>
                    <w14:schemeClr w14:val="tx1"/>
                  </w14:solidFill>
                </w14:textFill>
              </w:rPr>
              <w:t>用地</w:t>
            </w:r>
            <w:r>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要求；结合“三线一单”符合性分析，项目选址不涉及生态保护红线，符合分区管控要求；项目的建设与《固体废物综合治理行动计划》（国发〔2025〕14号）</w:t>
            </w:r>
            <w:r>
              <w:rPr>
                <w:rFonts w:hint="eastAsia" w:eastAsia="仿宋_GB2312" w:cs="Times New Roman"/>
                <w:color w:val="000000" w:themeColor="text1"/>
                <w:kern w:val="16"/>
                <w:sz w:val="24"/>
                <w:szCs w:val="24"/>
                <w:highlight w:val="none"/>
                <w:lang w:val="en-US" w:eastAsia="zh-CN"/>
                <w14:textFill>
                  <w14:solidFill>
                    <w14:schemeClr w14:val="tx1"/>
                  </w14:solidFill>
                </w14:textFill>
              </w:rPr>
              <w:t>、《关于“十四五”大宗固体废物综合利用的指导意见》、</w:t>
            </w:r>
            <w:r>
              <w:rPr>
                <w:rFonts w:hint="eastAsia" w:eastAsia="仿宋_GB2312"/>
                <w:b w:val="0"/>
                <w:bCs w:val="0"/>
                <w:color w:val="000000" w:themeColor="text1"/>
                <w:kern w:val="16"/>
                <w:sz w:val="24"/>
                <w:szCs w:val="24"/>
                <w:highlight w:val="none"/>
                <w:lang w:val="en-US" w:eastAsia="zh-CN"/>
                <w14:textFill>
                  <w14:solidFill>
                    <w14:schemeClr w14:val="tx1"/>
                  </w14:solidFill>
                </w14:textFill>
              </w:rPr>
              <w:t>《建筑垃圾污染控制技术规范》（HJ 1462—2026）</w:t>
            </w:r>
            <w:r>
              <w:rPr>
                <w:rFonts w:hint="eastAsia" w:eastAsia="仿宋_GB2312" w:cs="Times New Roman"/>
                <w:color w:val="000000" w:themeColor="text1"/>
                <w:kern w:val="16"/>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《宁夏回族自治区生态环境保护“十四五”规划》和</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w:t>
            </w:r>
            <w:r>
              <w:rPr>
                <w:rFonts w:hint="eastAsia"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市生态环境保护“十四五”规划》</w:t>
            </w:r>
            <w:r>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等文件要求相符</w:t>
            </w:r>
            <w:r>
              <w:rPr>
                <w:rFonts w:hint="eastAsia" w:eastAsia="仿宋_GB2312" w:cs="Times New Roman"/>
                <w:color w:val="000000" w:themeColor="text1"/>
                <w:kern w:val="16"/>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综上，本项目选址合理可行。</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仿宋_GB2312" w:cs="Times New Roman"/>
                <w:color w:val="FF0000"/>
                <w:kern w:val="16"/>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仿宋_GB2312" w:cs="Times New Roman"/>
                <w:color w:val="FF0000"/>
                <w:kern w:val="16"/>
                <w:sz w:val="24"/>
                <w:szCs w:val="24"/>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36" w:lineRule="auto"/>
              <w:ind w:left="0" w:right="0" w:firstLine="0" w:firstLineChars="0"/>
              <w:textAlignment w:val="auto"/>
              <w:rPr>
                <w:rFonts w:hint="default" w:ascii="Times New Roman" w:hAnsi="Times New Roman" w:cs="Times New Roman"/>
                <w:color w:val="FF0000"/>
                <w:szCs w:val="22"/>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99"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tc>
        <w:tc>
          <w:tcPr>
            <w:tcW w:w="8132" w:type="dxa"/>
            <w:gridSpan w:val="3"/>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FF000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24"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tc>
        <w:tc>
          <w:tcPr>
            <w:tcW w:w="8132" w:type="dxa"/>
            <w:gridSpan w:val="3"/>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FF000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34"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tc>
        <w:tc>
          <w:tcPr>
            <w:tcW w:w="8132" w:type="dxa"/>
            <w:gridSpan w:val="3"/>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FF000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94" w:hRule="atLeast"/>
          <w:jc w:val="center"/>
        </w:trPr>
        <w:tc>
          <w:tcPr>
            <w:tcW w:w="12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其他符合性分析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FF0000"/>
                <w:sz w:val="24"/>
                <w:szCs w:val="24"/>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tc>
        <w:tc>
          <w:tcPr>
            <w:tcW w:w="8132" w:type="dxa"/>
            <w:gridSpan w:val="3"/>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FF0000"/>
                <w:highlight w:val="none"/>
                <w:lang w:val="en-US" w:eastAsia="zh-CN"/>
              </w:rPr>
            </w:pPr>
          </w:p>
        </w:tc>
      </w:tr>
    </w:tbl>
    <w:p>
      <w:pPr>
        <w:pStyle w:val="28"/>
        <w:pageBreakBefore w:val="0"/>
        <w:kinsoku/>
        <w:wordWrap/>
        <w:topLinePunct w:val="0"/>
        <w:bidi w:val="0"/>
        <w:adjustRightInd w:val="0"/>
        <w:snapToGrid w:val="0"/>
        <w:jc w:val="center"/>
        <w:rPr>
          <w:rFonts w:hint="default" w:ascii="Times New Roman" w:hAnsi="Times New Roman" w:eastAsia="黑体" w:cs="Times New Roman"/>
          <w:b/>
          <w:bCs/>
          <w:color w:val="auto"/>
          <w:sz w:val="30"/>
          <w:szCs w:val="30"/>
          <w:highlight w:val="none"/>
        </w:rPr>
        <w:sectPr>
          <w:headerReference r:id="rId6" w:type="default"/>
          <w:footerReference r:id="rId8" w:type="default"/>
          <w:headerReference r:id="rId7" w:type="even"/>
          <w:footerReference r:id="rId9" w:type="even"/>
          <w:pgSz w:w="11905" w:h="16838"/>
          <w:pgMar w:top="1701" w:right="1417" w:bottom="1701" w:left="1417" w:header="1247" w:footer="1247" w:gutter="0"/>
          <w:pgBorders>
            <w:top w:val="none" w:sz="0" w:space="0"/>
            <w:left w:val="none" w:sz="0" w:space="0"/>
            <w:bottom w:val="none" w:sz="0" w:space="0"/>
            <w:right w:val="none" w:sz="0" w:space="0"/>
          </w:pgBorders>
          <w:pgNumType w:fmt="decimal" w:start="1"/>
          <w:cols w:space="0" w:num="1"/>
          <w:rtlGutter w:val="0"/>
          <w:docGrid w:linePitch="312" w:charSpace="0"/>
        </w:sectPr>
      </w:pPr>
    </w:p>
    <w:p>
      <w:pPr>
        <w:pStyle w:val="4"/>
        <w:pageBreakBefore w:val="0"/>
        <w:kinsoku/>
        <w:wordWrap/>
        <w:topLinePunct w:val="0"/>
        <w:bidi w:val="0"/>
        <w:adjustRightInd w:val="0"/>
        <w:snapToGrid w:val="0"/>
        <w:jc w:val="center"/>
        <w:rPr>
          <w:rFonts w:hint="default" w:ascii="Times New Roman" w:hAnsi="Times New Roman" w:eastAsia="黑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二、</w:t>
      </w:r>
      <w:r>
        <w:rPr>
          <w:rFonts w:hint="default" w:ascii="Times New Roman" w:hAnsi="Times New Roman" w:cs="Times New Roman"/>
          <w:color w:val="000000" w:themeColor="text1"/>
          <w:highlight w:val="none"/>
          <w14:textFill>
            <w14:solidFill>
              <w14:schemeClr w14:val="tx1"/>
            </w14:solidFill>
          </w14:textFill>
        </w:rPr>
        <w:t>建设项目</w:t>
      </w:r>
      <w:r>
        <w:rPr>
          <w:rFonts w:hint="default" w:ascii="Times New Roman" w:hAnsi="Times New Roman" w:cs="Times New Roman"/>
          <w:color w:val="000000" w:themeColor="text1"/>
          <w:highlight w:val="none"/>
          <w:lang w:eastAsia="zh-CN"/>
          <w14:textFill>
            <w14:solidFill>
              <w14:schemeClr w14:val="tx1"/>
            </w14:solidFill>
          </w14:textFill>
        </w:rPr>
        <w:t>工程分析</w:t>
      </w:r>
    </w:p>
    <w:tbl>
      <w:tblPr>
        <w:tblStyle w:val="37"/>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6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69" w:hRule="atLeast"/>
          <w:jc w:val="center"/>
        </w:trPr>
        <w:tc>
          <w:tcPr>
            <w:tcW w:w="75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cs="Times New Roman"/>
                <w:color w:val="000000" w:themeColor="text1"/>
                <w:szCs w:val="22"/>
                <w:highlight w:val="none"/>
                <w:lang w:eastAsia="zh-CN"/>
                <w14:textFill>
                  <w14:solidFill>
                    <w14:schemeClr w14:val="tx1"/>
                  </w14:solidFill>
                </w14:textFill>
              </w:rPr>
              <w:br w:type="page"/>
            </w:r>
            <w:bookmarkStart w:id="2" w:name="_Toc20711_WPSOffice_Level2"/>
            <w:bookmarkStart w:id="3" w:name="_Toc18168"/>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bookmarkEnd w:id="2"/>
            <w:bookmarkEnd w:id="3"/>
          </w:p>
        </w:tc>
        <w:tc>
          <w:tcPr>
            <w:tcW w:w="8602" w:type="dxa"/>
            <w:vMerge w:val="restart"/>
            <w:vAlign w:val="center"/>
          </w:tcPr>
          <w:p>
            <w:pPr>
              <w:pStyle w:val="10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textAlignment w:val="baseline"/>
              <w:rPr>
                <w:rFonts w:hint="default" w:ascii="Times New Roman" w:hAnsi="Times New Roman" w:eastAsia="仿宋_GB2312"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仿宋_GB2312" w:cs="Times New Roman"/>
                <w:b/>
                <w:color w:val="000000" w:themeColor="text1"/>
                <w:kern w:val="2"/>
                <w:sz w:val="24"/>
                <w:szCs w:val="22"/>
                <w:highlight w:val="none"/>
                <w:lang w:val="en-US" w:eastAsia="zh-CN" w:bidi="ar-SA"/>
                <w14:textFill>
                  <w14:solidFill>
                    <w14:schemeClr w14:val="tx1"/>
                  </w14:solidFill>
                </w14:textFill>
              </w:rPr>
              <w:t>1.</w:t>
            </w:r>
            <w:r>
              <w:rPr>
                <w:rFonts w:hint="default" w:ascii="Times New Roman" w:hAnsi="Times New Roman" w:eastAsia="仿宋_GB2312" w:cs="Times New Roman"/>
                <w:color w:val="000000" w:themeColor="text1"/>
                <w:szCs w:val="22"/>
                <w:highlight w:val="none"/>
                <w:lang w:val="en-US" w:eastAsia="zh-CN"/>
                <w14:textFill>
                  <w14:solidFill>
                    <w14:schemeClr w14:val="tx1"/>
                  </w14:solidFill>
                </w14:textFill>
              </w:rPr>
              <w:t>项目背景</w:t>
            </w:r>
          </w:p>
          <w:p>
            <w:pPr>
              <w:pStyle w:val="103"/>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0" w:firstLineChars="200"/>
              <w:jc w:val="both"/>
              <w:textAlignment w:val="baseline"/>
              <w:rPr>
                <w:rFonts w:hint="default" w:ascii="Times New Roman" w:hAnsi="Times New Roman" w:eastAsia="仿宋_GB2312" w:cs="Times New Roman"/>
                <w:b w:val="0"/>
                <w:color w:val="000000" w:themeColor="text1"/>
                <w:kern w:val="16"/>
                <w:szCs w:val="24"/>
                <w:highlight w:val="none"/>
                <w:lang w:val="en-US" w:eastAsia="zh-CN" w:bidi="ar"/>
                <w14:textFill>
                  <w14:solidFill>
                    <w14:schemeClr w14:val="tx1"/>
                  </w14:solidFill>
                </w14:textFill>
              </w:rPr>
            </w:pPr>
            <w:r>
              <w:rPr>
                <w:rFonts w:hint="default" w:ascii="Times New Roman" w:hAnsi="Times New Roman" w:eastAsia="仿宋_GB2312" w:cs="Times New Roman"/>
                <w:b w:val="0"/>
                <w:color w:val="000000" w:themeColor="text1"/>
                <w:kern w:val="16"/>
                <w:szCs w:val="24"/>
                <w:highlight w:val="none"/>
                <w:lang w:val="en-US" w:eastAsia="zh-CN" w:bidi="ar"/>
                <w14:textFill>
                  <w14:solidFill>
                    <w14:schemeClr w14:val="tx1"/>
                  </w14:solidFill>
                </w14:textFill>
              </w:rPr>
              <w:t>近年来，在“双碳”目标引领下，中国相继出台了一系列政策，明确要求到2025年地级及以上城市建筑垃圾资源化利用率达到60%，从而为行业提供了明确的政策导向。资源化利用不仅有助于缓解天然砂石等建材资源的短缺压力，还能减少碳排放、节约土地资源，形成环境效益与经济效益的双赢。技术上，通过智能分选、破碎筛分等工艺，建筑垃圾可转化为再生骨料、再生砖等建材，用于道路建设和建筑工程；模式上，“就地处理+原位利用”与产业园集中处理等创新模式也在逐步推广。目前彭阳县城市建设、拆迁带来大量的建筑垃圾无统一的再生利用、填埋堆放场地，建筑垃圾的回收利用率较低，采用露天堆放或贮存的方式进行处理，耗用大量的土地</w:t>
            </w:r>
            <w:r>
              <w:rPr>
                <w:rFonts w:hint="eastAsia" w:eastAsia="仿宋_GB2312" w:cs="Times New Roman"/>
                <w:b w:val="0"/>
                <w:color w:val="000000" w:themeColor="text1"/>
                <w:kern w:val="16"/>
                <w:szCs w:val="24"/>
                <w:highlight w:val="none"/>
                <w:lang w:val="en-US" w:eastAsia="zh-CN" w:bidi="ar"/>
                <w14:textFill>
                  <w14:solidFill>
                    <w14:schemeClr w14:val="tx1"/>
                  </w14:solidFill>
                </w14:textFill>
              </w:rPr>
              <w:t>，</w:t>
            </w:r>
            <w:r>
              <w:rPr>
                <w:rFonts w:hint="default" w:ascii="Times New Roman" w:hAnsi="Times New Roman" w:eastAsia="仿宋_GB2312" w:cs="Times New Roman"/>
                <w:b w:val="0"/>
                <w:color w:val="000000" w:themeColor="text1"/>
                <w:kern w:val="16"/>
                <w:szCs w:val="24"/>
                <w:highlight w:val="none"/>
                <w:lang w:val="en-US" w:eastAsia="zh-CN" w:bidi="ar"/>
                <w14:textFill>
                  <w14:solidFill>
                    <w14:schemeClr w14:val="tx1"/>
                  </w14:solidFill>
                </w14:textFill>
              </w:rPr>
              <w:t>同时，清运和堆放过程中的遗撒和粉尘等问题又</w:t>
            </w:r>
            <w:r>
              <w:rPr>
                <w:rFonts w:hint="default" w:ascii="Times New Roman" w:hAnsi="Times New Roman" w:eastAsia="仿宋_GB2312" w:cs="Times New Roman"/>
                <w:b w:val="0"/>
                <w:strike w:val="0"/>
                <w:dstrike w:val="0"/>
                <w:color w:val="000000" w:themeColor="text1"/>
                <w:kern w:val="16"/>
                <w:szCs w:val="24"/>
                <w:highlight w:val="none"/>
                <w:lang w:val="en-US" w:eastAsia="zh-CN" w:bidi="ar"/>
                <w14:textFill>
                  <w14:solidFill>
                    <w14:schemeClr w14:val="tx1"/>
                  </w14:solidFill>
                </w14:textFill>
              </w:rPr>
              <w:t>对周边环境造成不利影响</w:t>
            </w:r>
            <w:r>
              <w:rPr>
                <w:rFonts w:hint="default" w:ascii="Times New Roman" w:hAnsi="Times New Roman" w:eastAsia="仿宋_GB2312" w:cs="Times New Roman"/>
                <w:b w:val="0"/>
                <w:color w:val="000000" w:themeColor="text1"/>
                <w:kern w:val="16"/>
                <w:szCs w:val="24"/>
                <w:highlight w:val="none"/>
                <w:lang w:val="en-US" w:eastAsia="zh-CN" w:bidi="ar"/>
                <w14:textFill>
                  <w14:solidFill>
                    <w14:schemeClr w14:val="tx1"/>
                  </w14:solidFill>
                </w14:textFill>
              </w:rPr>
              <w:t>。</w:t>
            </w:r>
          </w:p>
          <w:p>
            <w:pPr>
              <w:pStyle w:val="103"/>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0" w:firstLineChars="200"/>
              <w:jc w:val="both"/>
              <w:textAlignment w:val="baseline"/>
              <w:rPr>
                <w:rFonts w:hint="eastAsia" w:ascii="Times New Roman" w:hAnsi="Times New Roman" w:eastAsia="仿宋_GB2312" w:cs="Times New Roman"/>
                <w:b w:val="0"/>
                <w:color w:val="000000" w:themeColor="text1"/>
                <w:kern w:val="16"/>
                <w:szCs w:val="24"/>
                <w:highlight w:val="none"/>
                <w:lang w:val="en-US" w:eastAsia="zh-CN" w:bidi="ar"/>
                <w14:textFill>
                  <w14:solidFill>
                    <w14:schemeClr w14:val="tx1"/>
                  </w14:solidFill>
                </w14:textFill>
              </w:rPr>
            </w:pPr>
            <w:r>
              <w:rPr>
                <w:rFonts w:hint="default" w:ascii="Times New Roman" w:hAnsi="Times New Roman" w:eastAsia="仿宋_GB2312" w:cs="Times New Roman"/>
                <w:b w:val="0"/>
                <w:color w:val="000000" w:themeColor="text1"/>
                <w:kern w:val="16"/>
                <w:szCs w:val="24"/>
                <w:highlight w:val="none"/>
                <w:lang w:val="en-US" w:eastAsia="zh-CN" w:bidi="ar"/>
                <w14:textFill>
                  <w14:solidFill>
                    <w14:schemeClr w14:val="tx1"/>
                  </w14:solidFill>
                </w14:textFill>
              </w:rPr>
              <w:t>为此，建设单位经过充分市场考察与调研</w:t>
            </w:r>
            <w:r>
              <w:rPr>
                <w:rFonts w:hint="eastAsia" w:eastAsia="仿宋_GB2312" w:cs="Times New Roman"/>
                <w:b w:val="0"/>
                <w:color w:val="000000" w:themeColor="text1"/>
                <w:kern w:val="16"/>
                <w:szCs w:val="24"/>
                <w:highlight w:val="none"/>
                <w:lang w:val="en-US" w:eastAsia="zh-CN" w:bidi="ar"/>
                <w14:textFill>
                  <w14:solidFill>
                    <w14:schemeClr w14:val="tx1"/>
                  </w14:solidFill>
                </w14:textFill>
              </w:rPr>
              <w:t>，为解决以上问题，拟在</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市</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新集乡与白阳镇交界处建设“彭阳县建筑垃圾资源化利用项目”</w:t>
            </w:r>
            <w:r>
              <w:rPr>
                <w:rFonts w:hint="eastAsia" w:ascii="Times New Roman" w:hAnsi="Times New Roman" w:eastAsia="仿宋_GB2312" w:cs="Times New Roman"/>
                <w:b w:val="0"/>
                <w:color w:val="000000" w:themeColor="text1"/>
                <w:kern w:val="16"/>
                <w:szCs w:val="24"/>
                <w:highlight w:val="none"/>
                <w:lang w:val="en-US" w:eastAsia="zh-CN" w:bidi="ar"/>
                <w14:textFill>
                  <w14:solidFill>
                    <w14:schemeClr w14:val="tx1"/>
                  </w14:solidFill>
                </w14:textFill>
              </w:rPr>
              <w:t>。</w:t>
            </w:r>
          </w:p>
          <w:p>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textAlignment w:val="baseline"/>
              <w:rPr>
                <w:rFonts w:hint="default" w:ascii="Times New Roman" w:hAnsi="Times New Roman" w:eastAsia="仿宋_GB2312"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Cs w:val="22"/>
                <w:highlight w:val="none"/>
                <w:lang w:val="en-US" w:eastAsia="zh-CN"/>
                <w14:textFill>
                  <w14:solidFill>
                    <w14:schemeClr w14:val="tx1"/>
                  </w14:solidFill>
                </w14:textFill>
              </w:rPr>
              <w:t>2.本项目工程组成情况</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w:t>
            </w:r>
            <w:r>
              <w:rPr>
                <w:rFonts w:hint="default" w:ascii="Times New Roman" w:hAnsi="Times New Roman" w:eastAsia="仿宋_GB2312"/>
                <w:color w:val="000000" w:themeColor="text1"/>
                <w:kern w:val="16"/>
                <w:highlight w:val="none"/>
                <w:lang w:bidi="ar"/>
                <w14:textFill>
                  <w14:solidFill>
                    <w14:schemeClr w14:val="tx1"/>
                  </w14:solidFill>
                </w14:textFill>
              </w:rPr>
              <w:t>服务范围为彭阳县城区及下辖古城镇、白阳镇、红河镇、城阳乡、新集乡和草庙乡（以下简称“三镇三乡”）。处理对象</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为</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彭阳县三镇三乡区域内的</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建筑施工垃圾（</w:t>
            </w:r>
            <w:r>
              <w:rPr>
                <w:rFonts w:hint="eastAsia" w:ascii="Times New Roman" w:hAnsi="Times New Roman" w:eastAsia="仿宋_GB2312"/>
                <w:color w:val="000000" w:themeColor="text1"/>
                <w:kern w:val="16"/>
                <w:highlight w:val="none"/>
                <w:lang w:bidi="ar"/>
                <w14:textFill>
                  <w14:solidFill>
                    <w14:schemeClr w14:val="tx1"/>
                  </w14:solidFill>
                </w14:textFill>
              </w:rPr>
              <w:t>占本项目建筑垃圾原料来源比例约20%</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）、建筑物拆除垃圾（</w:t>
            </w:r>
            <w:r>
              <w:rPr>
                <w:rFonts w:hint="eastAsia" w:ascii="Times New Roman" w:hAnsi="Times New Roman" w:eastAsia="仿宋_GB2312"/>
                <w:color w:val="000000" w:themeColor="text1"/>
                <w:kern w:val="16"/>
                <w:highlight w:val="none"/>
                <w:lang w:bidi="ar"/>
                <w14:textFill>
                  <w14:solidFill>
                    <w14:schemeClr w14:val="tx1"/>
                  </w14:solidFill>
                </w14:textFill>
              </w:rPr>
              <w:t>占本项目建筑垃圾原料来源比例约</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7</w:t>
            </w:r>
            <w:r>
              <w:rPr>
                <w:rFonts w:hint="eastAsia" w:ascii="Times New Roman" w:hAnsi="Times New Roman" w:eastAsia="仿宋_GB2312"/>
                <w:color w:val="000000" w:themeColor="text1"/>
                <w:kern w:val="16"/>
                <w:highlight w:val="none"/>
                <w:lang w:bidi="ar"/>
                <w14:textFill>
                  <w14:solidFill>
                    <w14:schemeClr w14:val="tx1"/>
                  </w14:solidFill>
                </w14:textFill>
              </w:rPr>
              <w:t>0%</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）和道路开发垃圾（</w:t>
            </w:r>
            <w:r>
              <w:rPr>
                <w:rFonts w:hint="eastAsia" w:ascii="Times New Roman" w:hAnsi="Times New Roman" w:eastAsia="仿宋_GB2312"/>
                <w:color w:val="000000" w:themeColor="text1"/>
                <w:kern w:val="16"/>
                <w:highlight w:val="none"/>
                <w:lang w:bidi="ar"/>
                <w14:textFill>
                  <w14:solidFill>
                    <w14:schemeClr w14:val="tx1"/>
                  </w14:solidFill>
                </w14:textFill>
              </w:rPr>
              <w:t>占本项目建筑垃圾原料来源比例约</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1</w:t>
            </w:r>
            <w:r>
              <w:rPr>
                <w:rFonts w:hint="eastAsia" w:ascii="Times New Roman" w:hAnsi="Times New Roman" w:eastAsia="仿宋_GB2312"/>
                <w:color w:val="000000" w:themeColor="text1"/>
                <w:kern w:val="16"/>
                <w:highlight w:val="none"/>
                <w:lang w:bidi="ar"/>
                <w14:textFill>
                  <w14:solidFill>
                    <w14:schemeClr w14:val="tx1"/>
                  </w14:solidFill>
                </w14:textFill>
              </w:rPr>
              <w:t>0%</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）。基于此，本项目</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新建年处置规模约15万吨的建筑垃圾模块化可搬运型再生线（其中处置拆除建筑</w:t>
            </w:r>
            <w:r>
              <w:rPr>
                <w:rFonts w:hint="eastAsia" w:ascii="Times New Roman" w:hAnsi="Times New Roman" w:eastAsia="仿宋_GB2312" w:cs="Times New Roman"/>
                <w:strike w:val="0"/>
                <w:dstrike w:val="0"/>
                <w:color w:val="000000" w:themeColor="text1"/>
                <w:kern w:val="16"/>
                <w:sz w:val="24"/>
                <w:szCs w:val="24"/>
                <w:highlight w:val="none"/>
                <w:lang w:val="en-US" w:eastAsia="zh-CN" w:bidi="ar"/>
                <w14:textFill>
                  <w14:solidFill>
                    <w14:schemeClr w14:val="tx1"/>
                  </w14:solidFill>
                </w14:textFill>
              </w:rPr>
              <w:t>垃圾</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14万吨/年，处置装修垃圾1万吨/年）</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。基于彭阳县建筑垃圾综合利用工艺，结合当地对于道路和市政工程用建筑材料的需求，利用处置建筑垃圾产生的原料，</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建设</w:t>
            </w:r>
            <w:r>
              <w:rPr>
                <w:rFonts w:hint="default" w:ascii="Times New Roman" w:hAnsi="Times New Roman" w:eastAsia="仿宋_GB2312" w:cs="Times New Roman"/>
                <w:strike w:val="0"/>
                <w:dstrike w:val="0"/>
                <w:color w:val="000000" w:themeColor="text1"/>
                <w:kern w:val="16"/>
                <w:sz w:val="24"/>
                <w:szCs w:val="24"/>
                <w:highlight w:val="none"/>
                <w:lang w:val="en-US" w:eastAsia="zh-CN" w:bidi="ar"/>
                <w14:textFill>
                  <w14:solidFill>
                    <w14:schemeClr w14:val="tx1"/>
                  </w14:solidFill>
                </w14:textFill>
              </w:rPr>
              <w:t>总和</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年产约15.5万m</w:t>
            </w:r>
            <w:r>
              <w:rPr>
                <w:rFonts w:hint="default" w:ascii="Times New Roman" w:hAnsi="Times New Roman" w:eastAsia="仿宋_GB2312" w:cs="Times New Roman"/>
                <w:color w:val="000000" w:themeColor="text1"/>
                <w:kern w:val="16"/>
                <w:sz w:val="24"/>
                <w:szCs w:val="24"/>
                <w:highlight w:val="none"/>
                <w:vertAlign w:val="superscript"/>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的再生混凝土制品生产线1条</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建设水泥稳定基再生骨料无机混合料（</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以下</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简称水稳料）移动式模块化生产线1条，形成水稳料产能14.5万吨/年</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并配套建设</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建筑垃圾原料储存、供水配电以及各项安全、自动化控制、办公与生活公共配套服务设施</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以及</w:t>
            </w:r>
            <w:r>
              <w:rPr>
                <w:rFonts w:hint="default"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环保处理</w:t>
            </w:r>
            <w:r>
              <w:rPr>
                <w:rFonts w:hint="eastAsia" w:ascii="Times New Roman" w:hAnsi="Times New Roman" w:eastAsia="仿宋_GB2312" w:cs="Times New Roman"/>
                <w:b w:val="0"/>
                <w:bCs w:val="0"/>
                <w:color w:val="000000" w:themeColor="text1"/>
                <w:sz w:val="24"/>
                <w:szCs w:val="24"/>
                <w:highlight w:val="none"/>
                <w:shd w:val="clear" w:color="auto" w:fill="auto"/>
                <w:lang w:val="en-US" w:eastAsia="zh-CN"/>
                <w14:textFill>
                  <w14:solidFill>
                    <w14:schemeClr w14:val="tx1"/>
                  </w14:solidFill>
                </w14:textFill>
              </w:rPr>
              <w:t>系统。</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具体工程组成内容详见下表2-1。</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2-1</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w:t>
            </w:r>
            <w:r>
              <w:rPr>
                <w:rFonts w:hint="eastAsia" w:ascii="Times New Roman" w:hAnsi="Times New Roman" w:cs="Times New Roman"/>
                <w:b/>
                <w:bCs/>
                <w:color w:val="000000" w:themeColor="text1"/>
                <w:kern w:val="2"/>
                <w:sz w:val="24"/>
                <w:szCs w:val="22"/>
                <w:highlight w:val="none"/>
                <w:lang w:val="en-US" w:eastAsia="zh-CN" w:bidi="ar"/>
                <w14:textFill>
                  <w14:solidFill>
                    <w14:schemeClr w14:val="tx1"/>
                  </w14:solidFill>
                </w14:textFill>
              </w:rPr>
              <w:t xml:space="preserve"> </w:t>
            </w:r>
            <w:r>
              <w:rPr>
                <w:rFonts w:hint="default" w:ascii="Times New Roman" w:hAnsi="Times New Roman" w:cs="Times New Roman"/>
                <w:b/>
                <w:bCs/>
                <w:color w:val="000000" w:themeColor="text1"/>
                <w:kern w:val="2"/>
                <w:sz w:val="24"/>
                <w:szCs w:val="22"/>
                <w:highlight w:val="none"/>
                <w:lang w:val="en-US" w:eastAsia="zh-CN" w:bidi="ar"/>
                <w14:textFill>
                  <w14:solidFill>
                    <w14:schemeClr w14:val="tx1"/>
                  </w14:solidFill>
                </w14:textFill>
              </w:rPr>
              <w:t>本项目</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工程组成情况一览表</w:t>
            </w:r>
          </w:p>
          <w:tbl>
            <w:tblPr>
              <w:tblStyle w:val="37"/>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11"/>
              <w:gridCol w:w="1322"/>
              <w:gridCol w:w="1274"/>
              <w:gridCol w:w="350"/>
              <w:gridCol w:w="225"/>
              <w:gridCol w:w="1850"/>
              <w:gridCol w:w="25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444" w:hRule="atLeast"/>
                <w:tblHeader/>
                <w:jc w:val="center"/>
              </w:trPr>
              <w:tc>
                <w:tcPr>
                  <w:tcW w:w="811"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val="0"/>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eastAsia="宋体" w:cs="Times New Roman"/>
                      <w:b/>
                      <w:bCs w:val="0"/>
                      <w:color w:val="000000" w:themeColor="text1"/>
                      <w:kern w:val="2"/>
                      <w:sz w:val="21"/>
                      <w:szCs w:val="20"/>
                      <w:highlight w:val="none"/>
                      <w:lang w:val="en-US" w:eastAsia="zh-CN" w:bidi="ar"/>
                      <w14:textFill>
                        <w14:solidFill>
                          <w14:schemeClr w14:val="tx1"/>
                        </w14:solidFill>
                      </w14:textFill>
                    </w:rPr>
                    <w:t>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bCs w:val="0"/>
                      <w:color w:val="000000" w:themeColor="text1"/>
                      <w:szCs w:val="22"/>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
                      <w:sz w:val="21"/>
                      <w:szCs w:val="20"/>
                      <w:highlight w:val="none"/>
                      <w:lang w:val="en-US" w:eastAsia="zh-CN" w:bidi="ar"/>
                      <w14:textFill>
                        <w14:solidFill>
                          <w14:schemeClr w14:val="tx1"/>
                        </w14:solidFill>
                      </w14:textFill>
                    </w:rPr>
                    <w:t>类别</w:t>
                  </w: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bCs w:val="0"/>
                      <w:color w:val="000000" w:themeColor="text1"/>
                      <w:szCs w:val="22"/>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
                      <w:sz w:val="21"/>
                      <w:szCs w:val="20"/>
                      <w:highlight w:val="none"/>
                      <w:lang w:val="en-US" w:eastAsia="zh-CN" w:bidi="ar"/>
                      <w14:textFill>
                        <w14:solidFill>
                          <w14:schemeClr w14:val="tx1"/>
                        </w14:solidFill>
                      </w14:textFill>
                    </w:rPr>
                    <w:t>项目内容</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bCs w:val="0"/>
                      <w:color w:val="000000" w:themeColor="text1"/>
                      <w:szCs w:val="22"/>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
                      <w:sz w:val="21"/>
                      <w:szCs w:val="20"/>
                      <w:highlight w:val="none"/>
                      <w:lang w:val="en-US" w:eastAsia="zh-CN" w:bidi="ar"/>
                      <w14:textFill>
                        <w14:solidFill>
                          <w14:schemeClr w14:val="tx1"/>
                        </w14:solidFill>
                      </w14:textFill>
                    </w:rPr>
                    <w:t>项目组成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37" w:hRule="atLeast"/>
                <w:tblHeader/>
                <w:jc w:val="center"/>
              </w:trPr>
              <w:tc>
                <w:tcPr>
                  <w:tcW w:w="811"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bCs/>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t>主体工程</w:t>
                  </w:r>
                </w:p>
              </w:tc>
              <w:tc>
                <w:tcPr>
                  <w:tcW w:w="1322"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建筑垃圾再生利用车间</w:t>
                  </w:r>
                </w:p>
              </w:tc>
              <w:tc>
                <w:tcPr>
                  <w:tcW w:w="1624" w:type="dxa"/>
                  <w:gridSpan w:val="2"/>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default" w:ascii="Times New Roman" w:hAnsi="Times New Roman" w:eastAsia="宋体" w:cs="Times New Roman"/>
                      <w:b/>
                      <w:bCs w:val="0"/>
                      <w:color w:val="000000" w:themeColor="text1"/>
                      <w:kern w:val="2"/>
                      <w:sz w:val="21"/>
                      <w:szCs w:val="20"/>
                      <w:highlight w:val="none"/>
                      <w:lang w:val="en-US" w:eastAsia="zh-CN" w:bidi="ar"/>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1F，门钢结构，建筑高度10.3m，建筑面积5314.70</w:t>
                  </w:r>
                  <w:r>
                    <w:rPr>
                      <w:rFonts w:hint="default" w:ascii="Times New Roman" w:hAnsi="Times New Roman" w:cs="Times New Roman"/>
                      <w:color w:val="000000" w:themeColor="text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cs="Times New Roman"/>
                      <w:color w:val="000000" w:themeColor="text1"/>
                      <w:szCs w:val="21"/>
                      <w:highlight w:val="none"/>
                      <w:vertAlign w:val="baseline"/>
                      <w:lang w:val="en-US" w:eastAsia="zh-CN"/>
                      <w14:textFill>
                        <w14:solidFill>
                          <w14:schemeClr w14:val="tx1"/>
                        </w14:solidFill>
                      </w14:textFill>
                    </w:rPr>
                    <w:t>。</w:t>
                  </w:r>
                </w:p>
              </w:tc>
              <w:tc>
                <w:tcPr>
                  <w:tcW w:w="4633"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b/>
                      <w:bCs/>
                      <w:color w:val="000000" w:themeColor="text1"/>
                      <w:szCs w:val="22"/>
                      <w:highlight w:val="none"/>
                      <w:lang w:val="en-US" w:eastAsia="zh-CN"/>
                      <w14:textFill>
                        <w14:solidFill>
                          <w14:schemeClr w14:val="tx1"/>
                        </w14:solidFill>
                      </w14:textFill>
                    </w:rPr>
                    <w:t>建筑垃圾预处理车间：</w:t>
                  </w:r>
                  <w:r>
                    <w:rPr>
                      <w:rFonts w:hint="eastAsia" w:cs="Times New Roman"/>
                      <w:color w:val="000000" w:themeColor="text1"/>
                      <w:szCs w:val="22"/>
                      <w:highlight w:val="none"/>
                      <w:lang w:val="en-US" w:eastAsia="zh-CN"/>
                      <w14:textFill>
                        <w14:solidFill>
                          <w14:schemeClr w14:val="tx1"/>
                        </w14:solidFill>
                      </w14:textFill>
                    </w:rPr>
                    <w:t>建筑、装饰垃圾原料由封闭型环保运输车辆运至厂区原料堆场。在车间内由工程机械或人工将粒度较大的块状物料，大型门窗，金属制品，生活垃圾，棉被织物等进行粗分拣。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37" w:hRule="atLeast"/>
                <w:tblHeader/>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szCs w:val="22"/>
                    </w:rPr>
                  </w:pPr>
                </w:p>
              </w:tc>
              <w:tc>
                <w:tcPr>
                  <w:tcW w:w="1624"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szCs w:val="22"/>
                    </w:rPr>
                  </w:pPr>
                </w:p>
              </w:tc>
              <w:tc>
                <w:tcPr>
                  <w:tcW w:w="4633"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b/>
                      <w:bCs/>
                      <w:color w:val="000000" w:themeColor="text1"/>
                      <w:szCs w:val="22"/>
                      <w:highlight w:val="none"/>
                      <w:lang w:val="en-US" w:eastAsia="zh-CN"/>
                      <w14:textFill>
                        <w14:solidFill>
                          <w14:schemeClr w14:val="tx1"/>
                        </w14:solidFill>
                      </w14:textFill>
                    </w:rPr>
                    <w:t>建筑垃圾再生线</w:t>
                  </w:r>
                  <w:r>
                    <w:rPr>
                      <w:rFonts w:hint="eastAsia" w:cs="Times New Roman"/>
                      <w:color w:val="000000" w:themeColor="text1"/>
                      <w:szCs w:val="22"/>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产能：项目设计年处理能力15万吨。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主要设施：履带移动式重型筛分机、重型振动给料机、颚式破碎机、履带移动式反击破碎机、风选机等。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工艺简述：粗分拣后的建筑垃圾先经过一次除土和一次破碎，通过人工分拣后进行二次破碎；二次破碎后的物料通过二次除土后进入风选机处理后得到较为清洁的建筑垃圾再生骨料，再生骨料进入骨料暂存仓或进行成品分级筛分再转运至暂存仓，用于下游水稳料和再生混凝土制品资源化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237" w:hRule="atLeast"/>
                <w:tblHeader/>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624"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4633"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right="0"/>
                    <w:jc w:val="both"/>
                    <w:textAlignment w:val="auto"/>
                    <w:rPr>
                      <w:rFonts w:hint="eastAsia" w:cs="Times New Roman"/>
                      <w:b/>
                      <w:bCs/>
                      <w:color w:val="000000" w:themeColor="text1"/>
                      <w:szCs w:val="22"/>
                      <w:highlight w:val="none"/>
                      <w:lang w:val="en-US" w:eastAsia="zh-CN"/>
                      <w14:textFill>
                        <w14:solidFill>
                          <w14:schemeClr w14:val="tx1"/>
                        </w14:solidFill>
                      </w14:textFill>
                    </w:rPr>
                  </w:pPr>
                  <w:r>
                    <w:rPr>
                      <w:rFonts w:hint="eastAsia" w:cs="Times New Roman"/>
                      <w:b/>
                      <w:bCs/>
                      <w:color w:val="000000" w:themeColor="text1"/>
                      <w:szCs w:val="22"/>
                      <w:highlight w:val="none"/>
                      <w:lang w:val="en-US" w:eastAsia="zh-CN"/>
                      <w14:textFill>
                        <w14:solidFill>
                          <w14:schemeClr w14:val="tx1"/>
                        </w14:solidFill>
                      </w14:textFill>
                    </w:rPr>
                    <w:t>再生混凝土制品生产线：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b w:val="0"/>
                      <w:bCs w:val="0"/>
                      <w:color w:val="000000" w:themeColor="text1"/>
                      <w:szCs w:val="22"/>
                      <w:highlight w:val="none"/>
                      <w:lang w:val="en-US" w:eastAsia="zh-CN"/>
                      <w14:textFill>
                        <w14:solidFill>
                          <w14:schemeClr w14:val="tx1"/>
                        </w14:solidFill>
                      </w14:textFill>
                    </w:rPr>
                    <w:t>产能：</w:t>
                  </w:r>
                  <w:r>
                    <w:rPr>
                      <w:rFonts w:hint="eastAsia" w:cs="Times New Roman"/>
                      <w:color w:val="000000" w:themeColor="text1"/>
                      <w:szCs w:val="22"/>
                      <w:highlight w:val="none"/>
                      <w:lang w:val="en-US" w:eastAsia="zh-CN"/>
                      <w14:textFill>
                        <w14:solidFill>
                          <w14:schemeClr w14:val="tx1"/>
                        </w14:solidFill>
                      </w14:textFill>
                    </w:rPr>
                    <w:t>本项目计划生产路面砖8万</w:t>
                  </w:r>
                  <w:r>
                    <w:rPr>
                      <w:rFonts w:hint="default" w:ascii="Times New Roman" w:hAnsi="Times New Roman" w:cs="Times New Roman"/>
                      <w:color w:val="000000" w:themeColor="text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cs="Times New Roman"/>
                      <w:color w:val="000000" w:themeColor="text1"/>
                      <w:szCs w:val="22"/>
                      <w:highlight w:val="none"/>
                      <w:lang w:val="en-US" w:eastAsia="zh-CN"/>
                      <w14:textFill>
                        <w14:solidFill>
                          <w14:schemeClr w14:val="tx1"/>
                        </w14:solidFill>
                      </w14:textFill>
                    </w:rPr>
                    <w:t>/年，生产路缘石7.5万</w:t>
                  </w:r>
                  <w:r>
                    <w:rPr>
                      <w:rFonts w:hint="default" w:ascii="Times New Roman" w:hAnsi="Times New Roman" w:cs="Times New Roman"/>
                      <w:color w:val="000000" w:themeColor="text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cs="Times New Roman"/>
                      <w:color w:val="000000" w:themeColor="text1"/>
                      <w:szCs w:val="22"/>
                      <w:highlight w:val="none"/>
                      <w:lang w:val="en-US" w:eastAsia="zh-CN"/>
                      <w14:textFill>
                        <w14:solidFill>
                          <w14:schemeClr w14:val="tx1"/>
                        </w14:solidFill>
                      </w14:textFill>
                    </w:rPr>
                    <w:t>/年。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主要设施：搅拌机、砌块成型机、叠板机、</w:t>
                  </w:r>
                  <w:r>
                    <w:rPr>
                      <w:rFonts w:hint="eastAsia"/>
                      <w:color w:val="000000" w:themeColor="text1"/>
                      <w:szCs w:val="22"/>
                      <w:highlight w:val="none"/>
                      <w14:textFill>
                        <w14:solidFill>
                          <w14:schemeClr w14:val="tx1"/>
                        </w14:solidFill>
                      </w14:textFill>
                    </w:rPr>
                    <w:t>供水系统</w:t>
                  </w:r>
                  <w:r>
                    <w:rPr>
                      <w:rFonts w:hint="eastAsia" w:cs="Times New Roman"/>
                      <w:color w:val="000000" w:themeColor="text1"/>
                      <w:szCs w:val="22"/>
                      <w:highlight w:val="none"/>
                      <w:lang w:val="en-US" w:eastAsia="zh-CN"/>
                      <w14:textFill>
                        <w14:solidFill>
                          <w14:schemeClr w14:val="tx1"/>
                        </w14:solidFill>
                      </w14:textFill>
                    </w:rPr>
                    <w:t>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right="0"/>
                    <w:jc w:val="both"/>
                    <w:textAlignment w:val="auto"/>
                    <w:rPr>
                      <w:rFonts w:hint="default"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工艺简述：将经过粗分拣后的建筑垃圾原料和外购水泥及粉煤灰加水进行搅拌后，通过砌块成型机振压成型，最终达到出厂售卖的标准。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37" w:hRule="atLeast"/>
                <w:tblHeader/>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624"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4633"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b/>
                      <w:bCs/>
                      <w:color w:val="000000" w:themeColor="text1"/>
                      <w:szCs w:val="22"/>
                      <w:highlight w:val="none"/>
                      <w:lang w:val="en-US" w:eastAsia="zh-CN"/>
                      <w14:textFill>
                        <w14:solidFill>
                          <w14:schemeClr w14:val="tx1"/>
                        </w14:solidFill>
                      </w14:textFill>
                    </w:rPr>
                  </w:pPr>
                  <w:r>
                    <w:rPr>
                      <w:rFonts w:hint="eastAsia" w:cs="Times New Roman"/>
                      <w:b/>
                      <w:bCs/>
                      <w:color w:val="000000" w:themeColor="text1"/>
                      <w:szCs w:val="22"/>
                      <w:highlight w:val="none"/>
                      <w:lang w:val="en-US" w:eastAsia="zh-CN"/>
                      <w14:textFill>
                        <w14:solidFill>
                          <w14:schemeClr w14:val="tx1"/>
                        </w14:solidFill>
                      </w14:textFill>
                    </w:rPr>
                    <w:t>水稳料生产线：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b w:val="0"/>
                      <w:bCs w:val="0"/>
                      <w:color w:val="000000" w:themeColor="text1"/>
                      <w:szCs w:val="22"/>
                      <w:highlight w:val="none"/>
                      <w:lang w:val="en-US" w:eastAsia="zh-CN"/>
                      <w14:textFill>
                        <w14:solidFill>
                          <w14:schemeClr w14:val="tx1"/>
                        </w14:solidFill>
                      </w14:textFill>
                    </w:rPr>
                    <w:t>产能：</w:t>
                  </w:r>
                  <w:r>
                    <w:rPr>
                      <w:rFonts w:hint="eastAsia" w:cs="Times New Roman"/>
                      <w:color w:val="000000" w:themeColor="text1"/>
                      <w:szCs w:val="22"/>
                      <w:highlight w:val="none"/>
                      <w:lang w:val="en-US" w:eastAsia="zh-CN"/>
                      <w14:textFill>
                        <w14:solidFill>
                          <w14:schemeClr w14:val="tx1"/>
                        </w14:solidFill>
                      </w14:textFill>
                    </w:rPr>
                    <w:t>本项目设计能力14.5万吨。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主要设施：搅拌机、</w:t>
                  </w:r>
                  <w:r>
                    <w:rPr>
                      <w:rFonts w:hint="eastAsia"/>
                      <w:color w:val="000000" w:themeColor="text1"/>
                      <w:szCs w:val="22"/>
                      <w:highlight w:val="none"/>
                      <w14:textFill>
                        <w14:solidFill>
                          <w14:schemeClr w14:val="tx1"/>
                        </w14:solidFill>
                      </w14:textFill>
                    </w:rPr>
                    <w:t>称量皮带机</w:t>
                  </w:r>
                  <w:r>
                    <w:rPr>
                      <w:rFonts w:hint="eastAsia"/>
                      <w:color w:val="000000" w:themeColor="text1"/>
                      <w:szCs w:val="22"/>
                      <w:highlight w:val="none"/>
                      <w:lang w:eastAsia="zh-CN"/>
                      <w14:textFill>
                        <w14:solidFill>
                          <w14:schemeClr w14:val="tx1"/>
                        </w14:solidFill>
                      </w14:textFill>
                    </w:rPr>
                    <w:t>、</w:t>
                  </w:r>
                  <w:r>
                    <w:rPr>
                      <w:rFonts w:hint="eastAsia"/>
                      <w:color w:val="000000" w:themeColor="text1"/>
                      <w:szCs w:val="22"/>
                      <w:highlight w:val="none"/>
                      <w14:textFill>
                        <w14:solidFill>
                          <w14:schemeClr w14:val="tx1"/>
                        </w14:solidFill>
                      </w14:textFill>
                    </w:rPr>
                    <w:t>骨料输送机</w:t>
                  </w:r>
                  <w:r>
                    <w:rPr>
                      <w:rFonts w:hint="eastAsia"/>
                      <w:color w:val="000000" w:themeColor="text1"/>
                      <w:szCs w:val="22"/>
                      <w:highlight w:val="none"/>
                      <w:lang w:eastAsia="zh-CN"/>
                      <w14:textFill>
                        <w14:solidFill>
                          <w14:schemeClr w14:val="tx1"/>
                        </w14:solidFill>
                      </w14:textFill>
                    </w:rPr>
                    <w:t>、</w:t>
                  </w:r>
                  <w:r>
                    <w:rPr>
                      <w:rFonts w:hint="eastAsia"/>
                      <w:color w:val="000000" w:themeColor="text1"/>
                      <w:szCs w:val="22"/>
                      <w:highlight w:val="none"/>
                      <w14:textFill>
                        <w14:solidFill>
                          <w14:schemeClr w14:val="tx1"/>
                        </w14:solidFill>
                      </w14:textFill>
                    </w:rPr>
                    <w:t>供水系统</w:t>
                  </w:r>
                  <w:r>
                    <w:rPr>
                      <w:rFonts w:hint="eastAsia" w:cs="Times New Roman"/>
                      <w:color w:val="000000" w:themeColor="text1"/>
                      <w:szCs w:val="22"/>
                      <w:highlight w:val="none"/>
                      <w:lang w:val="en-US" w:eastAsia="zh-CN"/>
                      <w14:textFill>
                        <w14:solidFill>
                          <w14:schemeClr w14:val="tx1"/>
                        </w14:solidFill>
                      </w14:textFill>
                    </w:rPr>
                    <w:t>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工艺简述：将上游较为清洁的不同级别建筑垃圾再生骨料和外购水泥及粉煤灰加水进行搅拌后，通过叉车送至车间养护场地，最终达到出厂售卖的标准</w:t>
                  </w:r>
                  <w:r>
                    <w:rPr>
                      <w:rFonts w:hint="eastAsia"/>
                      <w:szCs w:val="22"/>
                      <w:lang w:val="en-US" w:eastAsia="zh-CN"/>
                    </w:rPr>
                    <w:t>通过罐车外运出售</w:t>
                  </w:r>
                  <w:r>
                    <w:rPr>
                      <w:rFonts w:hint="eastAsia" w:cs="Times New Roman"/>
                      <w:color w:val="000000" w:themeColor="text1"/>
                      <w:szCs w:val="22"/>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37" w:hRule="atLeast"/>
                <w:tblHeader/>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624"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4633"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卸料仓</w:t>
                  </w:r>
                  <w:r>
                    <w:rPr>
                      <w:rFonts w:hint="eastAsia" w:cs="Times New Roman"/>
                      <w:color w:val="000000" w:themeColor="text1"/>
                      <w:szCs w:val="21"/>
                      <w:highlight w:val="none"/>
                      <w:lang w:val="en-US" w:eastAsia="zh-CN"/>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经粗分拣过后的建筑装饰垃圾暂存于卸料仓内，用于后续分质处理，采用编制覆盖和洒水的方式进行抑尘处理。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37" w:hRule="atLeast"/>
                <w:tblHeader/>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624"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4633"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eastAsia="宋体" w:cs="Times New Roman"/>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粉料筒仓罐</w:t>
                  </w:r>
                  <w:r>
                    <w:rPr>
                      <w:rFonts w:hint="eastAsia"/>
                      <w:szCs w:val="22"/>
                      <w:lang w:eastAsia="zh-CN"/>
                    </w:rPr>
                    <w:t>：</w:t>
                  </w:r>
                  <w:r>
                    <w:rPr>
                      <w:rFonts w:hint="eastAsia" w:cs="Times New Roman"/>
                      <w:color w:val="000000" w:themeColor="text1"/>
                      <w:kern w:val="2"/>
                      <w:sz w:val="21"/>
                      <w:szCs w:val="21"/>
                      <w:highlight w:val="none"/>
                      <w:lang w:val="en-US" w:eastAsia="zh-CN" w:bidi="ar-SA"/>
                      <w14:textFill>
                        <w14:solidFill>
                          <w14:schemeClr w14:val="tx1"/>
                        </w14:solidFill>
                      </w14:textFill>
                    </w:rPr>
                    <w:t>通过外购的粉料（水泥或粉煤灰）分别暂存于不同粉料筒仓罐内。</w:t>
                  </w:r>
                  <w:r>
                    <w:rPr>
                      <w:rFonts w:hint="eastAsia" w:ascii="宋体" w:hAnsi="宋体" w:eastAsia="宋体" w:cs="宋体"/>
                      <w:color w:val="000000"/>
                      <w:kern w:val="2"/>
                      <w:sz w:val="21"/>
                      <w:szCs w:val="21"/>
                    </w:rPr>
                    <w:t>再生混凝土制品生产线和水稳料生产线分别配套</w:t>
                  </w:r>
                  <w:r>
                    <w:rPr>
                      <w:rFonts w:hint="default" w:ascii="Times New Roman" w:hAnsi="Times New Roman" w:eastAsia="宋体" w:cs="Times New Roman"/>
                      <w:color w:val="000000"/>
                      <w:kern w:val="2"/>
                      <w:sz w:val="21"/>
                      <w:szCs w:val="21"/>
                    </w:rPr>
                    <w:t>2</w:t>
                  </w:r>
                  <w:r>
                    <w:rPr>
                      <w:rFonts w:hint="eastAsia" w:ascii="宋体" w:hAnsi="宋体" w:eastAsia="宋体" w:cs="宋体"/>
                      <w:color w:val="000000"/>
                      <w:kern w:val="2"/>
                      <w:sz w:val="21"/>
                      <w:szCs w:val="21"/>
                    </w:rPr>
                    <w:t>座粉料筒仓罐。其中再生混凝土制品生产线配套储量</w:t>
                  </w:r>
                  <w:r>
                    <w:rPr>
                      <w:rFonts w:hint="default" w:ascii="Times New Roman" w:hAnsi="Times New Roman" w:eastAsia="宋体" w:cs="Times New Roman"/>
                      <w:color w:val="000000"/>
                      <w:kern w:val="2"/>
                      <w:sz w:val="21"/>
                      <w:szCs w:val="21"/>
                    </w:rPr>
                    <w:t>60</w:t>
                  </w:r>
                  <w:r>
                    <w:rPr>
                      <w:rFonts w:hint="eastAsia" w:ascii="宋体" w:hAnsi="宋体" w:eastAsia="宋体" w:cs="宋体"/>
                      <w:color w:val="000000"/>
                      <w:kern w:val="2"/>
                      <w:sz w:val="21"/>
                      <w:szCs w:val="21"/>
                    </w:rPr>
                    <w:t>吨粉料筒仓罐，水稳料生产线</w:t>
                  </w:r>
                  <w:r>
                    <w:rPr>
                      <w:rFonts w:hint="eastAsia" w:cs="Times New Roman"/>
                      <w:color w:val="000000" w:themeColor="text1"/>
                      <w:kern w:val="2"/>
                      <w:sz w:val="21"/>
                      <w:szCs w:val="21"/>
                      <w:highlight w:val="none"/>
                      <w:lang w:val="en-US" w:eastAsia="zh-CN" w:bidi="ar-SA"/>
                      <w14:textFill>
                        <w14:solidFill>
                          <w14:schemeClr w14:val="tx1"/>
                        </w14:solidFill>
                      </w14:textFill>
                    </w:rPr>
                    <w:t>配套</w:t>
                  </w:r>
                  <w:r>
                    <w:rPr>
                      <w:rFonts w:hint="eastAsia" w:ascii="宋体" w:hAnsi="宋体" w:eastAsia="宋体" w:cs="宋体"/>
                      <w:color w:val="000000"/>
                      <w:kern w:val="2"/>
                      <w:sz w:val="21"/>
                      <w:szCs w:val="21"/>
                    </w:rPr>
                    <w:t>储量</w:t>
                  </w:r>
                  <w:r>
                    <w:rPr>
                      <w:rFonts w:hint="default" w:ascii="Times New Roman" w:hAnsi="Times New Roman" w:eastAsia="宋体" w:cs="Times New Roman"/>
                      <w:color w:val="000000"/>
                      <w:kern w:val="2"/>
                      <w:sz w:val="21"/>
                      <w:szCs w:val="21"/>
                    </w:rPr>
                    <w:t>100</w:t>
                  </w:r>
                  <w:r>
                    <w:rPr>
                      <w:rFonts w:hint="eastAsia" w:ascii="宋体" w:hAnsi="宋体" w:eastAsia="宋体" w:cs="宋体"/>
                      <w:color w:val="000000"/>
                      <w:kern w:val="2"/>
                      <w:sz w:val="21"/>
                      <w:szCs w:val="21"/>
                    </w:rPr>
                    <w:t>吨粉料筒仓罐</w:t>
                  </w:r>
                  <w:r>
                    <w:rPr>
                      <w:rFonts w:hint="eastAsia"/>
                      <w:color w:val="000000" w:themeColor="text1"/>
                      <w:szCs w:val="2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37" w:hRule="atLeast"/>
                <w:tblHeader/>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1624"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p>
              </w:tc>
              <w:tc>
                <w:tcPr>
                  <w:tcW w:w="4633"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cs="Times New Roman"/>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混合骨料暂存间</w:t>
                  </w:r>
                  <w:r>
                    <w:rPr>
                      <w:rFonts w:hint="eastAsia" w:cs="Times New Roman"/>
                      <w:color w:val="000000" w:themeColor="text1"/>
                      <w:szCs w:val="21"/>
                      <w:highlight w:val="none"/>
                      <w:lang w:val="en-US" w:eastAsia="zh-CN"/>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1F，</w:t>
                  </w:r>
                  <w:r>
                    <w:rPr>
                      <w:rFonts w:hint="eastAsia" w:cs="Times New Roman"/>
                      <w:color w:val="000000" w:themeColor="text1"/>
                      <w:szCs w:val="21"/>
                      <w:highlight w:val="none"/>
                      <w:lang w:val="en-US" w:eastAsia="zh-CN"/>
                      <w14:textFill>
                        <w14:solidFill>
                          <w14:schemeClr w14:val="tx1"/>
                        </w14:solidFill>
                      </w14:textFill>
                    </w:rPr>
                    <w:t>成品彩钢房。较为清洁的建筑垃圾再生骨料经筛分后分别贮存于各混合骨料暂存间内。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401" w:hRule="atLeast"/>
                <w:jc w:val="center"/>
              </w:trPr>
              <w:tc>
                <w:tcPr>
                  <w:tcW w:w="811"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kern w:val="2"/>
                      <w:sz w:val="21"/>
                      <w:szCs w:val="20"/>
                      <w:highlight w:val="none"/>
                      <w:lang w:val="en-US" w:eastAsia="zh-CN" w:bidi="ar"/>
                    </w:rPr>
                  </w:pPr>
                  <w:r>
                    <w:rPr>
                      <w:rFonts w:hint="default" w:ascii="Times New Roman" w:hAnsi="Times New Roman" w:cs="Times New Roman"/>
                      <w:b/>
                      <w:bCs/>
                      <w:color w:val="000000" w:themeColor="text1"/>
                      <w:kern w:val="2"/>
                      <w:sz w:val="21"/>
                      <w:szCs w:val="20"/>
                      <w:highlight w:val="none"/>
                      <w:lang w:val="en-US" w:eastAsia="zh-CN" w:bidi="ar"/>
                      <w14:textFill>
                        <w14:solidFill>
                          <w14:schemeClr w14:val="tx1"/>
                        </w14:solidFill>
                      </w14:textFill>
                    </w:rPr>
                    <w:t>辅助工程</w:t>
                  </w: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管理用房</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1F，混凝土框架，建筑面积472.00</w:t>
                  </w:r>
                  <w:r>
                    <w:rPr>
                      <w:rFonts w:hint="default" w:ascii="Times New Roman" w:hAnsi="Times New Roman" w:cs="Times New Roman"/>
                      <w:color w:val="000000" w:themeColor="text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cs="Times New Roman"/>
                      <w:color w:val="000000" w:themeColor="text1"/>
                      <w:szCs w:val="2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主要功能为生活及办公</w:t>
                  </w:r>
                  <w:r>
                    <w:rPr>
                      <w:rFonts w:hint="eastAsia" w:cs="Times New Roman"/>
                      <w:color w:val="000000" w:themeColor="text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532"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kern w:val="2"/>
                      <w:sz w:val="21"/>
                      <w:szCs w:val="20"/>
                      <w:highlight w:val="none"/>
                      <w:lang w:val="en-US" w:eastAsia="zh-CN" w:bidi="ar"/>
                    </w:rPr>
                  </w:pP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kern w:val="2"/>
                      <w:sz w:val="21"/>
                      <w:szCs w:val="22"/>
                      <w:highlight w:val="none"/>
                      <w:lang w:val="en-US" w:eastAsia="zh-CN" w:bidi="ar-SA"/>
                      <w14:textFill>
                        <w14:solidFill>
                          <w14:schemeClr w14:val="tx1"/>
                        </w14:solidFill>
                      </w14:textFill>
                    </w:rPr>
                    <w:t>成品辅助用房</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default" w:ascii="Times New Roman" w:hAnsi="Times New Roman" w:cs="Times New Roman"/>
                      <w:color w:val="FF0000"/>
                      <w:kern w:val="2"/>
                      <w:sz w:val="21"/>
                      <w:szCs w:val="21"/>
                      <w:highlight w:val="none"/>
                      <w:lang w:val="en-US" w:eastAsia="zh-CN" w:bidi="ar-SA"/>
                    </w:rPr>
                  </w:pPr>
                  <w:r>
                    <w:rPr>
                      <w:rFonts w:hint="eastAsia" w:cs="Times New Roman"/>
                      <w:color w:val="000000" w:themeColor="text1"/>
                      <w:szCs w:val="21"/>
                      <w:highlight w:val="none"/>
                      <w:lang w:val="en-US" w:eastAsia="zh-CN"/>
                      <w14:textFill>
                        <w14:solidFill>
                          <w14:schemeClr w14:val="tx1"/>
                        </w14:solidFill>
                      </w14:textFill>
                    </w:rPr>
                    <w:t>1F，成品彩钢房，建筑面积43.20</w:t>
                  </w:r>
                  <w:r>
                    <w:rPr>
                      <w:rFonts w:hint="default" w:ascii="Times New Roman" w:hAnsi="Times New Roman" w:cs="Times New Roman"/>
                      <w:color w:val="000000" w:themeColor="text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cs="Times New Roman"/>
                      <w:color w:val="000000" w:themeColor="text1"/>
                      <w:szCs w:val="2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主要功能为生产线控制室及临时休息室</w:t>
                  </w: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4" w:hRule="atLeast"/>
                <w:jc w:val="center"/>
              </w:trPr>
              <w:tc>
                <w:tcPr>
                  <w:tcW w:w="811"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bCs/>
                      <w:color w:val="FF0000"/>
                      <w:szCs w:val="22"/>
                      <w:highlight w:val="none"/>
                    </w:rPr>
                  </w:pPr>
                  <w:r>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t>储运工程</w:t>
                  </w: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原料</w:t>
                  </w:r>
                  <w:r>
                    <w:rPr>
                      <w:rFonts w:hint="eastAsia" w:cs="Times New Roman"/>
                      <w:color w:val="000000" w:themeColor="text1"/>
                      <w:szCs w:val="21"/>
                      <w:highlight w:val="none"/>
                      <w:lang w:val="en-US" w:eastAsia="zh-CN"/>
                      <w14:textFill>
                        <w14:solidFill>
                          <w14:schemeClr w14:val="tx1"/>
                        </w14:solidFill>
                      </w14:textFill>
                    </w:rPr>
                    <w:t>堆场</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室外露天</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，地面混凝土硬化</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szCs w:val="22"/>
                      <w:lang w:val="en-US" w:eastAsia="zh-CN"/>
                    </w:rPr>
                    <w:t>面积约3000</w:t>
                  </w:r>
                  <w:r>
                    <w:rPr>
                      <w:rFonts w:hint="default" w:ascii="Times New Roman" w:hAnsi="Times New Roman" w:cs="Times New Roman"/>
                      <w:color w:val="000000" w:themeColor="text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cs="Times New Roman"/>
                      <w:color w:val="000000" w:themeColor="text1"/>
                      <w:kern w:val="2"/>
                      <w:sz w:val="21"/>
                      <w:szCs w:val="21"/>
                      <w:highlight w:val="none"/>
                      <w:lang w:val="en-US" w:eastAsia="zh-CN" w:bidi="ar-SA"/>
                      <w14:textFill>
                        <w14:solidFill>
                          <w14:schemeClr w14:val="tx1"/>
                        </w14:solidFill>
                      </w14:textFill>
                    </w:rPr>
                    <w:t>，有效储量约15000t。</w:t>
                  </w:r>
                  <w:r>
                    <w:rPr>
                      <w:rFonts w:hint="eastAsia"/>
                      <w:color w:val="000000" w:themeColor="text1"/>
                      <w:szCs w:val="21"/>
                      <w:highlight w:val="none"/>
                      <w14:textFill>
                        <w14:solidFill>
                          <w14:schemeClr w14:val="tx1"/>
                        </w14:solidFill>
                      </w14:textFill>
                    </w:rPr>
                    <w:t xml:space="preserve"> </w:t>
                  </w:r>
                  <w:r>
                    <w:rPr>
                      <w:rFonts w:hint="eastAsia"/>
                      <w:color w:val="000000" w:themeColor="text1"/>
                      <w:szCs w:val="21"/>
                      <w:highlight w:val="none"/>
                      <w:lang w:val="en-US" w:eastAsia="zh-CN"/>
                      <w14:textFill>
                        <w14:solidFill>
                          <w14:schemeClr w14:val="tx1"/>
                        </w14:solidFill>
                      </w14:textFill>
                    </w:rPr>
                    <w:t>采用</w:t>
                  </w:r>
                  <w:r>
                    <w:rPr>
                      <w:rFonts w:hint="eastAsia"/>
                      <w:color w:val="000000" w:themeColor="text1"/>
                      <w:szCs w:val="21"/>
                      <w:highlight w:val="none"/>
                      <w14:textFill>
                        <w14:solidFill>
                          <w14:schemeClr w14:val="tx1"/>
                        </w14:solidFill>
                      </w14:textFill>
                    </w:rPr>
                    <w:t>露天堆放的建筑垃圾应及时遮盖，</w:t>
                  </w:r>
                  <w:r>
                    <w:rPr>
                      <w:rFonts w:hint="eastAsia"/>
                      <w:color w:val="000000" w:themeColor="text1"/>
                      <w:szCs w:val="21"/>
                      <w:highlight w:val="none"/>
                      <w:lang w:val="en-US" w:eastAsia="zh-CN"/>
                      <w14:textFill>
                        <w14:solidFill>
                          <w14:schemeClr w14:val="tx1"/>
                        </w14:solidFill>
                      </w14:textFill>
                    </w:rPr>
                    <w:t>应</w:t>
                  </w:r>
                  <w:r>
                    <w:rPr>
                      <w:rFonts w:hint="eastAsia"/>
                      <w:color w:val="000000" w:themeColor="text1"/>
                      <w:szCs w:val="21"/>
                      <w:highlight w:val="none"/>
                      <w14:textFill>
                        <w14:solidFill>
                          <w14:schemeClr w14:val="tx1"/>
                        </w14:solidFill>
                      </w14:textFill>
                    </w:rPr>
                    <w:t>采取设置防风抑尘网、配备洒水抑尘系统或苫盖等措施</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堆放区地坪标高应高于周围场地至少0.15米，四周应设置排水沟，满足场地雨水导排要求。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78"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kern w:val="2"/>
                      <w:sz w:val="21"/>
                      <w:szCs w:val="20"/>
                      <w:highlight w:val="none"/>
                      <w:lang w:val="en-US" w:eastAsia="zh-CN" w:bidi="ar"/>
                    </w:rPr>
                  </w:pP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5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再生产品堆场</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tabs>
                      <w:tab w:val="left" w:pos="3255"/>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室外露天</w:t>
                  </w:r>
                  <w:r>
                    <w:rPr>
                      <w:rFonts w:hint="default" w:ascii="Times New Roman" w:hAnsi="Times New Roman" w:cs="Times New Roman"/>
                      <w:color w:val="000000" w:themeColor="text1"/>
                      <w:szCs w:val="21"/>
                      <w:highlight w:val="none"/>
                      <w:lang w:val="en-US" w:eastAsia="zh-CN"/>
                      <w14:textFill>
                        <w14:solidFill>
                          <w14:schemeClr w14:val="tx1"/>
                        </w14:solidFill>
                      </w14:textFill>
                    </w:rPr>
                    <w:t>，地面混凝土硬化</w:t>
                  </w:r>
                  <w:r>
                    <w:rPr>
                      <w:rFonts w:hint="eastAsia" w:cs="Times New Roman"/>
                      <w:color w:val="000000" w:themeColor="text1"/>
                      <w:szCs w:val="21"/>
                      <w:highlight w:val="none"/>
                      <w:lang w:val="en-US" w:eastAsia="zh-CN"/>
                      <w14:textFill>
                        <w14:solidFill>
                          <w14:schemeClr w14:val="tx1"/>
                        </w14:solidFill>
                      </w14:textFill>
                    </w:rPr>
                    <w:t>，</w:t>
                  </w:r>
                  <w:r>
                    <w:rPr>
                      <w:rFonts w:hint="eastAsia"/>
                      <w:szCs w:val="22"/>
                      <w:lang w:val="en-US" w:eastAsia="zh-CN"/>
                    </w:rPr>
                    <w:t>面积约1000</w:t>
                  </w:r>
                  <w:r>
                    <w:rPr>
                      <w:rFonts w:hint="default" w:ascii="Times New Roman" w:hAnsi="Times New Roman" w:cs="Times New Roman"/>
                      <w:color w:val="000000" w:themeColor="text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cs="Times New Roman"/>
                      <w:color w:val="000000" w:themeColor="text1"/>
                      <w:szCs w:val="21"/>
                      <w:highlight w:val="none"/>
                      <w:vertAlign w:val="baseline"/>
                      <w:lang w:val="en-US"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储量根据厂区生产情况</w:t>
                  </w:r>
                  <w:r>
                    <w:rPr>
                      <w:rFonts w:hint="default" w:ascii="Times New Roman" w:hAnsi="Times New Roman" w:cs="Times New Roman"/>
                      <w:color w:val="000000" w:themeColor="text1"/>
                      <w:szCs w:val="21"/>
                      <w:highlight w:val="none"/>
                      <w:lang w:val="en-US" w:eastAsia="zh-CN"/>
                      <w14:textFill>
                        <w14:solidFill>
                          <w14:schemeClr w14:val="tx1"/>
                        </w14:solidFill>
                      </w14:textFill>
                    </w:rPr>
                    <w:t>。</w:t>
                  </w:r>
                  <w:r>
                    <w:rPr>
                      <w:rFonts w:hint="eastAsia"/>
                      <w:color w:val="000000" w:themeColor="text1"/>
                      <w:szCs w:val="21"/>
                      <w:highlight w:val="none"/>
                      <w14:textFill>
                        <w14:solidFill>
                          <w14:schemeClr w14:val="tx1"/>
                        </w14:solidFill>
                      </w14:textFill>
                    </w:rPr>
                    <w:t>露天堆放的建筑垃圾应及时遮盖，</w:t>
                  </w:r>
                  <w:r>
                    <w:rPr>
                      <w:rFonts w:hint="eastAsia"/>
                      <w:color w:val="000000" w:themeColor="text1"/>
                      <w:szCs w:val="21"/>
                      <w:highlight w:val="none"/>
                      <w:lang w:val="en-US" w:eastAsia="zh-CN"/>
                      <w14:textFill>
                        <w14:solidFill>
                          <w14:schemeClr w14:val="tx1"/>
                        </w14:solidFill>
                      </w14:textFill>
                    </w:rPr>
                    <w:t>采用</w:t>
                  </w:r>
                  <w:r>
                    <w:rPr>
                      <w:rFonts w:hint="eastAsia"/>
                      <w:color w:val="000000" w:themeColor="text1"/>
                      <w:szCs w:val="21"/>
                      <w:highlight w:val="none"/>
                      <w14:textFill>
                        <w14:solidFill>
                          <w14:schemeClr w14:val="tx1"/>
                        </w14:solidFill>
                      </w14:textFill>
                    </w:rPr>
                    <w:t>露天堆放的建筑垃圾应及时遮盖，</w:t>
                  </w:r>
                  <w:r>
                    <w:rPr>
                      <w:rFonts w:hint="eastAsia"/>
                      <w:color w:val="000000" w:themeColor="text1"/>
                      <w:szCs w:val="21"/>
                      <w:highlight w:val="none"/>
                      <w:lang w:val="en-US" w:eastAsia="zh-CN"/>
                      <w14:textFill>
                        <w14:solidFill>
                          <w14:schemeClr w14:val="tx1"/>
                        </w14:solidFill>
                      </w14:textFill>
                    </w:rPr>
                    <w:t>应</w:t>
                  </w:r>
                  <w:r>
                    <w:rPr>
                      <w:rFonts w:hint="eastAsia"/>
                      <w:color w:val="000000" w:themeColor="text1"/>
                      <w:szCs w:val="21"/>
                      <w:highlight w:val="none"/>
                      <w14:textFill>
                        <w14:solidFill>
                          <w14:schemeClr w14:val="tx1"/>
                        </w14:solidFill>
                      </w14:textFill>
                    </w:rPr>
                    <w:t>采取设置防风抑尘网、配备洒水抑尘系统或苫盖等措施</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堆放区地坪标高应高于周围场地至少0.15米，四周应设置排水沟，满足场地雨水导排要求。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restart"/>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FF0000"/>
                      <w:kern w:val="2"/>
                      <w:sz w:val="21"/>
                      <w:szCs w:val="22"/>
                      <w:highlight w:val="none"/>
                    </w:rPr>
                  </w:pPr>
                  <w:r>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t>公用工程</w:t>
                  </w: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FF0000"/>
                      <w:kern w:val="2"/>
                      <w:sz w:val="21"/>
                      <w:szCs w:val="22"/>
                      <w:highlight w:val="none"/>
                      <w:lang w:val="en-US" w:eastAsia="zh-CN" w:bidi="ar-SA"/>
                    </w:rPr>
                  </w:pPr>
                  <w:r>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t>给水</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本项目用水由项目区北侧一公里处的De300市政给水管网供水，从供水点引入一根De160pE管至本项目区内，提供本项目的生产、生活和消防用水。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eastAsia="宋体" w:cs="Times New Roman"/>
                      <w:color w:val="FF0000"/>
                      <w:kern w:val="2"/>
                      <w:sz w:val="21"/>
                      <w:szCs w:val="22"/>
                      <w:highlight w:val="none"/>
                      <w:lang w:val="en-US" w:eastAsia="zh-CN" w:bidi="ar-SA"/>
                    </w:rPr>
                  </w:pPr>
                  <w:r>
                    <w:rPr>
                      <w:rFonts w:hint="eastAsia" w:cs="Times New Roman"/>
                      <w:snapToGrid w:val="0"/>
                      <w:color w:val="000000" w:themeColor="text1"/>
                      <w:kern w:val="2"/>
                      <w:sz w:val="21"/>
                      <w:szCs w:val="20"/>
                      <w:highlight w:val="none"/>
                      <w:lang w:val="en-US" w:eastAsia="zh-CN" w:bidi="ar"/>
                      <w14:textFill>
                        <w14:solidFill>
                          <w14:schemeClr w14:val="tx1"/>
                        </w14:solidFill>
                      </w14:textFill>
                    </w:rPr>
                    <w:t>本项目生产、生活</w:t>
                  </w:r>
                  <w:r>
                    <w:rPr>
                      <w:rFonts w:hint="default" w:ascii="Times New Roman" w:hAnsi="Times New Roman" w:cs="Times New Roman"/>
                      <w:color w:val="000000" w:themeColor="text1"/>
                      <w:szCs w:val="22"/>
                      <w:highlight w:val="none"/>
                      <w:lang w:val="en-US" w:eastAsia="zh-CN"/>
                      <w14:textFill>
                        <w14:solidFill>
                          <w14:schemeClr w14:val="tx1"/>
                        </w14:solidFill>
                      </w14:textFill>
                    </w:rPr>
                    <w:t>总用水量为</w:t>
                  </w:r>
                  <w:r>
                    <w:rPr>
                      <w:rFonts w:hint="eastAsia" w:cs="Times New Roman"/>
                      <w:color w:val="000000" w:themeColor="text1"/>
                      <w:szCs w:val="22"/>
                      <w:highlight w:val="none"/>
                      <w:lang w:val="en-US" w:eastAsia="zh-CN"/>
                      <w14:textFill>
                        <w14:solidFill>
                          <w14:schemeClr w14:val="tx1"/>
                        </w14:solidFill>
                      </w14:textFill>
                    </w:rPr>
                    <w:t>187.95</w:t>
                  </w:r>
                  <w:r>
                    <w:rPr>
                      <w:rFonts w:hint="default" w:ascii="Times New Roman" w:hAnsi="Times New Roman" w:cs="Times New Roman"/>
                      <w:color w:val="000000" w:themeColor="text1"/>
                      <w:szCs w:val="22"/>
                      <w:highlight w:val="none"/>
                      <w:lang w:val="en-US" w:eastAsia="zh-CN"/>
                      <w14:textFill>
                        <w14:solidFill>
                          <w14:schemeClr w14:val="tx1"/>
                        </w14:solidFill>
                      </w14:textFill>
                    </w:rPr>
                    <w:t>m</w:t>
                  </w:r>
                  <w:r>
                    <w:rPr>
                      <w:rFonts w:hint="default" w:ascii="Times New Roman" w:hAnsi="Times New Roman" w:cs="Times New Roman"/>
                      <w:color w:val="000000" w:themeColor="text1"/>
                      <w:szCs w:val="22"/>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Cs w:val="22"/>
                      <w:highlight w:val="none"/>
                      <w:lang w:val="en-US" w:eastAsia="zh-CN"/>
                      <w14:textFill>
                        <w14:solidFill>
                          <w14:schemeClr w14:val="tx1"/>
                        </w14:solidFill>
                      </w14:textFill>
                    </w:rPr>
                    <w:t>/d</w:t>
                  </w:r>
                  <w:r>
                    <w:rPr>
                      <w:rFonts w:hint="eastAsia" w:cs="Times New Roman"/>
                      <w:color w:val="000000" w:themeColor="text1"/>
                      <w:szCs w:val="22"/>
                      <w:highlight w:val="none"/>
                      <w:lang w:val="en-US" w:eastAsia="zh-CN"/>
                      <w14:textFill>
                        <w14:solidFill>
                          <w14:schemeClr w14:val="tx1"/>
                        </w14:solidFill>
                      </w14:textFill>
                    </w:rPr>
                    <w:t>。</w:t>
                  </w: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室外消防</w:t>
                  </w:r>
                  <w:r>
                    <w:rPr>
                      <w:rFonts w:hint="eastAsia"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用水设置消防水龙和室外消火栓系统，</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设计</w:t>
                  </w:r>
                  <w:r>
                    <w:rPr>
                      <w:rFonts w:hint="eastAsia"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用水量为20L/S</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FF0000"/>
                      <w:kern w:val="2"/>
                      <w:sz w:val="21"/>
                      <w:szCs w:val="22"/>
                      <w:highlight w:val="none"/>
                    </w:rPr>
                  </w:pPr>
                </w:p>
              </w:tc>
              <w:tc>
                <w:tcPr>
                  <w:tcW w:w="1322"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000000" w:themeColor="text1"/>
                      <w:szCs w:val="22"/>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t>排水</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default"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cs="Times New Roman"/>
                      <w:snapToGrid w:val="0"/>
                      <w:color w:val="000000" w:themeColor="text1"/>
                      <w:kern w:val="2"/>
                      <w:sz w:val="21"/>
                      <w:szCs w:val="20"/>
                      <w:highlight w:val="none"/>
                      <w:lang w:val="en-US" w:eastAsia="zh-CN" w:bidi="ar"/>
                      <w14:textFill>
                        <w14:solidFill>
                          <w14:schemeClr w14:val="tx1"/>
                        </w14:solidFill>
                      </w14:textFill>
                    </w:rPr>
                    <w:t>生产废水：产生量为16.69</w:t>
                  </w:r>
                  <w:r>
                    <w:rPr>
                      <w:rFonts w:hint="default"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1"/>
                      <w:szCs w:val="21"/>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/d</w:t>
                  </w:r>
                  <w:r>
                    <w:rPr>
                      <w:rFonts w:hint="eastAsia"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在原料堆场区设置30m</w:t>
                  </w:r>
                  <w:r>
                    <w:rPr>
                      <w:rFonts w:hint="eastAsia" w:ascii="Times New Roman" w:hAnsi="Times New Roman" w:eastAsia="宋体" w:cs="Times New Roman"/>
                      <w:snapToGrid w:val="0"/>
                      <w:color w:val="000000" w:themeColor="text1"/>
                      <w:kern w:val="2"/>
                      <w:sz w:val="21"/>
                      <w:szCs w:val="20"/>
                      <w:highlight w:val="none"/>
                      <w:vertAlign w:val="superscript"/>
                      <w:lang w:val="en-US" w:eastAsia="zh-CN" w:bidi="ar"/>
                      <w14:textFill>
                        <w14:solidFill>
                          <w14:schemeClr w14:val="tx1"/>
                        </w14:solidFill>
                      </w14:textFill>
                    </w:rPr>
                    <w:t>3</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生产废水收集沉淀池，经沉淀后，上清液循环使用，不外排</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textAlignment w:val="auto"/>
                    <w:rPr>
                      <w:rFonts w:hint="default" w:ascii="Times New Roman" w:hAnsi="Times New Roman" w:eastAsia="宋体" w:cs="Times New Roman"/>
                      <w:b/>
                      <w:bCs/>
                      <w:color w:val="FF0000"/>
                      <w:kern w:val="2"/>
                      <w:sz w:val="21"/>
                      <w:szCs w:val="22"/>
                      <w:highlight w:val="none"/>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pPr>
                  <w:r>
                    <w:rPr>
                      <w:rFonts w:hint="default"/>
                      <w:snapToGrid w:val="0"/>
                      <w:color w:val="000000" w:themeColor="text1"/>
                      <w:szCs w:val="22"/>
                      <w:highlight w:val="none"/>
                      <w:lang w:bidi="ar"/>
                      <w14:textFill>
                        <w14:solidFill>
                          <w14:schemeClr w14:val="tx1"/>
                        </w14:solidFill>
                      </w14:textFill>
                    </w:rPr>
                    <w:t>车辆冲洗排水：</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产生量为0.63</w:t>
                  </w:r>
                  <w:r>
                    <w:rPr>
                      <w:rFonts w:hint="default"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1"/>
                      <w:szCs w:val="21"/>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/d</w:t>
                  </w:r>
                  <w:r>
                    <w:rPr>
                      <w:rFonts w:hint="eastAsia"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w:t>
                  </w:r>
                  <w:r>
                    <w:rPr>
                      <w:rFonts w:hint="eastAsia"/>
                      <w:snapToGrid w:val="0"/>
                      <w:color w:val="000000" w:themeColor="text1"/>
                      <w:szCs w:val="22"/>
                      <w:highlight w:val="none"/>
                      <w:lang w:bidi="ar"/>
                      <w14:textFill>
                        <w14:solidFill>
                          <w14:schemeClr w14:val="tx1"/>
                        </w14:solidFill>
                      </w14:textFill>
                    </w:rPr>
                    <w:t>外排至管网，经化粪池处理后，由专业人员定期清理外运至彭阳县第二污水处理厂</w:t>
                  </w:r>
                  <w:r>
                    <w:rPr>
                      <w:rFonts w:hint="eastAsia" w:ascii="Times New Roman" w:hAnsi="Times New Roman" w:eastAsia="宋体" w:cs="Times New Roman"/>
                      <w:b w:val="0"/>
                      <w:bCs w:val="0"/>
                      <w:snapToGrid w:val="0"/>
                      <w:color w:val="000000" w:themeColor="text1"/>
                      <w:kern w:val="2"/>
                      <w:sz w:val="21"/>
                      <w:szCs w:val="20"/>
                      <w:highlight w:val="none"/>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textAlignment w:val="auto"/>
                    <w:rPr>
                      <w:rFonts w:hint="default" w:ascii="Times New Roman" w:hAnsi="Times New Roman" w:eastAsia="宋体" w:cs="Times New Roman"/>
                      <w:b/>
                      <w:bCs/>
                      <w:color w:val="FF0000"/>
                      <w:kern w:val="2"/>
                      <w:sz w:val="21"/>
                      <w:szCs w:val="22"/>
                      <w:highlight w:val="none"/>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default" w:cs="Times New Roman"/>
                      <w:snapToGrid w:val="0"/>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生活污水：产生量为</w:t>
                  </w:r>
                  <w:r>
                    <w:rPr>
                      <w:rFonts w:hint="eastAsia" w:eastAsia="仿宋_GB2312" w:cs="Times New Roman"/>
                      <w:b w:val="0"/>
                      <w:bCs w:val="0"/>
                      <w:color w:val="000000" w:themeColor="text1"/>
                      <w:kern w:val="16"/>
                      <w:sz w:val="21"/>
                      <w:szCs w:val="21"/>
                      <w:highlight w:val="none"/>
                      <w:lang w:val="en-US" w:eastAsia="zh-CN" w:bidi="ar"/>
                      <w14:textFill>
                        <w14:solidFill>
                          <w14:schemeClr w14:val="tx1"/>
                        </w14:solidFill>
                      </w14:textFill>
                    </w:rPr>
                    <w:t>2.86</w:t>
                  </w:r>
                  <w:r>
                    <w:rPr>
                      <w:rFonts w:hint="default"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1"/>
                      <w:szCs w:val="21"/>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1"/>
                      <w:szCs w:val="21"/>
                      <w:highlight w:val="none"/>
                      <w:lang w:val="en-US" w:eastAsia="zh-CN" w:bidi="ar"/>
                      <w14:textFill>
                        <w14:solidFill>
                          <w14:schemeClr w14:val="tx1"/>
                        </w14:solidFill>
                      </w14:textFill>
                    </w:rPr>
                    <w:t>/d</w:t>
                  </w:r>
                  <w:r>
                    <w:rPr>
                      <w:rFonts w:hint="eastAsia" w:eastAsia="仿宋_GB2312" w:cs="Times New Roman"/>
                      <w:b w:val="0"/>
                      <w:bCs w:val="0"/>
                      <w:color w:val="000000" w:themeColor="text1"/>
                      <w:kern w:val="16"/>
                      <w:sz w:val="21"/>
                      <w:szCs w:val="21"/>
                      <w:highlight w:val="none"/>
                      <w:lang w:val="en-US" w:eastAsia="zh-CN" w:bidi="ar"/>
                      <w14:textFill>
                        <w14:solidFill>
                          <w14:schemeClr w14:val="tx1"/>
                        </w14:solidFill>
                      </w14:textFill>
                    </w:rPr>
                    <w:t>。</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共设有2座化粪池，管理用房生活污水经管道排至室外20m</w:t>
                  </w:r>
                  <w:r>
                    <w:rPr>
                      <w:rFonts w:hint="eastAsia" w:cs="Times New Roman"/>
                      <w:snapToGrid w:val="0"/>
                      <w:color w:val="000000" w:themeColor="text1"/>
                      <w:kern w:val="2"/>
                      <w:sz w:val="21"/>
                      <w:szCs w:val="20"/>
                      <w:highlight w:val="none"/>
                      <w:vertAlign w:val="superscript"/>
                      <w:lang w:val="en-US" w:eastAsia="zh-CN" w:bidi="ar"/>
                      <w14:textFill>
                        <w14:solidFill>
                          <w14:schemeClr w14:val="tx1"/>
                        </w14:solidFill>
                      </w14:textFill>
                    </w:rPr>
                    <w:t>3</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化粪池，生产区卫生间污水经管道排至卫生间下方设置的12m</w:t>
                  </w:r>
                  <w:r>
                    <w:rPr>
                      <w:rFonts w:hint="eastAsia" w:cs="Times New Roman"/>
                      <w:snapToGrid w:val="0"/>
                      <w:color w:val="000000" w:themeColor="text1"/>
                      <w:kern w:val="2"/>
                      <w:sz w:val="21"/>
                      <w:szCs w:val="20"/>
                      <w:highlight w:val="none"/>
                      <w:vertAlign w:val="superscript"/>
                      <w:lang w:val="en-US" w:eastAsia="zh-CN" w:bidi="ar"/>
                      <w14:textFill>
                        <w14:solidFill>
                          <w14:schemeClr w14:val="tx1"/>
                        </w14:solidFill>
                      </w14:textFill>
                    </w:rPr>
                    <w:t>3</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化粪池，由专业人员定期清理外运至彭阳县第二污水处理厂。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textAlignment w:val="auto"/>
                    <w:rPr>
                      <w:rFonts w:hint="default" w:ascii="Times New Roman" w:hAnsi="Times New Roman" w:eastAsia="宋体" w:cs="Times New Roman"/>
                      <w:b/>
                      <w:bCs/>
                      <w:color w:val="FF0000"/>
                      <w:kern w:val="2"/>
                      <w:sz w:val="21"/>
                      <w:szCs w:val="22"/>
                      <w:highlight w:val="none"/>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pPr>
                  <w:r>
                    <w:rPr>
                      <w:rFonts w:hint="eastAsia" w:cs="Times New Roman"/>
                      <w:snapToGrid w:val="0"/>
                      <w:color w:val="000000" w:themeColor="text1"/>
                      <w:kern w:val="2"/>
                      <w:sz w:val="21"/>
                      <w:szCs w:val="20"/>
                      <w:highlight w:val="none"/>
                      <w:lang w:val="en-US" w:eastAsia="zh-CN" w:bidi="ar"/>
                      <w14:textFill>
                        <w14:solidFill>
                          <w14:schemeClr w14:val="tx1"/>
                        </w14:solidFill>
                      </w14:textFill>
                    </w:rPr>
                    <w:t>雨水：设计重现期5年，屋面雨水均采用重力流排水系统，经雨水管排至室外散水，建筑物室外地面、道路雨水由场地竖向找坡排入室外雨水明沟，最后由设置在场区四周护坡内的导流槽排入周围的泄水沟内。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textAlignment w:val="auto"/>
                    <w:rPr>
                      <w:rFonts w:hint="default" w:ascii="Times New Roman" w:hAnsi="Times New Roman" w:eastAsia="宋体" w:cs="Times New Roman"/>
                      <w:b/>
                      <w:bCs/>
                      <w:color w:val="FF0000"/>
                      <w:kern w:val="2"/>
                      <w:sz w:val="21"/>
                      <w:szCs w:val="22"/>
                      <w:highlight w:val="none"/>
                    </w:rPr>
                  </w:pP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FF0000"/>
                      <w:kern w:val="2"/>
                      <w:sz w:val="21"/>
                      <w:szCs w:val="20"/>
                      <w:highlight w:val="none"/>
                      <w:lang w:val="en-US" w:eastAsia="zh-CN" w:bidi="ar"/>
                    </w:rPr>
                  </w:pPr>
                  <w:r>
                    <w:rPr>
                      <w:rFonts w:hint="default" w:ascii="Times New Roman" w:hAnsi="Times New Roman" w:cs="Times New Roman"/>
                      <w:color w:val="000000" w:themeColor="text1"/>
                      <w:kern w:val="2"/>
                      <w:sz w:val="21"/>
                      <w:szCs w:val="20"/>
                      <w:highlight w:val="none"/>
                      <w:lang w:val="en-US" w:eastAsia="zh-CN" w:bidi="ar"/>
                      <w14:textFill>
                        <w14:solidFill>
                          <w14:schemeClr w14:val="tx1"/>
                        </w14:solidFill>
                      </w14:textFill>
                    </w:rPr>
                    <w:t>供热</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eastAsia="宋体" w:cs="Times New Roman"/>
                      <w:snapToGrid w:val="0"/>
                      <w:color w:val="FF0000"/>
                      <w:kern w:val="2"/>
                      <w:sz w:val="21"/>
                      <w:szCs w:val="20"/>
                      <w:highlight w:val="none"/>
                      <w:lang w:val="en-US" w:eastAsia="zh-CN" w:bidi="ar"/>
                    </w:rPr>
                  </w:pPr>
                  <w:r>
                    <w:rPr>
                      <w:rFonts w:hint="eastAsia" w:cs="Times New Roman"/>
                      <w:snapToGrid w:val="0"/>
                      <w:color w:val="000000" w:themeColor="text1"/>
                      <w:kern w:val="2"/>
                      <w:sz w:val="21"/>
                      <w:szCs w:val="20"/>
                      <w:highlight w:val="none"/>
                      <w:lang w:val="en-US" w:eastAsia="zh-CN" w:bidi="ar"/>
                      <w14:textFill>
                        <w14:solidFill>
                          <w14:schemeClr w14:val="tx1"/>
                        </w14:solidFill>
                      </w14:textFill>
                    </w:rPr>
                    <w:t>本项目管理用房室内采用散热器供暖，供回水温度50℃/40℃的热水。由室外设置的空气源热泵做为热源供暖。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textAlignment w:val="auto"/>
                    <w:rPr>
                      <w:rFonts w:hint="default" w:ascii="Times New Roman" w:hAnsi="Times New Roman" w:eastAsia="宋体" w:cs="Times New Roman"/>
                      <w:b/>
                      <w:bCs/>
                      <w:color w:val="FF0000"/>
                      <w:kern w:val="2"/>
                      <w:sz w:val="21"/>
                      <w:szCs w:val="22"/>
                      <w:highlight w:val="none"/>
                    </w:rPr>
                  </w:pP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
                      <w14:textFill>
                        <w14:solidFill>
                          <w14:schemeClr w14:val="tx1"/>
                        </w14:solidFill>
                      </w14:textFill>
                    </w:rPr>
                    <w:t>供</w:t>
                  </w:r>
                  <w:r>
                    <w:rPr>
                      <w:rFonts w:hint="default" w:ascii="Times New Roman" w:hAnsi="Times New Roman" w:cs="Times New Roman"/>
                      <w:color w:val="000000" w:themeColor="text1"/>
                      <w:szCs w:val="22"/>
                      <w:highlight w:val="none"/>
                      <w:lang w:eastAsia="zh-CN"/>
                      <w14:textFill>
                        <w14:solidFill>
                          <w14:schemeClr w14:val="tx1"/>
                        </w14:solidFill>
                      </w14:textFill>
                    </w:rPr>
                    <w:t>电</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项目配套建设10kV电网线路引至项目</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厂区</w:t>
                  </w: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restart"/>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FF0000"/>
                      <w:kern w:val="2"/>
                      <w:sz w:val="21"/>
                      <w:szCs w:val="22"/>
                      <w:highlight w:val="none"/>
                    </w:rPr>
                  </w:pPr>
                  <w:r>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t>环保工程</w:t>
                  </w:r>
                </w:p>
              </w:tc>
              <w:tc>
                <w:tcPr>
                  <w:tcW w:w="1322"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0"/>
                      <w:highlight w:val="none"/>
                      <w:lang w:val="en-US" w:eastAsia="zh-CN" w:bidi="ar"/>
                      <w14:textFill>
                        <w14:solidFill>
                          <w14:schemeClr w14:val="tx1"/>
                        </w14:solidFill>
                      </w14:textFill>
                    </w:rPr>
                    <w:t>废气</w:t>
                  </w: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治理</w:t>
                  </w:r>
                  <w:r>
                    <w:rPr>
                      <w:rFonts w:hint="default" w:ascii="Times New Roman" w:hAnsi="Times New Roman" w:eastAsia="宋体" w:cs="Times New Roman"/>
                      <w:b w:val="0"/>
                      <w:bCs w:val="0"/>
                      <w:color w:val="000000" w:themeColor="text1"/>
                      <w:kern w:val="2"/>
                      <w:sz w:val="21"/>
                      <w:szCs w:val="20"/>
                      <w:highlight w:val="none"/>
                      <w:lang w:val="en-US" w:eastAsia="zh-CN" w:bidi="ar"/>
                      <w14:textFill>
                        <w14:solidFill>
                          <w14:schemeClr w14:val="tx1"/>
                        </w14:solidFill>
                      </w14:textFill>
                    </w:rPr>
                    <w:t>措施</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建筑、装饰垃圾再生线产生的废气主要来源于建筑垃圾原料运输卸料阶段、破碎环节、筛分环节、风选环节以及建筑垃圾再生骨料装卸阶段。本项目再生混凝土制品生产线产生的废气主要来源于建筑垃圾原料运输装卸阶段、水泥输送阶段以及搅拌机搅拌环节。本项目水稳料生产线产生的废气主要来源于混合骨料上料阶段、水泥输送阶段以及搅拌机搅拌环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szCs w:val="22"/>
                    </w:rPr>
                  </w:pPr>
                  <w:r>
                    <w:rPr>
                      <w:rFonts w:hint="eastAsia" w:cs="Times New Roman"/>
                      <w:color w:val="000000" w:themeColor="text1"/>
                      <w:sz w:val="21"/>
                      <w:szCs w:val="21"/>
                      <w:lang w:val="en-US" w:eastAsia="zh-CN"/>
                      <w14:textFill>
                        <w14:solidFill>
                          <w14:schemeClr w14:val="tx1"/>
                        </w14:solidFill>
                      </w14:textFill>
                    </w:rPr>
                    <w:t>建筑垃圾原料运输卸料阶段</w:t>
                  </w:r>
                </w:p>
              </w:tc>
              <w:tc>
                <w:tcPr>
                  <w:tcW w:w="4408" w:type="dxa"/>
                  <w:gridSpan w:val="2"/>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eastAsia" w:eastAsia="宋体"/>
                      <w:szCs w:val="22"/>
                      <w:lang w:val="en-US" w:eastAsia="zh-CN"/>
                    </w:rPr>
                  </w:pPr>
                  <w:r>
                    <w:rPr>
                      <w:rFonts w:hint="eastAsia"/>
                      <w:szCs w:val="22"/>
                    </w:rPr>
                    <w:t>建筑</w:t>
                  </w:r>
                  <w:r>
                    <w:rPr>
                      <w:rFonts w:hint="eastAsia"/>
                      <w:szCs w:val="22"/>
                      <w:lang w:val="en-US" w:eastAsia="zh-CN"/>
                    </w:rPr>
                    <w:t>垃圾原料</w:t>
                  </w:r>
                  <w:r>
                    <w:rPr>
                      <w:rFonts w:hint="eastAsia"/>
                      <w:szCs w:val="22"/>
                    </w:rPr>
                    <w:t>卸料环节位于</w:t>
                  </w:r>
                  <w:r>
                    <w:rPr>
                      <w:rFonts w:hint="eastAsia"/>
                      <w:szCs w:val="22"/>
                      <w:lang w:val="en-US" w:eastAsia="zh-CN"/>
                    </w:rPr>
                    <w:t>室外裸露原料堆场上</w:t>
                  </w:r>
                  <w:r>
                    <w:rPr>
                      <w:rFonts w:hint="eastAsia"/>
                      <w:szCs w:val="22"/>
                    </w:rPr>
                    <w:t>，</w:t>
                  </w:r>
                  <w:r>
                    <w:rPr>
                      <w:rFonts w:hint="eastAsia"/>
                      <w:szCs w:val="22"/>
                      <w:lang w:val="en-US" w:eastAsia="zh-CN"/>
                    </w:rPr>
                    <w:t>后转移至卸料仓</w:t>
                  </w:r>
                  <w:r>
                    <w:rPr>
                      <w:rFonts w:hint="eastAsia"/>
                      <w:szCs w:val="22"/>
                      <w:lang w:eastAsia="zh-CN"/>
                    </w:rPr>
                    <w:t>。</w:t>
                  </w:r>
                  <w:r>
                    <w:rPr>
                      <w:rFonts w:hint="eastAsia"/>
                      <w:szCs w:val="22"/>
                      <w:lang w:val="en-US" w:eastAsia="zh-CN"/>
                    </w:rPr>
                    <w:t>卸料仓</w:t>
                  </w:r>
                  <w:r>
                    <w:rPr>
                      <w:rFonts w:hint="eastAsia" w:cs="Times New Roman"/>
                      <w:color w:val="000000" w:themeColor="text1"/>
                      <w:kern w:val="2"/>
                      <w:sz w:val="21"/>
                      <w:szCs w:val="21"/>
                      <w:highlight w:val="none"/>
                      <w:lang w:val="en-US" w:eastAsia="zh-CN" w:bidi="ar-SA"/>
                      <w14:textFill>
                        <w14:solidFill>
                          <w14:schemeClr w14:val="tx1"/>
                        </w14:solidFill>
                      </w14:textFill>
                    </w:rPr>
                    <w:t>采用编制覆盖和洒水的方式进行抑尘处理。</w:t>
                  </w:r>
                  <w:r>
                    <w:rPr>
                      <w:rFonts w:hint="eastAsia" w:eastAsia="宋体" w:cs="Times New Roman"/>
                      <w:color w:val="000000" w:themeColor="text1"/>
                      <w:kern w:val="2"/>
                      <w:sz w:val="21"/>
                      <w:szCs w:val="21"/>
                      <w:highlight w:val="none"/>
                      <w:lang w:val="en-US" w:eastAsia="zh-CN" w:bidi="ar-SA"/>
                      <w14:textFill>
                        <w14:solidFill>
                          <w14:schemeClr w14:val="tx1"/>
                        </w14:solidFill>
                      </w14:textFill>
                    </w:rPr>
                    <w:t>车间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设置</w:t>
                  </w:r>
                  <w:r>
                    <w:rPr>
                      <w:rFonts w:hint="eastAsia" w:eastAsia="宋体" w:cs="Times New Roman"/>
                      <w:color w:val="000000" w:themeColor="text1"/>
                      <w:kern w:val="2"/>
                      <w:sz w:val="21"/>
                      <w:szCs w:val="21"/>
                      <w:highlight w:val="none"/>
                      <w:lang w:val="en-US" w:eastAsia="zh-CN" w:bidi="ar-SA"/>
                      <w14:textFill>
                        <w14:solidFill>
                          <w14:schemeClr w14:val="tx1"/>
                        </w14:solidFill>
                      </w14:textFill>
                    </w:rPr>
                    <w:t>4台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活性干雾机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，从而有效降低粉尘排放</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厂区进场</w:t>
                  </w:r>
                  <w:r>
                    <w:rPr>
                      <w:rFonts w:hint="eastAsia"/>
                      <w:color w:val="000000" w:themeColor="text1"/>
                      <w:szCs w:val="21"/>
                      <w:lang w:val="en-US" w:eastAsia="zh-CN"/>
                      <w14:textFill>
                        <w14:solidFill>
                          <w14:schemeClr w14:val="tx1"/>
                        </w14:solidFill>
                      </w14:textFill>
                    </w:rPr>
                    <w:t>道路两旁设置</w:t>
                  </w:r>
                  <w:r>
                    <w:rPr>
                      <w:rFonts w:hint="default"/>
                      <w:szCs w:val="22"/>
                    </w:rPr>
                    <w:t>雾炮环保系统降尘</w:t>
                  </w:r>
                  <w:r>
                    <w:rPr>
                      <w:rFonts w:hint="eastAsia"/>
                      <w:szCs w:val="22"/>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olor w:val="000000" w:themeColor="text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建筑垃圾再生骨料装卸阶段</w:t>
                  </w:r>
                </w:p>
              </w:tc>
              <w:tc>
                <w:tcPr>
                  <w:tcW w:w="4408" w:type="dxa"/>
                  <w:gridSpan w:val="2"/>
                  <w:tcBorders>
                    <w:tl2br w:val="nil"/>
                    <w:tr2bl w:val="nil"/>
                  </w:tcBorders>
                  <w:shd w:val="clear" w:color="auto" w:fill="auto"/>
                  <w:noWrap/>
                  <w:tcMar>
                    <w:left w:w="57" w:type="dxa"/>
                    <w:right w:w="57" w:type="dxa"/>
                  </w:tcMar>
                  <w:vAlign w:val="center"/>
                </w:tcPr>
                <w:p>
                  <w:pPr>
                    <w:keepNext w:val="0"/>
                    <w:keepLines w:val="0"/>
                    <w:suppressLineNumbers w:val="0"/>
                    <w:spacing w:before="0" w:beforeAutospacing="0" w:after="0" w:afterAutospacing="0" w:line="240" w:lineRule="exact"/>
                    <w:ind w:left="0" w:leftChars="0" w:right="0" w:rightChars="0"/>
                    <w:rPr>
                      <w:rFonts w:hint="eastAsia" w:ascii="Times New Roman" w:hAnsi="Times New Roman" w:eastAsia="宋体" w:cs="Times New Roman"/>
                      <w:kern w:val="2"/>
                      <w:sz w:val="21"/>
                      <w:szCs w:val="22"/>
                      <w:lang w:val="en-US" w:eastAsia="zh-CN" w:bidi="ar-SA"/>
                    </w:rPr>
                  </w:pPr>
                  <w:r>
                    <w:rPr>
                      <w:rFonts w:hint="eastAsia"/>
                      <w:szCs w:val="22"/>
                      <w:lang w:val="en-US" w:eastAsia="zh-CN"/>
                    </w:rPr>
                    <w:t>经风选过后较为清洁的建筑垃圾再生骨料</w:t>
                  </w:r>
                  <w:r>
                    <w:rPr>
                      <w:rFonts w:hint="eastAsia" w:cs="Times New Roman"/>
                      <w:color w:val="000000" w:themeColor="text1"/>
                      <w:szCs w:val="21"/>
                      <w:highlight w:val="none"/>
                      <w:lang w:val="en-US" w:eastAsia="zh-CN"/>
                      <w14:textFill>
                        <w14:solidFill>
                          <w14:schemeClr w14:val="tx1"/>
                        </w14:solidFill>
                      </w14:textFill>
                    </w:rPr>
                    <w:t>经筛分后分别贮存于各混合骨料暂存间内</w:t>
                  </w:r>
                  <w:r>
                    <w:rPr>
                      <w:rFonts w:hint="eastAsia"/>
                      <w:szCs w:val="22"/>
                      <w:lang w:val="en-US" w:eastAsia="zh-CN"/>
                    </w:rPr>
                    <w:t>，采用编制覆盖和洒水的方式抑尘，需要时拉运至再生产品堆场。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未收集到的粉尘</w:t>
                  </w:r>
                </w:p>
              </w:tc>
              <w:tc>
                <w:tcPr>
                  <w:tcW w:w="4408" w:type="dxa"/>
                  <w:gridSpan w:val="2"/>
                  <w:tcBorders>
                    <w:tl2br w:val="nil"/>
                    <w:tr2bl w:val="nil"/>
                  </w:tcBorders>
                  <w:shd w:val="clear" w:color="auto" w:fill="auto"/>
                  <w:noWrap/>
                  <w:tcMar>
                    <w:left w:w="57" w:type="dxa"/>
                    <w:right w:w="57" w:type="dxa"/>
                  </w:tcMar>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line="240" w:lineRule="auto"/>
                    <w:ind w:left="0" w:leftChars="0" w:right="0" w:firstLine="420" w:firstLineChars="200"/>
                    <w:rPr>
                      <w:szCs w:val="22"/>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未收集到的粉尘通过加强厂房封闭，</w:t>
                  </w:r>
                  <w:r>
                    <w:rPr>
                      <w:rFonts w:hint="eastAsia" w:eastAsia="宋体" w:cs="Times New Roman"/>
                      <w:color w:val="000000" w:themeColor="text1"/>
                      <w:kern w:val="2"/>
                      <w:sz w:val="21"/>
                      <w:szCs w:val="21"/>
                      <w:highlight w:val="none"/>
                      <w:lang w:val="en-US" w:eastAsia="zh-CN" w:bidi="ar-SA"/>
                      <w14:textFill>
                        <w14:solidFill>
                          <w14:schemeClr w14:val="tx1"/>
                        </w14:solidFill>
                      </w14:textFill>
                    </w:rPr>
                    <w:t>车间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设置</w:t>
                  </w:r>
                  <w:r>
                    <w:rPr>
                      <w:rFonts w:hint="eastAsia" w:eastAsia="宋体" w:cs="Times New Roman"/>
                      <w:color w:val="000000" w:themeColor="text1"/>
                      <w:kern w:val="2"/>
                      <w:sz w:val="21"/>
                      <w:szCs w:val="21"/>
                      <w:highlight w:val="none"/>
                      <w:lang w:val="en-US" w:eastAsia="zh-CN" w:bidi="ar-SA"/>
                      <w14:textFill>
                        <w14:solidFill>
                          <w14:schemeClr w14:val="tx1"/>
                        </w14:solidFill>
                      </w14:textFill>
                    </w:rPr>
                    <w:t>4台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活性干雾机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，从而有效降低粉尘排放</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颚式破碎破碎环节</w:t>
                  </w:r>
                </w:p>
              </w:tc>
              <w:tc>
                <w:tcPr>
                  <w:tcW w:w="1850"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ascii="Times New Roman" w:hAnsi="Times New Roman" w:eastAsia="宋体" w:cs="Times New Roman"/>
                      <w:kern w:val="2"/>
                      <w:sz w:val="21"/>
                      <w:szCs w:val="22"/>
                      <w:lang w:val="en-US" w:eastAsia="zh-CN" w:bidi="ar-SA"/>
                    </w:rPr>
                  </w:pPr>
                  <w:r>
                    <w:rPr>
                      <w:rFonts w:hint="eastAsia"/>
                      <w:szCs w:val="22"/>
                    </w:rPr>
                    <w:t>设置1</w:t>
                  </w:r>
                  <w:r>
                    <w:rPr>
                      <w:rFonts w:hint="eastAsia"/>
                      <w:szCs w:val="22"/>
                      <w:lang w:val="en-US" w:eastAsia="zh-CN"/>
                    </w:rPr>
                    <w:t>套</w:t>
                  </w:r>
                  <w:r>
                    <w:rPr>
                      <w:rFonts w:hint="eastAsia"/>
                      <w:szCs w:val="22"/>
                    </w:rPr>
                    <w:t>集气罩</w:t>
                  </w:r>
                </w:p>
              </w:tc>
              <w:tc>
                <w:tcPr>
                  <w:tcW w:w="2558"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r>
                    <w:rPr>
                      <w:rFonts w:hint="eastAsia"/>
                      <w:szCs w:val="22"/>
                    </w:rPr>
                    <w:t>通过“负压收集+1套布袋除尘器+</w:t>
                  </w:r>
                  <w:r>
                    <w:rPr>
                      <w:rFonts w:hint="eastAsia"/>
                      <w:szCs w:val="22"/>
                      <w:lang w:val="en-US" w:eastAsia="zh-CN"/>
                    </w:rPr>
                    <w:t>15</w:t>
                  </w:r>
                  <w:r>
                    <w:rPr>
                      <w:rFonts w:hint="eastAsia"/>
                      <w:szCs w:val="22"/>
                    </w:rPr>
                    <w:t>m高排气筒（DA001）”</w:t>
                  </w:r>
                  <w:r>
                    <w:rPr>
                      <w:rFonts w:hint="eastAsia"/>
                      <w:szCs w:val="22"/>
                      <w:lang w:val="en-US" w:eastAsia="zh-CN"/>
                    </w:rPr>
                    <w:t>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风选机风选</w:t>
                  </w:r>
                  <w:r>
                    <w:rPr>
                      <w:rFonts w:hint="eastAsia"/>
                      <w:color w:val="000000" w:themeColor="text1"/>
                      <w:szCs w:val="21"/>
                      <w:lang w:val="en-US" w:eastAsia="zh-CN"/>
                      <w14:textFill>
                        <w14:solidFill>
                          <w14:schemeClr w14:val="tx1"/>
                        </w14:solidFill>
                      </w14:textFill>
                    </w:rPr>
                    <w:t>环节</w:t>
                  </w:r>
                </w:p>
              </w:tc>
              <w:tc>
                <w:tcPr>
                  <w:tcW w:w="1850"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hint="eastAsia" w:ascii="Times New Roman" w:hAnsi="Times New Roman" w:eastAsia="宋体" w:cs="Times New Roman"/>
                      <w:kern w:val="2"/>
                      <w:sz w:val="21"/>
                      <w:szCs w:val="22"/>
                      <w:lang w:val="en-US" w:eastAsia="zh-CN" w:bidi="ar-SA"/>
                    </w:rPr>
                  </w:pPr>
                  <w:r>
                    <w:rPr>
                      <w:rFonts w:hint="eastAsia"/>
                      <w:szCs w:val="22"/>
                    </w:rPr>
                    <w:t>设置1</w:t>
                  </w:r>
                  <w:r>
                    <w:rPr>
                      <w:rFonts w:hint="eastAsia"/>
                      <w:szCs w:val="22"/>
                      <w:lang w:val="en-US" w:eastAsia="zh-CN"/>
                    </w:rPr>
                    <w:t>套</w:t>
                  </w:r>
                  <w:r>
                    <w:rPr>
                      <w:rFonts w:hint="eastAsia"/>
                      <w:szCs w:val="22"/>
                    </w:rPr>
                    <w:t>集气罩</w:t>
                  </w:r>
                </w:p>
              </w:tc>
              <w:tc>
                <w:tcPr>
                  <w:tcW w:w="2558"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r>
                    <w:rPr>
                      <w:rFonts w:hint="eastAsia"/>
                      <w:szCs w:val="22"/>
                    </w:rPr>
                    <w:t>通过“负压收集+1套布袋除尘器+</w:t>
                  </w:r>
                  <w:r>
                    <w:rPr>
                      <w:rFonts w:hint="eastAsia"/>
                      <w:szCs w:val="22"/>
                      <w:lang w:val="en-US" w:eastAsia="zh-CN"/>
                    </w:rPr>
                    <w:t>15</w:t>
                  </w:r>
                  <w:r>
                    <w:rPr>
                      <w:rFonts w:hint="eastAsia"/>
                      <w:szCs w:val="22"/>
                    </w:rPr>
                    <w:t>m高排气筒（DA00</w:t>
                  </w:r>
                  <w:r>
                    <w:rPr>
                      <w:rFonts w:hint="eastAsia"/>
                      <w:szCs w:val="22"/>
                      <w:lang w:val="en-US" w:eastAsia="zh-CN"/>
                    </w:rPr>
                    <w:t>2</w:t>
                  </w:r>
                  <w:r>
                    <w:rPr>
                      <w:rFonts w:hint="eastAsia"/>
                      <w:szCs w:val="22"/>
                    </w:rPr>
                    <w:t>）”</w:t>
                  </w:r>
                  <w:r>
                    <w:rPr>
                      <w:rFonts w:hint="eastAsia"/>
                      <w:szCs w:val="22"/>
                      <w:lang w:val="en-US" w:eastAsia="zh-CN"/>
                    </w:rPr>
                    <w:t>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再生混凝土制品生产线</w:t>
                  </w:r>
                  <w:r>
                    <w:rPr>
                      <w:rFonts w:hint="eastAsia" w:cs="Times New Roman"/>
                      <w:b w:val="0"/>
                      <w:bCs w:val="0"/>
                      <w:color w:val="000000" w:themeColor="text1"/>
                      <w:szCs w:val="21"/>
                      <w:highlight w:val="none"/>
                      <w:lang w:val="en-US" w:eastAsia="zh-CN"/>
                      <w14:textFill>
                        <w14:solidFill>
                          <w14:schemeClr w14:val="tx1"/>
                        </w14:solidFill>
                      </w14:textFill>
                    </w:rPr>
                    <w:t>粉料筒仓罐输送阶段</w:t>
                  </w:r>
                </w:p>
              </w:tc>
              <w:tc>
                <w:tcPr>
                  <w:tcW w:w="4408" w:type="dxa"/>
                  <w:gridSpan w:val="2"/>
                  <w:vMerge w:val="restart"/>
                  <w:tcBorders>
                    <w:tl2br w:val="nil"/>
                    <w:tr2bl w:val="nil"/>
                  </w:tcBorders>
                  <w:shd w:val="clear" w:color="auto" w:fill="auto"/>
                  <w:noWrap/>
                  <w:tcMar>
                    <w:left w:w="57" w:type="dxa"/>
                    <w:right w:w="57" w:type="dxa"/>
                  </w:tcMar>
                  <w:vAlign w:val="center"/>
                </w:tcPr>
                <w:p>
                  <w:pPr>
                    <w:pStyle w:val="36"/>
                    <w:keepNext w:val="0"/>
                    <w:keepLines w:val="0"/>
                    <w:suppressLineNumbers w:val="0"/>
                    <w:spacing w:before="0" w:beforeAutospacing="0" w:afterAutospacing="0" w:line="240" w:lineRule="auto"/>
                    <w:ind w:left="0" w:right="0" w:firstLine="420" w:firstLineChars="200"/>
                    <w:rPr>
                      <w:szCs w:val="22"/>
                    </w:rPr>
                  </w:pPr>
                  <w:r>
                    <w:rPr>
                      <w:rFonts w:hint="eastAsia"/>
                      <w:b w:val="0"/>
                      <w:bCs w:val="0"/>
                      <w:szCs w:val="22"/>
                    </w:rPr>
                    <w:t>每个粉料筒仓罐排气孔处均安装有布袋除尘器</w:t>
                  </w:r>
                  <w:r>
                    <w:rPr>
                      <w:rFonts w:hint="eastAsia"/>
                      <w:b w:val="0"/>
                      <w:bCs w:val="0"/>
                      <w:szCs w:val="22"/>
                      <w:lang w:eastAsia="zh-CN"/>
                    </w:rPr>
                    <w:t>，</w:t>
                  </w:r>
                  <w:r>
                    <w:rPr>
                      <w:rFonts w:hint="eastAsia"/>
                      <w:b w:val="0"/>
                      <w:bCs w:val="0"/>
                      <w:szCs w:val="22"/>
                    </w:rPr>
                    <w:t>在往粉料筒仓罐中输送时，产生的粉尘经粉料筒仓罐罐顶的布袋除尘器处理</w:t>
                  </w:r>
                  <w:r>
                    <w:rPr>
                      <w:rFonts w:hint="eastAsia"/>
                      <w:b w:val="0"/>
                      <w:bCs w:val="0"/>
                      <w:szCs w:val="22"/>
                      <w:lang w:val="en-US" w:eastAsia="zh-CN"/>
                    </w:rPr>
                    <w:t>后，</w:t>
                  </w:r>
                  <w:r>
                    <w:rPr>
                      <w:rFonts w:hint="eastAsia" w:ascii="Times New Roman" w:hAnsi="Times New Roman" w:eastAsia="宋体" w:cs="Times New Roman"/>
                      <w:b w:val="0"/>
                      <w:bCs w:val="0"/>
                      <w:snapToGrid/>
                      <w:kern w:val="2"/>
                      <w:sz w:val="21"/>
                      <w:szCs w:val="22"/>
                    </w:rPr>
                    <w:t>通过</w:t>
                  </w:r>
                  <w:r>
                    <w:rPr>
                      <w:rFonts w:hint="eastAsia" w:eastAsia="宋体" w:cs="Times New Roman"/>
                      <w:b w:val="0"/>
                      <w:bCs w:val="0"/>
                      <w:kern w:val="2"/>
                      <w:sz w:val="21"/>
                      <w:szCs w:val="22"/>
                      <w:lang w:val="en-US" w:eastAsia="zh-CN" w:bidi="ar-SA"/>
                    </w:rPr>
                    <w:t>粉料筒仓罐</w:t>
                  </w:r>
                  <w:r>
                    <w:rPr>
                      <w:rFonts w:hint="eastAsia" w:ascii="Times New Roman" w:hAnsi="Times New Roman" w:eastAsia="宋体" w:cs="Times New Roman"/>
                      <w:b w:val="0"/>
                      <w:bCs w:val="0"/>
                      <w:snapToGrid/>
                      <w:kern w:val="2"/>
                      <w:sz w:val="21"/>
                      <w:szCs w:val="22"/>
                    </w:rPr>
                    <w:t>呼吸口排出，属于无组织排放。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水稳料生产线</w:t>
                  </w:r>
                  <w:r>
                    <w:rPr>
                      <w:rFonts w:hint="eastAsia" w:cs="Times New Roman"/>
                      <w:b w:val="0"/>
                      <w:bCs w:val="0"/>
                      <w:color w:val="000000" w:themeColor="text1"/>
                      <w:szCs w:val="21"/>
                      <w:highlight w:val="none"/>
                      <w:lang w:val="en-US" w:eastAsia="zh-CN"/>
                      <w14:textFill>
                        <w14:solidFill>
                          <w14:schemeClr w14:val="tx1"/>
                        </w14:solidFill>
                      </w14:textFill>
                    </w:rPr>
                    <w:t>粉料筒仓罐输送阶段</w:t>
                  </w:r>
                </w:p>
              </w:tc>
              <w:tc>
                <w:tcPr>
                  <w:tcW w:w="4408"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再生混凝土制品生产线搅拌阶段</w:t>
                  </w:r>
                </w:p>
              </w:tc>
              <w:tc>
                <w:tcPr>
                  <w:tcW w:w="4408" w:type="dxa"/>
                  <w:gridSpan w:val="2"/>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eastAsia" w:eastAsia="宋体"/>
                      <w:szCs w:val="22"/>
                      <w:lang w:eastAsia="zh-CN"/>
                    </w:rPr>
                  </w:pPr>
                  <w:r>
                    <w:rPr>
                      <w:rFonts w:hint="eastAsia" w:cs="Times New Roman"/>
                      <w:b w:val="0"/>
                      <w:bCs w:val="0"/>
                      <w:kern w:val="2"/>
                      <w:sz w:val="21"/>
                      <w:szCs w:val="22"/>
                      <w:lang w:val="en-US" w:eastAsia="zh-CN" w:bidi="ar-SA"/>
                    </w:rPr>
                    <w:t>本项目采用全密闭搅拌，每台</w:t>
                  </w:r>
                  <w:r>
                    <w:rPr>
                      <w:rFonts w:hint="eastAsia"/>
                      <w:szCs w:val="22"/>
                    </w:rPr>
                    <w:t>搅拌机</w:t>
                  </w:r>
                  <w:r>
                    <w:rPr>
                      <w:rFonts w:hint="eastAsia"/>
                      <w:szCs w:val="22"/>
                      <w:lang w:val="en-US" w:eastAsia="zh-CN"/>
                    </w:rPr>
                    <w:t>分别</w:t>
                  </w:r>
                  <w:r>
                    <w:rPr>
                      <w:rFonts w:hint="eastAsia"/>
                      <w:szCs w:val="22"/>
                    </w:rPr>
                    <w:t>配置脉冲布袋除尘器，搅拌过程中在搅拌装置处设置管道，通过管道将粉尘引入配套的1套脉冲布袋除尘器（除尘效率99.7%）内进行除尘处理</w:t>
                  </w:r>
                  <w:r>
                    <w:rPr>
                      <w:rFonts w:hint="eastAsia"/>
                      <w:szCs w:val="22"/>
                      <w:lang w:eastAsia="zh-CN"/>
                    </w:rPr>
                    <w:t>，</w:t>
                  </w:r>
                  <w:r>
                    <w:rPr>
                      <w:rFonts w:hint="eastAsia"/>
                      <w:szCs w:val="22"/>
                    </w:rPr>
                    <w:t>搅拌机产生的</w:t>
                  </w:r>
                  <w:r>
                    <w:rPr>
                      <w:rFonts w:hint="eastAsia"/>
                      <w:szCs w:val="22"/>
                      <w:lang w:val="en-US" w:eastAsia="zh-CN"/>
                    </w:rPr>
                    <w:t>落料</w:t>
                  </w:r>
                  <w:r>
                    <w:rPr>
                      <w:rFonts w:hint="eastAsia"/>
                      <w:szCs w:val="22"/>
                    </w:rPr>
                    <w:t>粉尘属于无组织排放。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6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c>
                <w:tcPr>
                  <w:tcW w:w="1849" w:type="dxa"/>
                  <w:gridSpan w:val="3"/>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水稳料生产线搅拌阶段</w:t>
                  </w:r>
                </w:p>
              </w:tc>
              <w:tc>
                <w:tcPr>
                  <w:tcW w:w="4408" w:type="dxa"/>
                  <w:gridSpan w:val="2"/>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废水治理措施</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eastAsia" w:cs="Times New Roman"/>
                      <w:color w:val="000000" w:themeColor="text1"/>
                      <w:szCs w:val="22"/>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t>生产废水：</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在原料堆场区设置</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1座</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30</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m</w:t>
                  </w:r>
                  <w:r>
                    <w:rPr>
                      <w:rFonts w:hint="eastAsia" w:cs="Times New Roman"/>
                      <w:snapToGrid w:val="0"/>
                      <w:color w:val="000000" w:themeColor="text1"/>
                      <w:kern w:val="2"/>
                      <w:sz w:val="21"/>
                      <w:szCs w:val="20"/>
                      <w:highlight w:val="none"/>
                      <w:vertAlign w:val="superscript"/>
                      <w:lang w:val="en-US" w:eastAsia="zh-CN" w:bidi="ar"/>
                      <w14:textFill>
                        <w14:solidFill>
                          <w14:schemeClr w14:val="tx1"/>
                        </w14:solidFill>
                      </w14:textFill>
                    </w:rPr>
                    <w:t>3</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生产废水收集沉淀池，经沉淀后，上清液循环使用，在上清液位处设置2台潜水泵（Q=10m</w:t>
                  </w:r>
                  <w:r>
                    <w:rPr>
                      <w:rFonts w:hint="eastAsia" w:ascii="Times New Roman" w:hAnsi="Times New Roman" w:eastAsia="宋体" w:cs="Times New Roman"/>
                      <w:snapToGrid w:val="0"/>
                      <w:color w:val="000000" w:themeColor="text1"/>
                      <w:kern w:val="2"/>
                      <w:sz w:val="21"/>
                      <w:szCs w:val="20"/>
                      <w:highlight w:val="none"/>
                      <w:vertAlign w:val="superscript"/>
                      <w:lang w:val="en-US" w:eastAsia="zh-CN" w:bidi="ar"/>
                      <w14:textFill>
                        <w14:solidFill>
                          <w14:schemeClr w14:val="tx1"/>
                        </w14:solidFill>
                      </w14:textFill>
                    </w:rPr>
                    <w:t>3</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/h H=10m 一用一备）提供生产用水。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t>生活污水：</w:t>
                  </w: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共设有2座化粪池，管理用房生活污水经管道排至室外20</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m</w:t>
                  </w:r>
                  <w:r>
                    <w:rPr>
                      <w:rFonts w:hint="eastAsia" w:ascii="Times New Roman" w:hAnsi="Times New Roman" w:eastAsia="宋体" w:cs="Times New Roman"/>
                      <w:snapToGrid w:val="0"/>
                      <w:color w:val="000000" w:themeColor="text1"/>
                      <w:kern w:val="2"/>
                      <w:sz w:val="21"/>
                      <w:szCs w:val="20"/>
                      <w:highlight w:val="none"/>
                      <w:vertAlign w:val="superscript"/>
                      <w:lang w:val="en-US" w:eastAsia="zh-CN" w:bidi="ar"/>
                      <w14:textFill>
                        <w14:solidFill>
                          <w14:schemeClr w14:val="tx1"/>
                        </w14:solidFill>
                      </w14:textFill>
                    </w:rPr>
                    <w:t>3</w:t>
                  </w: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化粪池，生产区卫生间污水经管道排至卫生间下方设置的12</w:t>
                  </w:r>
                  <w:r>
                    <w:rPr>
                      <w:rFonts w:hint="eastAsia" w:ascii="Times New Roman" w:hAnsi="Times New Roman" w:eastAsia="宋体" w:cs="Times New Roman"/>
                      <w:snapToGrid w:val="0"/>
                      <w:color w:val="000000" w:themeColor="text1"/>
                      <w:kern w:val="2"/>
                      <w:sz w:val="21"/>
                      <w:szCs w:val="20"/>
                      <w:highlight w:val="none"/>
                      <w:lang w:val="en-US" w:eastAsia="zh-CN" w:bidi="ar"/>
                      <w14:textFill>
                        <w14:solidFill>
                          <w14:schemeClr w14:val="tx1"/>
                        </w14:solidFill>
                      </w14:textFill>
                    </w:rPr>
                    <w:t>m</w:t>
                  </w:r>
                  <w:r>
                    <w:rPr>
                      <w:rFonts w:hint="eastAsia" w:ascii="Times New Roman" w:hAnsi="Times New Roman" w:eastAsia="宋体" w:cs="Times New Roman"/>
                      <w:snapToGrid w:val="0"/>
                      <w:color w:val="000000" w:themeColor="text1"/>
                      <w:kern w:val="2"/>
                      <w:sz w:val="21"/>
                      <w:szCs w:val="20"/>
                      <w:highlight w:val="none"/>
                      <w:vertAlign w:val="superscript"/>
                      <w:lang w:val="en-US" w:eastAsia="zh-CN" w:bidi="ar"/>
                      <w14:textFill>
                        <w14:solidFill>
                          <w14:schemeClr w14:val="tx1"/>
                        </w14:solidFill>
                      </w14:textFill>
                    </w:rPr>
                    <w:t>3</w:t>
                  </w: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化粪池，由专业人员定期清理外运</w:t>
                  </w:r>
                  <w:r>
                    <w:rPr>
                      <w:rFonts w:hint="eastAsia" w:cs="Times New Roman"/>
                      <w:snapToGrid w:val="0"/>
                      <w:color w:val="000000" w:themeColor="text1"/>
                      <w:kern w:val="2"/>
                      <w:sz w:val="21"/>
                      <w:szCs w:val="20"/>
                      <w:highlight w:val="none"/>
                      <w:lang w:val="en-US" w:eastAsia="zh-CN" w:bidi="ar"/>
                      <w14:textFill>
                        <w14:solidFill>
                          <w14:schemeClr w14:val="tx1"/>
                        </w14:solidFill>
                      </w14:textFill>
                    </w:rPr>
                    <w:t>至彭阳县第二污水处理厂。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t>噪声</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治理</w:t>
                  </w:r>
                  <w:r>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t>措施</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运营期</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噪声主要为工艺设备运行时产生的噪声。本项目选用低噪声设备，噪声设备均安装</w:t>
                  </w:r>
                  <w:r>
                    <w:rPr>
                      <w:rFonts w:hint="eastAsia" w:cs="Times New Roman"/>
                      <w:color w:val="000000" w:themeColor="text1"/>
                      <w:szCs w:val="22"/>
                      <w:highlight w:val="none"/>
                      <w:lang w:val="en-US" w:eastAsia="zh-CN"/>
                      <w14:textFill>
                        <w14:solidFill>
                          <w14:schemeClr w14:val="tx1"/>
                        </w14:solidFill>
                      </w14:textFill>
                    </w:rPr>
                    <w:t>减振</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基础，风机、破碎机、处理生产设备采取厂房隔声、安装消声器等措施</w:t>
                  </w:r>
                  <w:r>
                    <w:rPr>
                      <w:rFonts w:hint="eastAsia" w:cs="Times New Roman"/>
                      <w:color w:val="000000" w:themeColor="text1"/>
                      <w:szCs w:val="22"/>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restart"/>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t>固体废物</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治理</w:t>
                  </w:r>
                  <w:r>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t>措施</w:t>
                  </w:r>
                </w:p>
              </w:tc>
              <w:tc>
                <w:tcPr>
                  <w:tcW w:w="1274"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生活垃圾</w:t>
                  </w:r>
                </w:p>
              </w:tc>
              <w:tc>
                <w:tcPr>
                  <w:tcW w:w="4983" w:type="dxa"/>
                  <w:gridSpan w:val="4"/>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left"/>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本项目生活垃圾</w:t>
                  </w:r>
                  <w:r>
                    <w:rPr>
                      <w:rFonts w:hint="eastAsia" w:cs="Times New Roman"/>
                      <w:color w:val="000000" w:themeColor="text1"/>
                      <w:sz w:val="21"/>
                      <w:szCs w:val="21"/>
                      <w:lang w:val="en-US" w:eastAsia="zh-CN"/>
                      <w14:textFill>
                        <w14:solidFill>
                          <w14:schemeClr w14:val="tx1"/>
                        </w14:solidFill>
                      </w14:textFill>
                    </w:rPr>
                    <w:t>利用现有</w:t>
                  </w:r>
                  <w:r>
                    <w:rPr>
                      <w:rFonts w:hint="default" w:cs="Times New Roman"/>
                      <w:color w:val="000000" w:themeColor="text1"/>
                      <w:sz w:val="21"/>
                      <w:szCs w:val="21"/>
                      <w:lang w:val="en-US" w:eastAsia="zh-CN"/>
                      <w14:textFill>
                        <w14:solidFill>
                          <w14:schemeClr w14:val="tx1"/>
                        </w14:solidFill>
                      </w14:textFill>
                    </w:rPr>
                    <w:t>厂区垃圾箱收集，生活垃圾集中收集后交由环卫部门统一处置。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1274"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废润滑油</w:t>
                  </w:r>
                </w:p>
              </w:tc>
              <w:tc>
                <w:tcPr>
                  <w:tcW w:w="4983" w:type="dxa"/>
                  <w:gridSpan w:val="4"/>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left"/>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color w:val="000000" w:themeColor="text1"/>
                      <w:szCs w:val="22"/>
                      <w:highlight w:val="none"/>
                      <w14:textFill>
                        <w14:solidFill>
                          <w14:schemeClr w14:val="tx1"/>
                        </w14:solidFill>
                      </w14:textFill>
                    </w:rPr>
                    <w:t>危险废物收集后按危险废物相关规定进行暂存（生产车间内设置危险废物贮存点，5m</w:t>
                  </w:r>
                  <w:r>
                    <w:rPr>
                      <w:rFonts w:hint="default"/>
                      <w:color w:val="000000" w:themeColor="text1"/>
                      <w:szCs w:val="22"/>
                      <w:highlight w:val="none"/>
                      <w:vertAlign w:val="superscript"/>
                      <w14:textFill>
                        <w14:solidFill>
                          <w14:schemeClr w14:val="tx1"/>
                        </w14:solidFill>
                      </w14:textFill>
                    </w:rPr>
                    <w:t>2</w:t>
                  </w:r>
                  <w:r>
                    <w:rPr>
                      <w:rFonts w:hint="default"/>
                      <w:color w:val="000000" w:themeColor="text1"/>
                      <w:szCs w:val="22"/>
                      <w:highlight w:val="none"/>
                      <w14:textFill>
                        <w14:solidFill>
                          <w14:schemeClr w14:val="tx1"/>
                        </w14:solidFill>
                      </w14:textFill>
                    </w:rPr>
                    <w:t>），定期由有资质单位处置。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674"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1274"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建筑固废中其他组成</w:t>
                  </w:r>
                  <w:r>
                    <w:rPr>
                      <w:rFonts w:hint="eastAsia" w:cs="Times New Roman"/>
                      <w:color w:val="000000" w:themeColor="text1"/>
                      <w:szCs w:val="22"/>
                      <w:highlight w:val="none"/>
                      <w:lang w:val="en-US" w:eastAsia="zh-CN"/>
                      <w14:textFill>
                        <w14:solidFill>
                          <w14:schemeClr w14:val="tx1"/>
                        </w14:solidFill>
                      </w14:textFill>
                    </w:rPr>
                    <w:t>分</w:t>
                  </w:r>
                </w:p>
              </w:tc>
              <w:tc>
                <w:tcPr>
                  <w:tcW w:w="4983" w:type="dxa"/>
                  <w:gridSpan w:val="4"/>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kern w:val="2"/>
                      <w:sz w:val="21"/>
                      <w:szCs w:val="22"/>
                      <w:highlight w:val="none"/>
                      <w:lang w:val="en-US" w:eastAsia="zh-CN" w:bidi="ar-SA"/>
                      <w14:textFill>
                        <w14:solidFill>
                          <w14:schemeClr w14:val="tx1"/>
                        </w14:solidFill>
                      </w14:textFill>
                    </w:rPr>
                    <w:t>沥青</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玻璃</w:t>
                  </w:r>
                  <w:r>
                    <w:rPr>
                      <w:rFonts w:hint="eastAsia" w:cs="Times New Roman"/>
                      <w:color w:val="000000" w:themeColor="text1"/>
                      <w:szCs w:val="22"/>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金属</w:t>
                  </w:r>
                  <w:r>
                    <w:rPr>
                      <w:rFonts w:hint="eastAsia" w:cs="Times New Roman"/>
                      <w:color w:val="000000" w:themeColor="text1"/>
                      <w:szCs w:val="22"/>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塑料</w:t>
                  </w:r>
                  <w:r>
                    <w:rPr>
                      <w:rFonts w:hint="eastAsia" w:cs="Times New Roman"/>
                      <w:color w:val="000000" w:themeColor="text1"/>
                      <w:szCs w:val="22"/>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竹木料</w:t>
                  </w:r>
                  <w:r>
                    <w:rPr>
                      <w:rFonts w:hint="eastAsia" w:cs="Times New Roman"/>
                      <w:color w:val="000000" w:themeColor="text1"/>
                      <w:szCs w:val="22"/>
                      <w:highlight w:val="none"/>
                      <w:lang w:val="en-US" w:eastAsia="zh-CN"/>
                      <w14:textFill>
                        <w14:solidFill>
                          <w14:schemeClr w14:val="tx1"/>
                        </w14:solidFill>
                      </w14:textFill>
                    </w:rPr>
                    <w:t>等</w:t>
                  </w:r>
                  <w:r>
                    <w:rPr>
                      <w:rFonts w:hint="eastAsia"/>
                      <w:color w:val="000000" w:themeColor="text1"/>
                      <w:szCs w:val="22"/>
                      <w:highlight w:val="none"/>
                      <w14:textFill>
                        <w14:solidFill>
                          <w14:schemeClr w14:val="tx1"/>
                        </w14:solidFill>
                      </w14:textFill>
                    </w:rPr>
                    <w:t>统一收集</w:t>
                  </w:r>
                  <w:r>
                    <w:rPr>
                      <w:rFonts w:hint="eastAsia"/>
                      <w:color w:val="000000" w:themeColor="text1"/>
                      <w:szCs w:val="22"/>
                      <w:highlight w:val="none"/>
                      <w:lang w:val="en-US" w:eastAsia="zh-CN"/>
                      <w14:textFill>
                        <w14:solidFill>
                          <w14:schemeClr w14:val="tx1"/>
                        </w14:solidFill>
                      </w14:textFill>
                    </w:rPr>
                    <w:t>外售利用。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1058"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1274"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cs="Times New Roman"/>
                      <w:color w:val="000000" w:themeColor="text1"/>
                      <w:szCs w:val="22"/>
                      <w:highlight w:val="none"/>
                      <w:lang w:val="en-US" w:eastAsia="zh-CN"/>
                      <w14:textFill>
                        <w14:solidFill>
                          <w14:schemeClr w14:val="tx1"/>
                        </w14:solidFill>
                      </w14:textFill>
                    </w:rPr>
                    <w:t>建筑固废中的品质较差骨料和渣土类</w:t>
                  </w:r>
                </w:p>
              </w:tc>
              <w:tc>
                <w:tcPr>
                  <w:tcW w:w="4983" w:type="dxa"/>
                  <w:gridSpan w:val="4"/>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left"/>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重型振动给料机和除土振动筛产生的渣土统一收集到渣土仓内，</w:t>
                  </w:r>
                  <w:r>
                    <w:rPr>
                      <w:rFonts w:hint="eastAsia"/>
                      <w:color w:val="000000" w:themeColor="text1"/>
                      <w:szCs w:val="22"/>
                      <w:highlight w:val="none"/>
                      <w:lang w:val="en-US" w:eastAsia="zh-CN"/>
                      <w14:textFill>
                        <w14:solidFill>
                          <w14:schemeClr w14:val="tx1"/>
                        </w14:solidFill>
                      </w14:textFill>
                    </w:rPr>
                    <w:t>优先</w:t>
                  </w:r>
                  <w:r>
                    <w:rPr>
                      <w:rFonts w:hint="eastAsia"/>
                      <w:color w:val="000000" w:themeColor="text1"/>
                      <w:szCs w:val="22"/>
                      <w:highlight w:val="none"/>
                      <w14:textFill>
                        <w14:solidFill>
                          <w14:schemeClr w14:val="tx1"/>
                        </w14:solidFill>
                      </w14:textFill>
                    </w:rPr>
                    <w:t>用于回填工程，如拆除工程场地平整，垃圾填埋场的封场填埋等</w:t>
                  </w:r>
                  <w:r>
                    <w:rPr>
                      <w:rFonts w:hint="eastAsia"/>
                      <w:color w:val="000000" w:themeColor="text1"/>
                      <w:szCs w:val="22"/>
                      <w:highlight w:val="none"/>
                      <w:lang w:eastAsia="zh-CN"/>
                      <w14:textFill>
                        <w14:solidFill>
                          <w14:schemeClr w14:val="tx1"/>
                        </w14:solidFill>
                      </w14:textFill>
                    </w:rPr>
                    <w:t>；</w:t>
                  </w:r>
                  <w:r>
                    <w:rPr>
                      <w:rFonts w:hint="eastAsia"/>
                      <w:color w:val="000000" w:themeColor="text1"/>
                      <w:szCs w:val="22"/>
                      <w:highlight w:val="none"/>
                      <w14:textFill>
                        <w14:solidFill>
                          <w14:schemeClr w14:val="tx1"/>
                        </w14:solidFill>
                      </w14:textFill>
                    </w:rPr>
                    <w:t>在符合环保要求的专用堆填场规范堆放，不得接收工业固废、生活垃圾或有毒有害物质‌</w:t>
                  </w:r>
                  <w:r>
                    <w:rPr>
                      <w:rFonts w:hint="eastAsia"/>
                      <w:color w:val="000000" w:themeColor="text1"/>
                      <w:szCs w:val="22"/>
                      <w:highlight w:val="none"/>
                      <w:lang w:eastAsia="zh-CN"/>
                      <w14:textFill>
                        <w14:solidFill>
                          <w14:schemeClr w14:val="tx1"/>
                        </w14:solidFill>
                      </w14:textFill>
                    </w:rPr>
                    <w:t>。</w:t>
                  </w:r>
                  <w:r>
                    <w:rPr>
                      <w:rFonts w:hint="eastAsia" w:cs="Times New Roman"/>
                      <w:color w:val="000000" w:themeColor="text1"/>
                      <w:szCs w:val="22"/>
                      <w:highlight w:val="none"/>
                      <w:lang w:val="en-US" w:eastAsia="zh-CN"/>
                      <w14:textFill>
                        <w14:solidFill>
                          <w14:schemeClr w14:val="tx1"/>
                        </w14:solidFill>
                      </w14:textFill>
                    </w:rPr>
                    <w:t>其他可利用的骨料回用于生产线。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1274"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生产线废水沉淀泥浆</w:t>
                  </w:r>
                </w:p>
              </w:tc>
              <w:tc>
                <w:tcPr>
                  <w:tcW w:w="4983" w:type="dxa"/>
                  <w:gridSpan w:val="4"/>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定期收集，可作为道路用再生骨料水稳料掺和使用。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vMerge w:val="continue"/>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p>
              </w:tc>
              <w:tc>
                <w:tcPr>
                  <w:tcW w:w="1274"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各类型收尘器集灰系统</w:t>
                  </w:r>
                  <w:r>
                    <w:rPr>
                      <w:rFonts w:hint="eastAsia" w:cs="Times New Roman"/>
                      <w:color w:val="000000" w:themeColor="text1"/>
                      <w:szCs w:val="22"/>
                      <w:highlight w:val="none"/>
                      <w:lang w:val="en-US" w:eastAsia="zh-CN"/>
                      <w14:textFill>
                        <w14:solidFill>
                          <w14:schemeClr w14:val="tx1"/>
                        </w14:solidFill>
                      </w14:textFill>
                    </w:rPr>
                    <w:t>除尘器收尘粉</w:t>
                  </w:r>
                </w:p>
              </w:tc>
              <w:tc>
                <w:tcPr>
                  <w:tcW w:w="4983" w:type="dxa"/>
                  <w:gridSpan w:val="4"/>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一部分灰收集后回落至生产系统，另一部分灰为不影响后续工序产品质量，收集后进入储灰桶定期由人工转移至再生混凝土制品类</w:t>
                  </w:r>
                  <w:r>
                    <w:rPr>
                      <w:rFonts w:hint="eastAsia" w:cs="Times New Roman"/>
                      <w:color w:val="000000" w:themeColor="text1"/>
                      <w:szCs w:val="22"/>
                      <w:highlight w:val="none"/>
                      <w:lang w:val="en-US" w:eastAsia="zh-CN"/>
                      <w14:textFill>
                        <w14:solidFill>
                          <w14:schemeClr w14:val="tx1"/>
                        </w14:solidFill>
                      </w14:textFill>
                    </w:rPr>
                    <w:t>返回</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生产线再利用。各类粉料罐/仓收尘灰，其集灰一般直接回落至罐或仓。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r>
                    <w:rPr>
                      <w:rFonts w:hint="eastAsia" w:cs="Times New Roman"/>
                      <w:b w:val="0"/>
                      <w:bCs w:val="0"/>
                      <w:color w:val="000000" w:themeColor="text1"/>
                      <w:kern w:val="2"/>
                      <w:sz w:val="21"/>
                      <w:szCs w:val="20"/>
                      <w:highlight w:val="none"/>
                      <w:lang w:val="en-US" w:eastAsia="zh-CN" w:bidi="ar"/>
                      <w14:textFill>
                        <w14:solidFill>
                          <w14:schemeClr w14:val="tx1"/>
                        </w14:solidFill>
                      </w14:textFill>
                    </w:rPr>
                    <w:t>防渗</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6" w:lineRule="exact"/>
                    <w:ind w:left="0" w:leftChars="0" w:right="0" w:rightChars="0" w:firstLine="420" w:firstLineChars="200"/>
                    <w:jc w:val="both"/>
                    <w:textAlignment w:val="auto"/>
                    <w:rPr>
                      <w:rFonts w:hint="default" w:cs="Times New Roman"/>
                      <w:color w:val="000000" w:themeColor="text1"/>
                      <w:szCs w:val="22"/>
                      <w:highlight w:val="none"/>
                      <w14:textFill>
                        <w14:solidFill>
                          <w14:schemeClr w14:val="tx1"/>
                        </w14:solidFill>
                      </w14:textFill>
                    </w:rPr>
                  </w:pPr>
                  <w:r>
                    <w:rPr>
                      <w:rFonts w:hint="default" w:cs="Times New Roman"/>
                      <w:color w:val="000000" w:themeColor="text1"/>
                      <w:szCs w:val="22"/>
                      <w:highlight w:val="none"/>
                      <w14:textFill>
                        <w14:solidFill>
                          <w14:schemeClr w14:val="tx1"/>
                        </w14:solidFill>
                      </w14:textFill>
                    </w:rPr>
                    <w:t>一般污染防渗区：主要为</w:t>
                  </w:r>
                  <w:r>
                    <w:rPr>
                      <w:rFonts w:hint="default" w:ascii="Times New Roman" w:hAnsi="Times New Roman" w:cs="Times New Roman"/>
                      <w:color w:val="000000" w:themeColor="text1"/>
                      <w:szCs w:val="21"/>
                      <w:highlight w:val="none"/>
                      <w:lang w:val="en-US" w:eastAsia="zh-CN"/>
                      <w14:textFill>
                        <w14:solidFill>
                          <w14:schemeClr w14:val="tx1"/>
                        </w14:solidFill>
                      </w14:textFill>
                    </w:rPr>
                    <w:t>建筑垃圾再生利用车间</w:t>
                  </w:r>
                  <w:r>
                    <w:rPr>
                      <w:rFonts w:hint="default" w:cs="Times New Roman"/>
                      <w:color w:val="000000" w:themeColor="text1"/>
                      <w:szCs w:val="22"/>
                      <w:highlight w:val="none"/>
                      <w14:textFill>
                        <w14:solidFill>
                          <w14:schemeClr w14:val="tx1"/>
                        </w14:solidFill>
                      </w14:textFill>
                    </w:rPr>
                    <w:t>、</w:t>
                  </w:r>
                  <w:r>
                    <w:rPr>
                      <w:rFonts w:hint="eastAsia" w:cs="Times New Roman"/>
                      <w:color w:val="000000" w:themeColor="text1"/>
                      <w:szCs w:val="22"/>
                      <w:highlight w:val="none"/>
                      <w:lang w:val="en-US" w:eastAsia="zh-CN"/>
                      <w14:textFill>
                        <w14:solidFill>
                          <w14:schemeClr w14:val="tx1"/>
                        </w14:solidFill>
                      </w14:textFill>
                    </w:rPr>
                    <w:t>堆场</w:t>
                  </w:r>
                  <w:r>
                    <w:rPr>
                      <w:rFonts w:hint="default" w:cs="Times New Roman"/>
                      <w:color w:val="000000" w:themeColor="text1"/>
                      <w:szCs w:val="22"/>
                      <w:highlight w:val="none"/>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混合骨料暂存间</w:t>
                  </w:r>
                  <w:r>
                    <w:rPr>
                      <w:rFonts w:hint="eastAsia" w:cs="Times New Roman"/>
                      <w:color w:val="000000" w:themeColor="text1"/>
                      <w:szCs w:val="22"/>
                      <w:highlight w:val="none"/>
                      <w:lang w:eastAsia="zh-CN"/>
                      <w14:textFill>
                        <w14:solidFill>
                          <w14:schemeClr w14:val="tx1"/>
                        </w14:solidFill>
                      </w14:textFill>
                    </w:rPr>
                    <w:t>、</w:t>
                  </w:r>
                  <w:r>
                    <w:rPr>
                      <w:rFonts w:hint="default" w:cs="Times New Roman"/>
                      <w:color w:val="000000" w:themeColor="text1"/>
                      <w:szCs w:val="22"/>
                      <w:highlight w:val="none"/>
                      <w14:textFill>
                        <w14:solidFill>
                          <w14:schemeClr w14:val="tx1"/>
                        </w14:solidFill>
                      </w14:textFill>
                    </w:rPr>
                    <w:t>水泥预制品成品储存及养护平台等区域，防渗设置为等效黏土防渗层Mb≥1.5m，K≤1×10-</w:t>
                  </w:r>
                  <w:r>
                    <w:rPr>
                      <w:rFonts w:hint="default" w:cs="Times New Roman"/>
                      <w:color w:val="000000" w:themeColor="text1"/>
                      <w:szCs w:val="22"/>
                      <w:highlight w:val="none"/>
                      <w:vertAlign w:val="superscript"/>
                      <w14:textFill>
                        <w14:solidFill>
                          <w14:schemeClr w14:val="tx1"/>
                        </w14:solidFill>
                      </w14:textFill>
                    </w:rPr>
                    <w:t>7</w:t>
                  </w:r>
                  <w:r>
                    <w:rPr>
                      <w:rFonts w:hint="default" w:cs="Times New Roman"/>
                      <w:color w:val="000000" w:themeColor="text1"/>
                      <w:szCs w:val="22"/>
                      <w:highlight w:val="none"/>
                      <w14:textFill>
                        <w14:solidFill>
                          <w14:schemeClr w14:val="tx1"/>
                        </w14:solidFill>
                      </w14:textFill>
                    </w:rPr>
                    <w:t>cm/s。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6" w:lineRule="exact"/>
                    <w:ind w:left="0" w:leftChars="0" w:right="0" w:rightChars="0" w:firstLine="420" w:firstLineChars="200"/>
                    <w:jc w:val="both"/>
                    <w:textAlignment w:val="auto"/>
                    <w:rPr>
                      <w:rFonts w:hint="default" w:cs="Times New Roman"/>
                      <w:color w:val="000000" w:themeColor="text1"/>
                      <w:szCs w:val="22"/>
                      <w:highlight w:val="none"/>
                      <w14:textFill>
                        <w14:solidFill>
                          <w14:schemeClr w14:val="tx1"/>
                        </w14:solidFill>
                      </w14:textFill>
                    </w:rPr>
                  </w:pPr>
                  <w:r>
                    <w:rPr>
                      <w:rFonts w:hint="default" w:cs="Times New Roman"/>
                      <w:color w:val="000000" w:themeColor="text1"/>
                      <w:szCs w:val="22"/>
                      <w:highlight w:val="none"/>
                      <w14:textFill>
                        <w14:solidFill>
                          <w14:schemeClr w14:val="tx1"/>
                        </w14:solidFill>
                      </w14:textFill>
                    </w:rPr>
                    <w:t>重点污染防渗区：主要</w:t>
                  </w:r>
                  <w:r>
                    <w:rPr>
                      <w:rFonts w:hint="eastAsia" w:cs="Times New Roman"/>
                      <w:color w:val="000000" w:themeColor="text1"/>
                      <w:szCs w:val="22"/>
                      <w:highlight w:val="none"/>
                      <w:lang w:val="en-US" w:eastAsia="zh-CN"/>
                      <w14:textFill>
                        <w14:solidFill>
                          <w14:schemeClr w14:val="tx1"/>
                        </w14:solidFill>
                      </w14:textFill>
                    </w:rPr>
                    <w:t>包括</w:t>
                  </w:r>
                  <w:r>
                    <w:rPr>
                      <w:rFonts w:hint="default" w:cs="Times New Roman"/>
                      <w:color w:val="000000" w:themeColor="text1"/>
                      <w:szCs w:val="22"/>
                      <w:highlight w:val="none"/>
                      <w14:textFill>
                        <w14:solidFill>
                          <w14:schemeClr w14:val="tx1"/>
                        </w14:solidFill>
                      </w14:textFill>
                    </w:rPr>
                    <w:t>危险废物贮存点，设置等效黏土防渗层Mb≥6.0m，K≤1×10</w:t>
                  </w:r>
                  <w:r>
                    <w:rPr>
                      <w:rFonts w:hint="default" w:cs="Times New Roman"/>
                      <w:color w:val="000000" w:themeColor="text1"/>
                      <w:szCs w:val="22"/>
                      <w:highlight w:val="none"/>
                      <w:vertAlign w:val="superscript"/>
                      <w14:textFill>
                        <w14:solidFill>
                          <w14:schemeClr w14:val="tx1"/>
                        </w14:solidFill>
                      </w14:textFill>
                    </w:rPr>
                    <w:t>-7</w:t>
                  </w:r>
                  <w:r>
                    <w:rPr>
                      <w:rFonts w:hint="default" w:cs="Times New Roman"/>
                      <w:color w:val="000000" w:themeColor="text1"/>
                      <w:szCs w:val="22"/>
                      <w:highlight w:val="none"/>
                      <w14:textFill>
                        <w14:solidFill>
                          <w14:schemeClr w14:val="tx1"/>
                        </w14:solidFill>
                      </w14:textFill>
                    </w:rPr>
                    <w:t>cm/s</w:t>
                  </w:r>
                  <w:r>
                    <w:rPr>
                      <w:rFonts w:hint="eastAsia" w:cs="Times New Roman"/>
                      <w:color w:val="000000" w:themeColor="text1"/>
                      <w:szCs w:val="22"/>
                      <w:highlight w:val="none"/>
                      <w:lang w:eastAsia="zh-CN"/>
                      <w14:textFill>
                        <w14:solidFill>
                          <w14:schemeClr w14:val="tx1"/>
                        </w14:solidFill>
                      </w14:textFill>
                    </w:rPr>
                    <w:t>；</w:t>
                  </w:r>
                  <w:r>
                    <w:rPr>
                      <w:rFonts w:hint="eastAsia"/>
                      <w:color w:val="000000" w:themeColor="text1"/>
                      <w:szCs w:val="22"/>
                      <w:highlight w:val="none"/>
                      <w14:textFill>
                        <w14:solidFill>
                          <w14:schemeClr w14:val="tx1"/>
                        </w14:solidFill>
                      </w14:textFill>
                    </w:rPr>
                    <w:t>参照《危险废物贮存污染控制标准》（GB 18597-2023）中要求的设计防渗方案，防渗材料考虑HDPE防渗膜和水泥基渗透结晶型防渗材料，一种材料单独使用或多种材料结合使用。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6" w:lineRule="exact"/>
                    <w:ind w:left="0" w:leftChars="0" w:right="0" w:rightChars="0" w:firstLine="420" w:firstLineChars="200"/>
                    <w:jc w:val="both"/>
                    <w:textAlignment w:val="auto"/>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cs="Times New Roman"/>
                      <w:color w:val="000000" w:themeColor="text1"/>
                      <w:szCs w:val="22"/>
                      <w:highlight w:val="none"/>
                      <w14:textFill>
                        <w14:solidFill>
                          <w14:schemeClr w14:val="tx1"/>
                        </w14:solidFill>
                      </w14:textFill>
                    </w:rPr>
                    <w:t>厂区道路及其他区域仅需一般地面硬化，简单防渗处理。其余区域均为简单防渗区，作一般地面硬化处理即可。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1" w:type="dxa"/>
                  <w:vMerge w:val="continue"/>
                  <w:tcBorders>
                    <w:tl2br w:val="nil"/>
                    <w:tr2bl w:val="nil"/>
                  </w:tcBorders>
                  <w:shd w:val="clear" w:color="auto" w:fill="auto"/>
                  <w:noWrap/>
                  <w:tcMar>
                    <w:left w:w="57" w:type="dxa"/>
                    <w:right w:w="57"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2"/>
                      <w:sz w:val="21"/>
                      <w:szCs w:val="20"/>
                      <w:highlight w:val="none"/>
                      <w:lang w:val="en-US" w:eastAsia="zh-CN" w:bidi="ar"/>
                      <w14:textFill>
                        <w14:solidFill>
                          <w14:schemeClr w14:val="tx1"/>
                        </w14:solidFill>
                      </w14:textFill>
                    </w:rPr>
                  </w:pPr>
                </w:p>
              </w:tc>
              <w:tc>
                <w:tcPr>
                  <w:tcW w:w="1322" w:type="dxa"/>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运营期绿化</w:t>
                  </w:r>
                </w:p>
              </w:tc>
              <w:tc>
                <w:tcPr>
                  <w:tcW w:w="6257" w:type="dxa"/>
                  <w:gridSpan w:val="5"/>
                  <w:tcBorders>
                    <w:tl2br w:val="nil"/>
                    <w:tr2bl w:val="nil"/>
                  </w:tcBorders>
                  <w:shd w:val="clear" w:color="auto" w:fill="auto"/>
                  <w:noWrap/>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color w:val="000000" w:themeColor="text1"/>
                      <w:szCs w:val="22"/>
                      <w:highlight w:val="none"/>
                      <w14:textFill>
                        <w14:solidFill>
                          <w14:schemeClr w14:val="tx1"/>
                        </w14:solidFill>
                      </w14:textFill>
                    </w:rPr>
                    <w:t>本项目管理区内绿地面积约130.00m</w:t>
                  </w:r>
                  <w:r>
                    <w:rPr>
                      <w:rFonts w:hint="default"/>
                      <w:color w:val="000000" w:themeColor="text1"/>
                      <w:szCs w:val="22"/>
                      <w:highlight w:val="none"/>
                      <w:vertAlign w:val="superscript"/>
                      <w14:textFill>
                        <w14:solidFill>
                          <w14:schemeClr w14:val="tx1"/>
                        </w14:solidFill>
                      </w14:textFill>
                    </w:rPr>
                    <w:t>2</w:t>
                  </w:r>
                  <w:r>
                    <w:rPr>
                      <w:rFonts w:hint="default"/>
                      <w:color w:val="000000" w:themeColor="text1"/>
                      <w:szCs w:val="22"/>
                      <w:highlight w:val="none"/>
                      <w14:textFill>
                        <w14:solidFill>
                          <w14:schemeClr w14:val="tx1"/>
                        </w14:solidFill>
                      </w14:textFill>
                    </w:rPr>
                    <w:t>。</w:t>
                  </w:r>
                </w:p>
              </w:tc>
            </w:tr>
          </w:tbl>
          <w:p>
            <w:pPr>
              <w:pStyle w:val="3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rightChars="0"/>
              <w:jc w:val="both"/>
              <w:textAlignment w:val="auto"/>
              <w:rPr>
                <w:rFonts w:hint="default" w:ascii="Times New Roman" w:hAnsi="Times New Roman" w:eastAsia="仿宋_GB2312" w:cs="Times New Roman"/>
                <w:b/>
                <w:bCs w:val="0"/>
                <w:color w:val="000000" w:themeColor="text1"/>
                <w:kern w:val="2"/>
                <w:sz w:val="24"/>
                <w:szCs w:val="20"/>
                <w:highlight w:val="none"/>
                <w:lang w:val="en-US" w:eastAsia="zh-CN" w:bidi="ar"/>
                <w14:textFill>
                  <w14:solidFill>
                    <w14:schemeClr w14:val="tx1"/>
                  </w14:solidFill>
                </w14:textFill>
              </w:rPr>
            </w:pPr>
            <w:r>
              <w:rPr>
                <w:rFonts w:hint="default" w:ascii="Times New Roman" w:hAnsi="Times New Roman" w:eastAsia="仿宋_GB2312" w:cs="Times New Roman"/>
                <w:b/>
                <w:bCs w:val="0"/>
                <w:color w:val="000000" w:themeColor="text1"/>
                <w:kern w:val="2"/>
                <w:sz w:val="24"/>
                <w:szCs w:val="20"/>
                <w:highlight w:val="none"/>
                <w:lang w:val="en-US" w:eastAsia="zh-CN" w:bidi="ar"/>
                <w14:textFill>
                  <w14:solidFill>
                    <w14:schemeClr w14:val="tx1"/>
                  </w14:solidFill>
                </w14:textFill>
              </w:rPr>
              <w:t>3.主要产品及产能</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⑴产品产能</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本项目主要产品及产能见表2-</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pP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本项目产品方案一览表</w:t>
            </w:r>
          </w:p>
          <w:tbl>
            <w:tblPr>
              <w:tblStyle w:val="37"/>
              <w:tblW w:w="836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08"/>
              <w:gridCol w:w="700"/>
              <w:gridCol w:w="1488"/>
              <w:gridCol w:w="975"/>
              <w:gridCol w:w="1187"/>
              <w:gridCol w:w="2300"/>
              <w:gridCol w:w="110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608"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bidi="ar"/>
                      <w14:textFill>
                        <w14:solidFill>
                          <w14:schemeClr w14:val="tx1"/>
                        </w14:solidFill>
                      </w14:textFill>
                    </w:rPr>
                    <w:t>序号</w:t>
                  </w:r>
                </w:p>
              </w:tc>
              <w:tc>
                <w:tcPr>
                  <w:tcW w:w="2188"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bidi="ar"/>
                      <w14:textFill>
                        <w14:solidFill>
                          <w14:schemeClr w14:val="tx1"/>
                        </w14:solidFill>
                      </w14:textFill>
                    </w:rPr>
                    <w:t>名称</w:t>
                  </w:r>
                </w:p>
              </w:tc>
              <w:tc>
                <w:tcPr>
                  <w:tcW w:w="2162"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bidi="ar"/>
                      <w14:textFill>
                        <w14:solidFill>
                          <w14:schemeClr w14:val="tx1"/>
                        </w14:solidFill>
                      </w14:textFill>
                    </w:rPr>
                    <w:t>产能</w:t>
                  </w:r>
                </w:p>
              </w:tc>
              <w:tc>
                <w:tcPr>
                  <w:tcW w:w="2300"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b/>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eastAsia="zh-CN" w:bidi="ar"/>
                      <w14:textFill>
                        <w14:solidFill>
                          <w14:schemeClr w14:val="tx1"/>
                        </w14:solidFill>
                      </w14:textFill>
                    </w:rPr>
                    <w:t>状态</w:t>
                  </w:r>
                  <w:r>
                    <w:rPr>
                      <w:rFonts w:hint="eastAsia" w:ascii="Times New Roman" w:hAnsi="Times New Roman" w:eastAsia="宋体" w:cs="Times New Roman"/>
                      <w:b/>
                      <w:color w:val="000000" w:themeColor="text1"/>
                      <w:kern w:val="0"/>
                      <w:sz w:val="21"/>
                      <w:szCs w:val="21"/>
                      <w:highlight w:val="none"/>
                      <w:lang w:val="en-US" w:eastAsia="zh-CN" w:bidi="ar"/>
                      <w14:textFill>
                        <w14:solidFill>
                          <w14:schemeClr w14:val="tx1"/>
                        </w14:solidFill>
                      </w14:textFill>
                    </w:rPr>
                    <w:t>及规格</w:t>
                  </w:r>
                </w:p>
              </w:tc>
              <w:tc>
                <w:tcPr>
                  <w:tcW w:w="110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b/>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eastAsia="zh-CN" w:bidi="ar"/>
                      <w14:textFill>
                        <w14:solidFill>
                          <w14:schemeClr w14:val="tx1"/>
                        </w14:solidFill>
                      </w14:textFill>
                    </w:rPr>
                    <w:t>贮存方式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608" w:type="dxa"/>
                  <w:vMerge w:val="restar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700" w:type="dxa"/>
                  <w:vMerge w:val="restar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再生混凝土制品</w:t>
                  </w:r>
                </w:p>
              </w:tc>
              <w:tc>
                <w:tcPr>
                  <w:tcW w:w="1488"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PC仿石材市政工程铺地砖</w:t>
                  </w:r>
                </w:p>
              </w:tc>
              <w:tc>
                <w:tcPr>
                  <w:tcW w:w="97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8万</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m</w:t>
                  </w:r>
                  <w:r>
                    <w:rPr>
                      <w:rFonts w:hint="eastAsia" w:cs="Times New Roman"/>
                      <w:b w:val="0"/>
                      <w:bCs w:val="0"/>
                      <w:color w:val="000000" w:themeColor="text1"/>
                      <w:kern w:val="0"/>
                      <w:sz w:val="21"/>
                      <w:szCs w:val="21"/>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/a</w:t>
                  </w:r>
                </w:p>
              </w:tc>
              <w:tc>
                <w:tcPr>
                  <w:tcW w:w="1187" w:type="dxa"/>
                  <w:vMerge w:val="restar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15.5万</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m</w:t>
                  </w:r>
                  <w:r>
                    <w:rPr>
                      <w:rFonts w:hint="eastAsia" w:cs="Times New Roman"/>
                      <w:b w:val="0"/>
                      <w:bCs w:val="0"/>
                      <w:color w:val="000000" w:themeColor="text1"/>
                      <w:kern w:val="0"/>
                      <w:sz w:val="21"/>
                      <w:szCs w:val="21"/>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/a</w:t>
                  </w:r>
                </w:p>
              </w:tc>
              <w:tc>
                <w:tcPr>
                  <w:tcW w:w="2300"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块</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状</w:t>
                  </w:r>
                  <w:r>
                    <w:rPr>
                      <w:rFonts w:hint="eastAsia" w:cs="Times New Roman"/>
                      <w:color w:val="000000" w:themeColor="text1"/>
                      <w:kern w:val="0"/>
                      <w:sz w:val="21"/>
                      <w:szCs w:val="21"/>
                      <w:highlight w:val="none"/>
                      <w:lang w:eastAsia="zh-CN" w:bidi="ar"/>
                      <w14:textFill>
                        <w14:solidFill>
                          <w14:schemeClr w14:val="tx1"/>
                        </w14:solidFill>
                      </w14:textFill>
                    </w:rPr>
                    <w:t>，</w:t>
                  </w:r>
                  <w:r>
                    <w:rPr>
                      <w:rFonts w:hint="eastAsia" w:cs="Times New Roman"/>
                      <w:color w:val="000000" w:themeColor="text1"/>
                      <w:kern w:val="0"/>
                      <w:sz w:val="21"/>
                      <w:szCs w:val="21"/>
                      <w:highlight w:val="none"/>
                      <w:lang w:val="en-US" w:eastAsia="zh-CN" w:bidi="ar"/>
                      <w14:textFill>
                        <w14:solidFill>
                          <w14:schemeClr w14:val="tx1"/>
                        </w14:solidFill>
                      </w14:textFill>
                    </w:rPr>
                    <w:t>地砖规格暂定为600</w:t>
                  </w:r>
                  <w:r>
                    <w:rPr>
                      <w:rFonts w:hint="default" w:cs="Times New Roman"/>
                      <w:color w:val="000000" w:themeColor="text1"/>
                      <w:kern w:val="0"/>
                      <w:sz w:val="21"/>
                      <w:szCs w:val="21"/>
                      <w:highlight w:val="none"/>
                      <w:lang w:val="en-US" w:eastAsia="zh-CN" w:bidi="ar"/>
                      <w14:textFill>
                        <w14:solidFill>
                          <w14:schemeClr w14:val="tx1"/>
                        </w14:solidFill>
                      </w14:textFill>
                    </w:rPr>
                    <w:t>×</w:t>
                  </w:r>
                  <w:r>
                    <w:rPr>
                      <w:rFonts w:hint="eastAsia" w:cs="Times New Roman"/>
                      <w:color w:val="000000" w:themeColor="text1"/>
                      <w:kern w:val="0"/>
                      <w:sz w:val="21"/>
                      <w:szCs w:val="21"/>
                      <w:highlight w:val="none"/>
                      <w:lang w:val="en-US" w:eastAsia="zh-CN" w:bidi="ar"/>
                      <w14:textFill>
                        <w14:solidFill>
                          <w14:schemeClr w14:val="tx1"/>
                        </w14:solidFill>
                      </w14:textFill>
                    </w:rPr>
                    <w:t>300</w:t>
                  </w:r>
                  <w:r>
                    <w:rPr>
                      <w:rFonts w:hint="default" w:cs="Times New Roman"/>
                      <w:color w:val="000000" w:themeColor="text1"/>
                      <w:kern w:val="0"/>
                      <w:sz w:val="21"/>
                      <w:szCs w:val="21"/>
                      <w:highlight w:val="none"/>
                      <w:lang w:val="en-US" w:eastAsia="zh-CN" w:bidi="ar"/>
                      <w14:textFill>
                        <w14:solidFill>
                          <w14:schemeClr w14:val="tx1"/>
                        </w14:solidFill>
                      </w14:textFill>
                    </w:rPr>
                    <w:t>×</w:t>
                  </w:r>
                  <w:r>
                    <w:rPr>
                      <w:rFonts w:hint="eastAsia" w:cs="Times New Roman"/>
                      <w:color w:val="000000" w:themeColor="text1"/>
                      <w:kern w:val="0"/>
                      <w:sz w:val="21"/>
                      <w:szCs w:val="21"/>
                      <w:highlight w:val="none"/>
                      <w:lang w:val="en-US" w:eastAsia="zh-CN" w:bidi="ar"/>
                      <w14:textFill>
                        <w14:solidFill>
                          <w14:schemeClr w14:val="tx1"/>
                        </w14:solidFill>
                      </w14:textFill>
                    </w:rPr>
                    <w:t>60mm</w:t>
                  </w:r>
                </w:p>
              </w:tc>
              <w:tc>
                <w:tcPr>
                  <w:tcW w:w="1109" w:type="dxa"/>
                  <w:vMerge w:val="restar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堆放于再生产品堆场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608"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p>
              </w:tc>
              <w:tc>
                <w:tcPr>
                  <w:tcW w:w="700"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p>
              </w:tc>
              <w:tc>
                <w:tcPr>
                  <w:tcW w:w="1488"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PC仿石材市政工程路缘石</w:t>
                  </w:r>
                </w:p>
              </w:tc>
              <w:tc>
                <w:tcPr>
                  <w:tcW w:w="97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7.5万</w:t>
                  </w:r>
                  <w:r>
                    <w:rPr>
                      <w:rFonts w:hint="eastAsia" w:cs="Times New Roman"/>
                      <w:b w:val="0"/>
                      <w:bCs w:val="0"/>
                      <w:color w:val="000000" w:themeColor="text1"/>
                      <w:kern w:val="0"/>
                      <w:sz w:val="21"/>
                      <w:szCs w:val="21"/>
                      <w:highlight w:val="none"/>
                      <w:lang w:val="en-US" w:eastAsia="zh-CN" w:bidi="ar"/>
                      <w14:textFill>
                        <w14:solidFill>
                          <w14:schemeClr w14:val="tx1"/>
                        </w14:solidFill>
                      </w14:textFill>
                    </w:rPr>
                    <w:t>m</w:t>
                  </w:r>
                  <w:r>
                    <w:rPr>
                      <w:rFonts w:hint="eastAsia" w:cs="Times New Roman"/>
                      <w:b w:val="0"/>
                      <w:bCs w:val="0"/>
                      <w:color w:val="000000" w:themeColor="text1"/>
                      <w:kern w:val="0"/>
                      <w:sz w:val="21"/>
                      <w:szCs w:val="21"/>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highlight w:val="none"/>
                      <w:lang w:bidi="ar"/>
                      <w14:textFill>
                        <w14:solidFill>
                          <w14:schemeClr w14:val="tx1"/>
                        </w14:solidFill>
                      </w14:textFill>
                    </w:rPr>
                    <w:t>/a</w:t>
                  </w:r>
                </w:p>
              </w:tc>
              <w:tc>
                <w:tcPr>
                  <w:tcW w:w="1187"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p>
              </w:tc>
              <w:tc>
                <w:tcPr>
                  <w:tcW w:w="2300"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块</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状</w:t>
                  </w:r>
                  <w:r>
                    <w:rPr>
                      <w:rFonts w:hint="eastAsia" w:cs="Times New Roman"/>
                      <w:color w:val="000000" w:themeColor="text1"/>
                      <w:kern w:val="0"/>
                      <w:sz w:val="21"/>
                      <w:szCs w:val="21"/>
                      <w:highlight w:val="none"/>
                      <w:lang w:eastAsia="zh-CN" w:bidi="ar"/>
                      <w14:textFill>
                        <w14:solidFill>
                          <w14:schemeClr w14:val="tx1"/>
                        </w14:solidFill>
                      </w14:textFill>
                    </w:rPr>
                    <w:t>，路缘石规格暂定为1000×300×150mm</w:t>
                  </w:r>
                </w:p>
              </w:tc>
              <w:tc>
                <w:tcPr>
                  <w:tcW w:w="1109"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eastAsia" w:cs="Times New Roman"/>
                      <w:color w:val="000000" w:themeColor="text1"/>
                      <w:szCs w:val="21"/>
                      <w:highlight w:val="none"/>
                      <w:lang w:val="en-US" w:eastAsia="zh-CN"/>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608"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2188"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水泥稳定再生骨料无机混合料</w:t>
                  </w:r>
                </w:p>
              </w:tc>
              <w:tc>
                <w:tcPr>
                  <w:tcW w:w="2162"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14.5万</w:t>
                  </w: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t/a</w:t>
                  </w:r>
                </w:p>
              </w:tc>
              <w:tc>
                <w:tcPr>
                  <w:tcW w:w="2300"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7d抗压强度达到3.5MPa以上</w:t>
                  </w:r>
                </w:p>
              </w:tc>
              <w:tc>
                <w:tcPr>
                  <w:tcW w:w="110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20" w:lineRule="atLeast"/>
                    <w:ind w:left="0" w:leftChars="0" w:right="0" w:rightChars="0"/>
                    <w:jc w:val="center"/>
                    <w:textAlignment w:val="cente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堆放于再生产品堆场</w:t>
                  </w:r>
                </w:p>
              </w:tc>
            </w:tr>
          </w:tbl>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⑵产品指标</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本项目</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产品</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应符合相关产品质量标准</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表面应标有再生利用标志</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。具体</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产品</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情况如下：</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①PC仿石材市政工程铺地砖</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此类PC仿石材市政工程产品，以其丰富的色彩、图案、卓越的结构性能、便捷的施工、广泛的用途和经济的价格，在现代地面工程中起着越来越重要的作用，日益成为市政地面工程中替代大理石的最重要的材料。地砖规格暂定为600</w:t>
            </w:r>
            <w:r>
              <w:rPr>
                <w:rFonts w:hint="default" w:ascii="Arial" w:hAnsi="Arial" w:eastAsia="仿宋_GB2312" w:cs="Arial"/>
                <w:color w:val="000000" w:themeColor="text1"/>
                <w:kern w:val="16"/>
                <w:sz w:val="24"/>
                <w:szCs w:val="24"/>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300</w:t>
            </w:r>
            <w:r>
              <w:rPr>
                <w:rFonts w:hint="default" w:ascii="Arial" w:hAnsi="Arial" w:eastAsia="仿宋_GB2312" w:cs="Arial"/>
                <w:color w:val="000000" w:themeColor="text1"/>
                <w:kern w:val="16"/>
                <w:sz w:val="24"/>
                <w:szCs w:val="24"/>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60mm，建筑垃圾用量在50%左右，目前在国内通过产品种类的不同分为芝麻灰、芝麻白、芝麻黑以及黄锈石等颜色，大量替代石材铺装，强度达到CC40MPa，建筑垃圾做底料，面料采用石英砂。</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②PC仿石材路缘石</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此产品特点同海绵城市PC仿石材市政工程铺地砖，路缘石规格暂定为1000</w:t>
            </w:r>
            <w:r>
              <w:rPr>
                <w:rFonts w:hint="default" w:ascii="Arial" w:hAnsi="Arial" w:eastAsia="仿宋_GB2312" w:cs="Arial"/>
                <w:color w:val="000000" w:themeColor="text1"/>
                <w:kern w:val="16"/>
                <w:sz w:val="24"/>
                <w:szCs w:val="24"/>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300</w:t>
            </w:r>
            <w:r>
              <w:rPr>
                <w:rFonts w:hint="default" w:ascii="Arial" w:hAnsi="Arial" w:eastAsia="仿宋_GB2312" w:cs="Arial"/>
                <w:color w:val="000000" w:themeColor="text1"/>
                <w:kern w:val="16"/>
                <w:sz w:val="24"/>
                <w:szCs w:val="24"/>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150mm。</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③水泥稳定再生骨料无机混合料</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水泥稳定再生骨料无机混合料7d抗压强度达到3.5MPa以上。含水率根据现场情况决定。</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jc w:val="both"/>
              <w:textAlignment w:val="auto"/>
              <w:rPr>
                <w:rFonts w:hint="default" w:ascii="Times New Roman" w:hAnsi="Times New Roman" w:eastAsia="仿宋_GB2312" w:cs="Times New Roman"/>
                <w:b/>
                <w:bCs w:val="0"/>
                <w:color w:val="000000" w:themeColor="text1"/>
                <w:kern w:val="2"/>
                <w:sz w:val="24"/>
                <w:szCs w:val="20"/>
                <w:highlight w:val="none"/>
                <w:lang w:val="en-US" w:eastAsia="zh-CN" w:bidi="ar"/>
                <w14:textFill>
                  <w14:solidFill>
                    <w14:schemeClr w14:val="tx1"/>
                  </w14:solidFill>
                </w14:textFill>
              </w:rPr>
            </w:pPr>
            <w:r>
              <w:rPr>
                <w:rFonts w:hint="default" w:ascii="Times New Roman" w:hAnsi="Times New Roman" w:eastAsia="仿宋_GB2312" w:cs="Times New Roman"/>
                <w:b/>
                <w:bCs w:val="0"/>
                <w:color w:val="000000" w:themeColor="text1"/>
                <w:kern w:val="2"/>
                <w:sz w:val="24"/>
                <w:szCs w:val="20"/>
                <w:highlight w:val="none"/>
                <w:lang w:val="en-US" w:eastAsia="zh-CN" w:bidi="ar"/>
                <w14:textFill>
                  <w14:solidFill>
                    <w14:schemeClr w14:val="tx1"/>
                  </w14:solidFill>
                </w14:textFill>
              </w:rPr>
              <w:t>4.主要生产设施及参数</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本项目主要生产设施及参数情况见表2-</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本项目主要设备一览表</w:t>
            </w:r>
          </w:p>
          <w:tbl>
            <w:tblPr>
              <w:tblStyle w:val="38"/>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338"/>
              <w:gridCol w:w="2475"/>
              <w:gridCol w:w="1365"/>
              <w:gridCol w:w="25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338"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bookmarkStart w:id="4" w:name="_Toc21287"/>
                  <w:r>
                    <w:rPr>
                      <w:rFonts w:hint="eastAsia" w:cs="Times New Roman"/>
                      <w:b/>
                      <w:bCs/>
                      <w:color w:val="000000" w:themeColor="text1"/>
                      <w:sz w:val="21"/>
                      <w:szCs w:val="21"/>
                      <w:highlight w:val="none"/>
                      <w:vertAlign w:val="baseline"/>
                      <w:lang w:val="en-US" w:eastAsia="zh-CN"/>
                      <w14:textFill>
                        <w14:solidFill>
                          <w14:schemeClr w14:val="tx1"/>
                        </w14:solidFill>
                      </w14:textFill>
                    </w:rPr>
                    <w:t>系统</w:t>
                  </w: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名称</w:t>
                  </w:r>
                  <w:bookmarkEnd w:id="4"/>
                </w:p>
              </w:tc>
              <w:tc>
                <w:tcPr>
                  <w:tcW w:w="247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bookmarkStart w:id="5" w:name="_Toc84"/>
                  <w:r>
                    <w:rPr>
                      <w:rFonts w:hint="eastAsia" w:cs="Times New Roman"/>
                      <w:b/>
                      <w:bCs/>
                      <w:color w:val="000000" w:themeColor="text1"/>
                      <w:sz w:val="21"/>
                      <w:szCs w:val="21"/>
                      <w:highlight w:val="none"/>
                      <w:vertAlign w:val="baseline"/>
                      <w:lang w:val="en-US" w:eastAsia="zh-CN"/>
                      <w14:textFill>
                        <w14:solidFill>
                          <w14:schemeClr w14:val="tx1"/>
                        </w14:solidFill>
                      </w14:textFill>
                    </w:rPr>
                    <w:t>主要组成</w:t>
                  </w:r>
                  <w:bookmarkEnd w:id="5"/>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数量</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133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建筑垃圾再生</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产线</w:t>
                  </w:r>
                </w:p>
              </w:tc>
              <w:tc>
                <w:tcPr>
                  <w:tcW w:w="2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履带移动式重型筛分机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用于筛分渣土，以</w:t>
                  </w:r>
                </w:p>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及后期成品筛分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履带移动反击式破碎机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履带移动式成品筛分机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成品再生骨料筛分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振动给料机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鄂式破碎机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建筑垃圾粗破碎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人工分拣平台</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上下两层，配分选间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除土筛分机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固定式风选机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除尘器系统</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雾炮环保系统</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4台</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活性干雾机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4台</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皮带式磁选机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除铁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移动式皮带输送机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输送骨料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固定式皮带输送机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输送骨料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洗车平台</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133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再生混凝土制品生产</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线</w:t>
                  </w: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底料三仓配料机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底料骨料储存配料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胶凝材料储罐</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胶凝材料储存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底料搅拌系统</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底料骨料搅拌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面料三仓配料机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面料骨料储存配料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胶凝材料储罐</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胶凝材料储存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面料立轴搅拌系统</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面料骨料搅拌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底料</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面料输送皮带</w:t>
                  </w:r>
                </w:p>
              </w:tc>
              <w:tc>
                <w:tcPr>
                  <w:tcW w:w="1365" w:type="dxa"/>
                  <w:tcBorders>
                    <w:tl2br w:val="nil"/>
                    <w:tr2bl w:val="nil"/>
                  </w:tcBorders>
                  <w:shd w:val="clear" w:color="auto" w:fill="auto"/>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配置制品成型机</w:t>
                  </w:r>
                  <w:r>
                    <w:rPr>
                      <w:rFonts w:hint="eastAsia" w:ascii="宋体" w:hAnsi="宋体" w:cs="宋体"/>
                      <w:color w:val="000000"/>
                      <w:kern w:val="0"/>
                      <w:sz w:val="21"/>
                      <w:szCs w:val="21"/>
                      <w:lang w:val="en-US" w:eastAsia="zh-CN" w:bidi="ar"/>
                    </w:rPr>
                    <w:t>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送板机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配置制品成型机</w:t>
                  </w:r>
                  <w:r>
                    <w:rPr>
                      <w:rFonts w:hint="eastAsia" w:ascii="宋体" w:hAnsi="宋体" w:cs="宋体"/>
                      <w:color w:val="000000"/>
                      <w:kern w:val="0"/>
                      <w:sz w:val="21"/>
                      <w:szCs w:val="21"/>
                      <w:lang w:val="en-US" w:eastAsia="zh-CN" w:bidi="ar"/>
                    </w:rPr>
                    <w:t>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制品成型机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湿产品输送装置</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配置制品成型机</w:t>
                  </w:r>
                  <w:r>
                    <w:rPr>
                      <w:rFonts w:hint="eastAsia" w:ascii="宋体" w:hAnsi="宋体" w:cs="宋体"/>
                      <w:color w:val="000000"/>
                      <w:kern w:val="0"/>
                      <w:sz w:val="21"/>
                      <w:szCs w:val="21"/>
                      <w:lang w:val="en-US" w:eastAsia="zh-CN" w:bidi="ar"/>
                    </w:rPr>
                    <w:t>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叠板机、自动供板机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配置制品成型机</w:t>
                  </w:r>
                  <w:r>
                    <w:rPr>
                      <w:rFonts w:hint="eastAsia" w:ascii="宋体" w:hAnsi="宋体" w:cs="宋体"/>
                      <w:color w:val="000000"/>
                      <w:kern w:val="0"/>
                      <w:sz w:val="21"/>
                      <w:szCs w:val="21"/>
                      <w:lang w:val="en-US" w:eastAsia="zh-CN" w:bidi="ar"/>
                    </w:rPr>
                    <w:t>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托板</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252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配置制品成型机</w:t>
                  </w:r>
                  <w:r>
                    <w:rPr>
                      <w:rFonts w:hint="eastAsia" w:ascii="宋体" w:hAnsi="宋体" w:cs="宋体"/>
                      <w:color w:val="000000"/>
                      <w:kern w:val="0"/>
                      <w:sz w:val="21"/>
                      <w:szCs w:val="21"/>
                      <w:lang w:val="en-US" w:eastAsia="zh-CN" w:bidi="ar"/>
                    </w:rPr>
                    <w:t>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收转打包系统</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配置成型系统使用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133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水稳料生产</w:t>
                  </w:r>
                  <w:r>
                    <w:rPr>
                      <w:rFonts w:hint="eastAsia" w:cs="Times New Roman"/>
                      <w:color w:val="000000" w:themeColor="text1"/>
                      <w:kern w:val="0"/>
                      <w:sz w:val="21"/>
                      <w:szCs w:val="21"/>
                      <w:highlight w:val="none"/>
                      <w:lang w:val="en-US" w:eastAsia="zh-CN" w:bidi="ar"/>
                      <w14:textFill>
                        <w14:solidFill>
                          <w14:schemeClr w14:val="tx1"/>
                        </w14:solidFill>
                      </w14:textFill>
                    </w:rPr>
                    <w:t>线</w:t>
                  </w: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配料仓</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10台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骨料卸料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称量皮带机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10台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骨料计量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骨料输送机</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骨料输送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供水系统</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胶凝材料储罐</w:t>
                  </w:r>
                </w:p>
              </w:tc>
              <w:tc>
                <w:tcPr>
                  <w:tcW w:w="1365" w:type="dxa"/>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胶凝材料储存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胶凝材料暂存仓</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胶凝材料计量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搅拌主机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混合料搅拌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成品料输送皮带</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成品料输送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成品过渡仓</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成品料暂存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气动系统</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压缩空气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88" w:type="dxa"/>
                  <w:vMerge w:val="restart"/>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133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工程机械</w:t>
                  </w: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30/50</w:t>
                  </w:r>
                  <w:r>
                    <w:rPr>
                      <w:rFonts w:hint="eastAsia" w:ascii="宋体" w:hAnsi="宋体" w:eastAsia="宋体" w:cs="宋体"/>
                      <w:color w:val="000000"/>
                      <w:kern w:val="0"/>
                      <w:sz w:val="21"/>
                      <w:szCs w:val="21"/>
                      <w:lang w:val="en-US" w:eastAsia="zh-CN" w:bidi="ar"/>
                    </w:rPr>
                    <w:t>装载机</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骨料转运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pPr>
                    <w:pStyle w:val="121"/>
                    <w:keepNext w:val="0"/>
                    <w:keepLines w:val="0"/>
                    <w:pageBreakBefore w:val="0"/>
                    <w:widowControl w:val="0"/>
                    <w:suppressLineNumbers w:val="0"/>
                    <w:tabs>
                      <w:tab w:val="left" w:pos="1447"/>
                      <w:tab w:val="left" w:pos="2169"/>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3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p>
              </w:tc>
              <w:tc>
                <w:tcPr>
                  <w:tcW w:w="247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3/5</w:t>
                  </w:r>
                  <w:r>
                    <w:rPr>
                      <w:rFonts w:hint="eastAsia" w:ascii="宋体" w:hAnsi="宋体" w:eastAsia="宋体" w:cs="宋体"/>
                      <w:color w:val="000000"/>
                      <w:kern w:val="0"/>
                      <w:sz w:val="21"/>
                      <w:szCs w:val="21"/>
                      <w:lang w:val="en-US" w:eastAsia="zh-CN" w:bidi="ar"/>
                    </w:rPr>
                    <w:t>叉车</w:t>
                  </w:r>
                </w:p>
              </w:tc>
              <w:tc>
                <w:tcPr>
                  <w:tcW w:w="13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2524"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制品转运</w:t>
                  </w:r>
                </w:p>
              </w:tc>
            </w:tr>
          </w:tbl>
          <w:p>
            <w:pPr>
              <w:pStyle w:val="3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rightChars="0"/>
              <w:jc w:val="left"/>
              <w:textAlignment w:val="auto"/>
              <w:rPr>
                <w:rFonts w:hint="default" w:ascii="Times New Roman" w:hAnsi="Times New Roman" w:eastAsia="仿宋_GB2312" w:cs="Times New Roman"/>
                <w:b/>
                <w:bCs w:val="0"/>
                <w:color w:val="000000" w:themeColor="text1"/>
                <w:kern w:val="2"/>
                <w:sz w:val="24"/>
                <w:szCs w:val="20"/>
                <w:highlight w:val="none"/>
                <w:lang w:val="en-US" w:eastAsia="zh-CN" w:bidi="ar"/>
                <w14:textFill>
                  <w14:solidFill>
                    <w14:schemeClr w14:val="tx1"/>
                  </w14:solidFill>
                </w14:textFill>
              </w:rPr>
            </w:pPr>
            <w:r>
              <w:rPr>
                <w:rFonts w:hint="default" w:ascii="Times New Roman" w:hAnsi="Times New Roman" w:eastAsia="仿宋_GB2312" w:cs="Times New Roman"/>
                <w:b/>
                <w:bCs w:val="0"/>
                <w:color w:val="000000" w:themeColor="text1"/>
                <w:kern w:val="2"/>
                <w:sz w:val="24"/>
                <w:szCs w:val="20"/>
                <w:highlight w:val="none"/>
                <w:lang w:val="en-US" w:eastAsia="zh-CN" w:bidi="ar"/>
                <w14:textFill>
                  <w14:solidFill>
                    <w14:schemeClr w14:val="tx1"/>
                  </w14:solidFill>
                </w14:textFill>
              </w:rPr>
              <w:t>5.主要原辅材料</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⑴原辅材料用量</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本项目原辅料为建筑</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装饰</w:t>
            </w:r>
            <w:r>
              <w:rPr>
                <w:rFonts w:hint="default" w:ascii="Times New Roman" w:hAnsi="Times New Roman" w:eastAsia="仿宋_GB2312"/>
                <w:color w:val="000000" w:themeColor="text1"/>
                <w:kern w:val="16"/>
                <w:highlight w:val="none"/>
                <w:lang w:bidi="ar"/>
                <w14:textFill>
                  <w14:solidFill>
                    <w14:schemeClr w14:val="tx1"/>
                  </w14:solidFill>
                </w14:textFill>
              </w:rPr>
              <w:t>垃圾、</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粉煤灰</w:t>
            </w:r>
            <w:r>
              <w:rPr>
                <w:rFonts w:hint="default" w:ascii="Times New Roman" w:hAnsi="Times New Roman" w:eastAsia="仿宋_GB2312"/>
                <w:color w:val="000000" w:themeColor="text1"/>
                <w:kern w:val="16"/>
                <w:highlight w:val="none"/>
                <w:lang w:bidi="ar"/>
                <w14:textFill>
                  <w14:solidFill>
                    <w14:schemeClr w14:val="tx1"/>
                  </w14:solidFill>
                </w14:textFill>
              </w:rPr>
              <w:t>、水泥，均外购，采用汽车运输方式运入。项目原辅材料消耗情况见表2-</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4</w:t>
            </w:r>
            <w:r>
              <w:rPr>
                <w:rFonts w:hint="default" w:ascii="Times New Roman" w:hAnsi="Times New Roman" w:eastAsia="仿宋_GB2312"/>
                <w:color w:val="000000" w:themeColor="text1"/>
                <w:kern w:val="16"/>
                <w:highlight w:val="none"/>
                <w:lang w:bidi="ar"/>
                <w14:textFill>
                  <w14:solidFill>
                    <w14:schemeClr w14:val="tx1"/>
                  </w14:solidFill>
                </w14:textFill>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4</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w:t>
            </w:r>
            <w:r>
              <w:rPr>
                <w:rFonts w:hint="default" w:ascii="Times New Roman" w:hAnsi="Times New Roman" w:cs="Times New Roman"/>
                <w:b/>
                <w:bCs/>
                <w:color w:val="000000" w:themeColor="text1"/>
                <w:kern w:val="2"/>
                <w:sz w:val="24"/>
                <w:szCs w:val="22"/>
                <w:highlight w:val="none"/>
                <w:lang w:val="en-US" w:eastAsia="zh-CN" w:bidi="ar"/>
                <w14:textFill>
                  <w14:solidFill>
                    <w14:schemeClr w14:val="tx1"/>
                  </w14:solidFill>
                </w14:textFill>
              </w:rPr>
              <w:t>本项目主要</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原辅材料一览表</w:t>
            </w:r>
          </w:p>
          <w:tbl>
            <w:tblPr>
              <w:tblStyle w:val="37"/>
              <w:tblW w:w="83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89"/>
              <w:gridCol w:w="838"/>
              <w:gridCol w:w="1175"/>
              <w:gridCol w:w="2625"/>
              <w:gridCol w:w="17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98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原辅材料名称</w:t>
                  </w:r>
                </w:p>
              </w:tc>
              <w:tc>
                <w:tcPr>
                  <w:tcW w:w="838"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单位</w:t>
                  </w:r>
                </w:p>
              </w:tc>
              <w:tc>
                <w:tcPr>
                  <w:tcW w:w="117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年耗量</w:t>
                  </w:r>
                </w:p>
              </w:tc>
              <w:tc>
                <w:tcPr>
                  <w:tcW w:w="262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储存方式</w:t>
                  </w:r>
                </w:p>
              </w:tc>
              <w:tc>
                <w:tcPr>
                  <w:tcW w:w="174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kern w:val="0"/>
                      <w:sz w:val="21"/>
                      <w:szCs w:val="21"/>
                      <w:highlight w:val="none"/>
                      <w:lang w:eastAsia="zh-CN" w:bidi="ar"/>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建筑、装饰垃圾</w:t>
                  </w:r>
                </w:p>
              </w:tc>
              <w:tc>
                <w:tcPr>
                  <w:tcW w:w="83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t/a</w:t>
                  </w:r>
                </w:p>
              </w:tc>
              <w:tc>
                <w:tcPr>
                  <w:tcW w:w="117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150000</w:t>
                  </w:r>
                </w:p>
              </w:tc>
              <w:tc>
                <w:tcPr>
                  <w:tcW w:w="26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露天式原料堆场</w:t>
                  </w:r>
                </w:p>
              </w:tc>
              <w:tc>
                <w:tcPr>
                  <w:tcW w:w="174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外购，汽车运输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再生骨料</w:t>
                  </w:r>
                </w:p>
              </w:tc>
              <w:tc>
                <w:tcPr>
                  <w:tcW w:w="83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t/a</w:t>
                  </w:r>
                </w:p>
              </w:tc>
              <w:tc>
                <w:tcPr>
                  <w:tcW w:w="117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70500</w:t>
                  </w:r>
                </w:p>
              </w:tc>
              <w:tc>
                <w:tcPr>
                  <w:tcW w:w="26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color w:val="000000" w:themeColor="text1"/>
                      <w:szCs w:val="21"/>
                      <w:highlight w:val="none"/>
                      <w14:textFill>
                        <w14:solidFill>
                          <w14:schemeClr w14:val="tx1"/>
                        </w14:solidFill>
                      </w14:textFill>
                    </w:rPr>
                    <w:t>混合骨料暂存间</w:t>
                  </w:r>
                </w:p>
              </w:tc>
              <w:tc>
                <w:tcPr>
                  <w:tcW w:w="174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自产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天然骨料</w:t>
                  </w:r>
                </w:p>
              </w:tc>
              <w:tc>
                <w:tcPr>
                  <w:tcW w:w="83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t/a</w:t>
                  </w:r>
                </w:p>
              </w:tc>
              <w:tc>
                <w:tcPr>
                  <w:tcW w:w="117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87476</w:t>
                  </w:r>
                </w:p>
              </w:tc>
              <w:tc>
                <w:tcPr>
                  <w:tcW w:w="26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混合骨料暂存间</w:t>
                  </w:r>
                </w:p>
              </w:tc>
              <w:tc>
                <w:tcPr>
                  <w:tcW w:w="174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98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水泥</w:t>
                  </w:r>
                </w:p>
              </w:tc>
              <w:tc>
                <w:tcPr>
                  <w:tcW w:w="83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t/a</w:t>
                  </w:r>
                </w:p>
              </w:tc>
              <w:tc>
                <w:tcPr>
                  <w:tcW w:w="117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10434.02</w:t>
                  </w:r>
                </w:p>
              </w:tc>
              <w:tc>
                <w:tcPr>
                  <w:tcW w:w="26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再生混凝土制品生产线和水稳料生产线分别配套</w:t>
                  </w:r>
                  <w:r>
                    <w:rPr>
                      <w:rFonts w:hint="eastAsia"/>
                      <w:color w:val="000000" w:themeColor="text1"/>
                      <w:szCs w:val="21"/>
                      <w:highlight w:val="none"/>
                      <w14:textFill>
                        <w14:solidFill>
                          <w14:schemeClr w14:val="tx1"/>
                        </w14:solidFill>
                      </w14:textFill>
                    </w:rPr>
                    <w:t>2</w:t>
                  </w:r>
                  <w:r>
                    <w:rPr>
                      <w:rFonts w:hint="eastAsia"/>
                      <w:color w:val="000000" w:themeColor="text1"/>
                      <w:szCs w:val="21"/>
                      <w:highlight w:val="none"/>
                      <w:lang w:val="en-US" w:eastAsia="zh-CN"/>
                      <w14:textFill>
                        <w14:solidFill>
                          <w14:schemeClr w14:val="tx1"/>
                        </w14:solidFill>
                      </w14:textFill>
                    </w:rPr>
                    <w:t>座</w:t>
                  </w:r>
                  <w:r>
                    <w:rPr>
                      <w:rFonts w:hint="eastAsia"/>
                      <w:color w:val="000000" w:themeColor="text1"/>
                      <w:szCs w:val="21"/>
                      <w:highlight w:val="none"/>
                      <w14:textFill>
                        <w14:solidFill>
                          <w14:schemeClr w14:val="tx1"/>
                        </w14:solidFill>
                      </w14:textFill>
                    </w:rPr>
                    <w:t>粉料筒仓罐</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其中</w:t>
                  </w:r>
                  <w:r>
                    <w:rPr>
                      <w:rFonts w:hint="eastAsia" w:cs="Times New Roman"/>
                      <w:color w:val="000000" w:themeColor="text1"/>
                      <w:kern w:val="2"/>
                      <w:sz w:val="21"/>
                      <w:szCs w:val="21"/>
                      <w:highlight w:val="none"/>
                      <w:lang w:val="en-US" w:eastAsia="zh-CN" w:bidi="ar-SA"/>
                      <w14:textFill>
                        <w14:solidFill>
                          <w14:schemeClr w14:val="tx1"/>
                        </w14:solidFill>
                      </w14:textFill>
                    </w:rPr>
                    <w:t>再生混凝土制品生产线配套</w:t>
                  </w:r>
                  <w:r>
                    <w:rPr>
                      <w:rFonts w:hint="default" w:eastAsia="宋体" w:cs="Times New Roman"/>
                      <w:color w:val="000000" w:themeColor="text1"/>
                      <w:kern w:val="2"/>
                      <w:sz w:val="21"/>
                      <w:szCs w:val="21"/>
                      <w:highlight w:val="none"/>
                      <w:lang w:val="en-US" w:eastAsia="zh-CN" w:bidi="ar-SA"/>
                      <w14:textFill>
                        <w14:solidFill>
                          <w14:schemeClr w14:val="tx1"/>
                        </w14:solidFill>
                      </w14:textFill>
                    </w:rPr>
                    <w:t>储量</w:t>
                  </w:r>
                  <w:r>
                    <w:rPr>
                      <w:rFonts w:hint="eastAsia" w:cs="Times New Roman"/>
                      <w:color w:val="000000" w:themeColor="text1"/>
                      <w:kern w:val="2"/>
                      <w:sz w:val="21"/>
                      <w:szCs w:val="21"/>
                      <w:highlight w:val="none"/>
                      <w:lang w:val="en-US" w:eastAsia="zh-CN" w:bidi="ar-SA"/>
                      <w14:textFill>
                        <w14:solidFill>
                          <w14:schemeClr w14:val="tx1"/>
                        </w14:solidFill>
                      </w14:textFill>
                    </w:rPr>
                    <w:t>60</w:t>
                  </w:r>
                  <w:r>
                    <w:rPr>
                      <w:rFonts w:hint="default" w:eastAsia="宋体" w:cs="Times New Roman"/>
                      <w:color w:val="000000" w:themeColor="text1"/>
                      <w:kern w:val="2"/>
                      <w:sz w:val="21"/>
                      <w:szCs w:val="21"/>
                      <w:highlight w:val="none"/>
                      <w:lang w:val="en-US" w:eastAsia="zh-CN" w:bidi="ar-SA"/>
                      <w14:textFill>
                        <w14:solidFill>
                          <w14:schemeClr w14:val="tx1"/>
                        </w14:solidFill>
                      </w14:textFill>
                    </w:rPr>
                    <w:t>吨粉料筒仓罐</w:t>
                  </w:r>
                  <w:r>
                    <w:rPr>
                      <w:rFonts w:hint="eastAsia" w:cs="Times New Roman"/>
                      <w:color w:val="000000" w:themeColor="text1"/>
                      <w:kern w:val="2"/>
                      <w:sz w:val="21"/>
                      <w:szCs w:val="21"/>
                      <w:highlight w:val="none"/>
                      <w:lang w:val="en-US" w:eastAsia="zh-CN" w:bidi="ar-SA"/>
                      <w14:textFill>
                        <w14:solidFill>
                          <w14:schemeClr w14:val="tx1"/>
                        </w14:solidFill>
                      </w14:textFill>
                    </w:rPr>
                    <w:t>，水稳料生产线配套</w:t>
                  </w:r>
                  <w:r>
                    <w:rPr>
                      <w:rFonts w:hint="default" w:eastAsia="宋体" w:cs="Times New Roman"/>
                      <w:color w:val="000000" w:themeColor="text1"/>
                      <w:kern w:val="2"/>
                      <w:sz w:val="21"/>
                      <w:szCs w:val="21"/>
                      <w:highlight w:val="none"/>
                      <w:lang w:val="en-US" w:eastAsia="zh-CN" w:bidi="ar-SA"/>
                      <w14:textFill>
                        <w14:solidFill>
                          <w14:schemeClr w14:val="tx1"/>
                        </w14:solidFill>
                      </w14:textFill>
                    </w:rPr>
                    <w:t>储量</w:t>
                  </w:r>
                  <w:r>
                    <w:rPr>
                      <w:rFonts w:hint="eastAsia" w:cs="Times New Roman"/>
                      <w:color w:val="000000" w:themeColor="text1"/>
                      <w:kern w:val="2"/>
                      <w:sz w:val="21"/>
                      <w:szCs w:val="21"/>
                      <w:highlight w:val="none"/>
                      <w:lang w:val="en-US" w:eastAsia="zh-CN" w:bidi="ar-SA"/>
                      <w14:textFill>
                        <w14:solidFill>
                          <w14:schemeClr w14:val="tx1"/>
                        </w14:solidFill>
                      </w14:textFill>
                    </w:rPr>
                    <w:t>100</w:t>
                  </w:r>
                  <w:r>
                    <w:rPr>
                      <w:rFonts w:hint="default" w:eastAsia="宋体" w:cs="Times New Roman"/>
                      <w:color w:val="000000" w:themeColor="text1"/>
                      <w:kern w:val="2"/>
                      <w:sz w:val="21"/>
                      <w:szCs w:val="21"/>
                      <w:highlight w:val="none"/>
                      <w:lang w:val="en-US" w:eastAsia="zh-CN" w:bidi="ar-SA"/>
                      <w14:textFill>
                        <w14:solidFill>
                          <w14:schemeClr w14:val="tx1"/>
                        </w14:solidFill>
                      </w14:textFill>
                    </w:rPr>
                    <w:t>吨粉料筒仓罐</w:t>
                  </w:r>
                </w:p>
              </w:tc>
              <w:tc>
                <w:tcPr>
                  <w:tcW w:w="174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粉煤灰</w:t>
                  </w:r>
                </w:p>
              </w:tc>
              <w:tc>
                <w:tcPr>
                  <w:tcW w:w="83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t/a</w:t>
                  </w:r>
                </w:p>
              </w:tc>
              <w:tc>
                <w:tcPr>
                  <w:tcW w:w="117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2131.41</w:t>
                  </w:r>
                </w:p>
              </w:tc>
              <w:tc>
                <w:tcPr>
                  <w:tcW w:w="26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74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外购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89"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w:t>
                  </w:r>
                </w:p>
              </w:tc>
              <w:tc>
                <w:tcPr>
                  <w:tcW w:w="83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t/a</w:t>
                  </w:r>
                </w:p>
              </w:tc>
              <w:tc>
                <w:tcPr>
                  <w:tcW w:w="117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11373.57</w:t>
                  </w:r>
                </w:p>
              </w:tc>
              <w:tc>
                <w:tcPr>
                  <w:tcW w:w="26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74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
                      <w:sz w:val="21"/>
                      <w:szCs w:val="20"/>
                      <w:highlight w:val="none"/>
                      <w:lang w:val="en-US" w:eastAsia="zh-CN" w:bidi="ar"/>
                      <w14:textFill>
                        <w14:solidFill>
                          <w14:schemeClr w14:val="tx1"/>
                        </w14:solidFill>
                      </w14:textFill>
                    </w:rPr>
                    <w:t>市政给水管网供水</w:t>
                  </w:r>
                </w:p>
              </w:tc>
            </w:tr>
          </w:tbl>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⑵</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原辅材料理化性质</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default"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①水泥</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default"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水泥品种是以水泥的性能为依据划分的，我国常用的水泥都是硅酸盐系列水泥，主要是通过调整硅酸盐水泥熟料，合理掺入不同品种、不同数量的混合材料而划分的。硅酸盐水泥熟料中主要矿物有硅酸三钙、硅酸二钙、铝酸三钙和铁铝酸四钙四种。水泥的性质主要由熟料的矿物组成和矿物结构、混合材料的质量和数量、石膏掺量、粉磨细度等决定的。所以不同生产厂和不同生产方式的水泥，其性质是不同的。</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default"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②</w:t>
            </w:r>
            <w:r>
              <w:rPr>
                <w:rFonts w:hint="default" w:ascii="Times New Roman" w:hAnsi="Times New Roman" w:eastAsia="仿宋_GB2312"/>
                <w:color w:val="000000" w:themeColor="text1"/>
                <w:kern w:val="16"/>
                <w:highlight w:val="none"/>
                <w:lang w:bidi="ar"/>
                <w14:textFill>
                  <w14:solidFill>
                    <w14:schemeClr w14:val="tx1"/>
                  </w14:solidFill>
                </w14:textFill>
              </w:rPr>
              <w:t>粉煤灰</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default" w:ascii="Times New Roman" w:hAnsi="Times New Roman" w:eastAsia="仿宋_GB2312"/>
                <w:color w:val="000000" w:themeColor="text1"/>
                <w:kern w:val="16"/>
                <w:highlight w:val="none"/>
                <w:lang w:val="en-US" w:eastAsia="zh-CN"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粉煤灰：是从煤燃烧后的烟气中收捕下来的细灰，主要组成为：SiO</w:t>
            </w:r>
            <w:r>
              <w:rPr>
                <w:rFonts w:hint="default" w:ascii="Times New Roman" w:hAnsi="Times New Roman" w:eastAsia="仿宋_GB2312"/>
                <w:color w:val="000000" w:themeColor="text1"/>
                <w:kern w:val="16"/>
                <w:highlight w:val="none"/>
                <w:vertAlign w:val="sub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、Al</w:t>
            </w:r>
            <w:r>
              <w:rPr>
                <w:rFonts w:hint="default" w:ascii="Times New Roman" w:hAnsi="Times New Roman" w:eastAsia="仿宋_GB2312"/>
                <w:color w:val="000000" w:themeColor="text1"/>
                <w:kern w:val="16"/>
                <w:highlight w:val="none"/>
                <w:vertAlign w:val="sub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O</w:t>
            </w:r>
            <w:r>
              <w:rPr>
                <w:rFonts w:hint="default" w:ascii="Times New Roman" w:hAnsi="Times New Roman" w:eastAsia="仿宋_GB2312"/>
                <w:color w:val="000000" w:themeColor="text1"/>
                <w:kern w:val="16"/>
                <w:highlight w:val="none"/>
                <w:vertAlign w:val="subscript"/>
                <w:lang w:bidi="ar"/>
                <w14:textFill>
                  <w14:solidFill>
                    <w14:schemeClr w14:val="tx1"/>
                  </w14:solidFill>
                </w14:textFill>
              </w:rPr>
              <w:t>3</w:t>
            </w:r>
            <w:r>
              <w:rPr>
                <w:rFonts w:hint="default" w:ascii="Times New Roman" w:hAnsi="Times New Roman" w:eastAsia="仿宋_GB2312"/>
                <w:color w:val="000000" w:themeColor="text1"/>
                <w:kern w:val="16"/>
                <w:highlight w:val="none"/>
                <w:lang w:bidi="ar"/>
                <w14:textFill>
                  <w14:solidFill>
                    <w14:schemeClr w14:val="tx1"/>
                  </w14:solidFill>
                </w14:textFill>
              </w:rPr>
              <w:t>、FeO、Fe</w:t>
            </w:r>
            <w:r>
              <w:rPr>
                <w:rFonts w:hint="default" w:ascii="Times New Roman" w:hAnsi="Times New Roman" w:eastAsia="仿宋_GB2312"/>
                <w:color w:val="000000" w:themeColor="text1"/>
                <w:kern w:val="16"/>
                <w:highlight w:val="none"/>
                <w:vertAlign w:val="sub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O</w:t>
            </w:r>
            <w:r>
              <w:rPr>
                <w:rFonts w:hint="default" w:ascii="Times New Roman" w:hAnsi="Times New Roman" w:eastAsia="仿宋_GB2312"/>
                <w:color w:val="000000" w:themeColor="text1"/>
                <w:kern w:val="16"/>
                <w:highlight w:val="none"/>
                <w:vertAlign w:val="subscript"/>
                <w:lang w:bidi="ar"/>
                <w14:textFill>
                  <w14:solidFill>
                    <w14:schemeClr w14:val="tx1"/>
                  </w14:solidFill>
                </w14:textFill>
              </w:rPr>
              <w:t>3</w:t>
            </w:r>
            <w:r>
              <w:rPr>
                <w:rFonts w:hint="default" w:ascii="Times New Roman" w:hAnsi="Times New Roman" w:eastAsia="仿宋_GB2312"/>
                <w:color w:val="000000" w:themeColor="text1"/>
                <w:kern w:val="16"/>
                <w:highlight w:val="none"/>
                <w:lang w:bidi="ar"/>
                <w14:textFill>
                  <w14:solidFill>
                    <w14:schemeClr w14:val="tx1"/>
                  </w14:solidFill>
                </w14:textFill>
              </w:rPr>
              <w:t>、CaO、TiO</w:t>
            </w:r>
            <w:r>
              <w:rPr>
                <w:rFonts w:hint="default" w:ascii="Times New Roman" w:hAnsi="Times New Roman" w:eastAsia="仿宋_GB2312"/>
                <w:color w:val="000000" w:themeColor="text1"/>
                <w:kern w:val="16"/>
                <w:highlight w:val="none"/>
                <w:vertAlign w:val="sub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等。</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⑶原辅材料用量</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eastAsia"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①</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建筑垃圾再生线</w:t>
            </w:r>
            <w:r>
              <w:rPr>
                <w:rFonts w:hint="eastAsia" w:ascii="Times New Roman" w:hAnsi="Times New Roman" w:eastAsia="仿宋_GB2312"/>
                <w:color w:val="000000" w:themeColor="text1"/>
                <w:kern w:val="16"/>
                <w:highlight w:val="none"/>
                <w:lang w:bidi="ar"/>
                <w14:textFill>
                  <w14:solidFill>
                    <w14:schemeClr w14:val="tx1"/>
                  </w14:solidFill>
                </w14:textFill>
              </w:rPr>
              <w:t>物料平衡见表2-</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5</w:t>
            </w:r>
            <w:r>
              <w:rPr>
                <w:rFonts w:hint="eastAsia" w:ascii="Times New Roman" w:hAnsi="Times New Roman" w:eastAsia="仿宋_GB2312"/>
                <w:color w:val="000000" w:themeColor="text1"/>
                <w:kern w:val="16"/>
                <w:highlight w:val="none"/>
                <w:lang w:bidi="ar"/>
                <w14:textFill>
                  <w14:solidFill>
                    <w14:schemeClr w14:val="tx1"/>
                  </w14:solidFill>
                </w14:textFill>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5</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w:t>
            </w:r>
            <w:r>
              <w:rPr>
                <w:rFonts w:hint="default" w:ascii="Times New Roman" w:hAnsi="Times New Roman"/>
                <w:b/>
                <w:bCs/>
                <w:color w:val="000000" w:themeColor="text1"/>
                <w:kern w:val="2"/>
                <w:szCs w:val="22"/>
                <w:highlight w:val="none"/>
                <w:lang w:bidi="ar"/>
                <w14:textFill>
                  <w14:solidFill>
                    <w14:schemeClr w14:val="tx1"/>
                  </w14:solidFill>
                </w14:textFill>
              </w:rPr>
              <w:t>建筑垃圾再生线物料平衡表</w:t>
            </w:r>
            <w:r>
              <w:rPr>
                <w:rFonts w:hint="eastAsia" w:ascii="Times New Roman" w:hAnsi="Times New Roman"/>
                <w:b/>
                <w:bCs/>
                <w:color w:val="000000" w:themeColor="text1"/>
                <w:kern w:val="2"/>
                <w:szCs w:val="22"/>
                <w:highlight w:val="none"/>
                <w:lang w:val="en-US" w:eastAsia="zh-CN" w:bidi="ar"/>
                <w14:textFill>
                  <w14:solidFill>
                    <w14:schemeClr w14:val="tx1"/>
                  </w14:solidFill>
                </w14:textFill>
              </w:rPr>
              <w:t xml:space="preserve">   单位：t/a</w:t>
            </w:r>
          </w:p>
          <w:tbl>
            <w:tblPr>
              <w:tblStyle w:val="37"/>
              <w:tblW w:w="83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35"/>
              <w:gridCol w:w="1225"/>
              <w:gridCol w:w="1388"/>
              <w:gridCol w:w="1350"/>
              <w:gridCol w:w="29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2660"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cs="Times New Roman"/>
                      <w:b/>
                      <w:color w:val="000000" w:themeColor="text1"/>
                      <w:sz w:val="21"/>
                      <w:szCs w:val="21"/>
                      <w:highlight w:val="none"/>
                      <w:lang w:val="en-US" w:eastAsia="zh-CN"/>
                      <w14:textFill>
                        <w14:solidFill>
                          <w14:schemeClr w14:val="tx1"/>
                        </w14:solidFill>
                      </w14:textFill>
                    </w:rPr>
                    <w:t>投入</w:t>
                  </w:r>
                </w:p>
              </w:tc>
              <w:tc>
                <w:tcPr>
                  <w:tcW w:w="5712" w:type="dxa"/>
                  <w:gridSpan w:val="3"/>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kern w:val="0"/>
                      <w:sz w:val="21"/>
                      <w:szCs w:val="21"/>
                      <w:highlight w:val="none"/>
                      <w:lang w:val="en-US" w:eastAsia="zh-CN" w:bidi="ar"/>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生产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原料名称</w:t>
                  </w:r>
                </w:p>
              </w:tc>
              <w:tc>
                <w:tcPr>
                  <w:tcW w:w="12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投入量</w:t>
                  </w:r>
                </w:p>
              </w:tc>
              <w:tc>
                <w:tcPr>
                  <w:tcW w:w="138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物料名称</w:t>
                  </w:r>
                </w:p>
              </w:tc>
              <w:tc>
                <w:tcPr>
                  <w:tcW w:w="1350"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产出量</w:t>
                  </w:r>
                </w:p>
              </w:tc>
              <w:tc>
                <w:tcPr>
                  <w:tcW w:w="2974"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建筑垃圾</w:t>
                  </w:r>
                </w:p>
              </w:tc>
              <w:tc>
                <w:tcPr>
                  <w:tcW w:w="12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150000</w:t>
                  </w:r>
                </w:p>
              </w:tc>
              <w:tc>
                <w:tcPr>
                  <w:tcW w:w="138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骨料</w:t>
                  </w:r>
                </w:p>
              </w:tc>
              <w:tc>
                <w:tcPr>
                  <w:tcW w:w="1350"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70500</w:t>
                  </w:r>
                </w:p>
              </w:tc>
              <w:tc>
                <w:tcPr>
                  <w:tcW w:w="2974"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用于下游生产线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2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38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渣土</w:t>
                  </w:r>
                </w:p>
              </w:tc>
              <w:tc>
                <w:tcPr>
                  <w:tcW w:w="1350"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57300</w:t>
                  </w:r>
                </w:p>
              </w:tc>
              <w:tc>
                <w:tcPr>
                  <w:tcW w:w="2974"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统一收集到渣土仓内，主要用于回填工程，如拆除工程场地平整，垃圾填埋场的封场填埋等</w:t>
                  </w:r>
                  <w:r>
                    <w:rPr>
                      <w:rFonts w:hint="eastAsia"/>
                      <w:color w:val="000000" w:themeColor="text1"/>
                      <w:szCs w:val="21"/>
                      <w:highlight w:val="none"/>
                      <w:lang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2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38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建筑固废中的品质较差骨料</w:t>
                  </w:r>
                </w:p>
              </w:tc>
              <w:tc>
                <w:tcPr>
                  <w:tcW w:w="1350"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22189.25</w:t>
                  </w:r>
                </w:p>
              </w:tc>
              <w:tc>
                <w:tcPr>
                  <w:tcW w:w="2974"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回用于生产线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2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388" w:type="dxa"/>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有组织废气</w:t>
                  </w:r>
                </w:p>
              </w:tc>
              <w:tc>
                <w:tcPr>
                  <w:tcW w:w="1350" w:type="dxa"/>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1.02</w:t>
                  </w:r>
                </w:p>
              </w:tc>
              <w:tc>
                <w:tcPr>
                  <w:tcW w:w="2974" w:type="dxa"/>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布袋除尘器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2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388" w:type="dxa"/>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无组织废气</w:t>
                  </w:r>
                </w:p>
              </w:tc>
              <w:tc>
                <w:tcPr>
                  <w:tcW w:w="1350" w:type="dxa"/>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9.73</w:t>
                  </w:r>
                </w:p>
              </w:tc>
              <w:tc>
                <w:tcPr>
                  <w:tcW w:w="2974" w:type="dxa"/>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活性干雾机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5"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1225"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150000</w:t>
                  </w:r>
                </w:p>
              </w:tc>
              <w:tc>
                <w:tcPr>
                  <w:tcW w:w="1388"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1350"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150000</w:t>
                  </w:r>
                </w:p>
              </w:tc>
              <w:tc>
                <w:tcPr>
                  <w:tcW w:w="2974"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w:t>
                  </w:r>
                </w:p>
              </w:tc>
            </w:tr>
          </w:tbl>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eastAsia"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②</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再生混凝土制品生产线</w:t>
            </w:r>
            <w:r>
              <w:rPr>
                <w:rFonts w:hint="eastAsia" w:ascii="Times New Roman" w:hAnsi="Times New Roman" w:eastAsia="仿宋_GB2312"/>
                <w:color w:val="000000" w:themeColor="text1"/>
                <w:kern w:val="16"/>
                <w:highlight w:val="none"/>
                <w:lang w:bidi="ar"/>
                <w14:textFill>
                  <w14:solidFill>
                    <w14:schemeClr w14:val="tx1"/>
                  </w14:solidFill>
                </w14:textFill>
              </w:rPr>
              <w:t>物料平衡见表2-</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6、2-7</w:t>
            </w:r>
            <w:r>
              <w:rPr>
                <w:rFonts w:hint="eastAsia" w:ascii="Times New Roman" w:hAnsi="Times New Roman" w:eastAsia="仿宋_GB2312"/>
                <w:color w:val="000000" w:themeColor="text1"/>
                <w:kern w:val="16"/>
                <w:highlight w:val="none"/>
                <w:lang w:bidi="ar"/>
                <w14:textFill>
                  <w14:solidFill>
                    <w14:schemeClr w14:val="tx1"/>
                  </w14:solidFill>
                </w14:textFill>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6</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w:t>
            </w:r>
            <w:r>
              <w:rPr>
                <w:rFonts w:hint="default" w:ascii="Times New Roman" w:hAnsi="Times New Roman"/>
                <w:b/>
                <w:bCs/>
                <w:color w:val="000000" w:themeColor="text1"/>
                <w:kern w:val="2"/>
                <w:szCs w:val="22"/>
                <w:highlight w:val="none"/>
                <w:lang w:bidi="ar"/>
                <w14:textFill>
                  <w14:solidFill>
                    <w14:schemeClr w14:val="tx1"/>
                  </w14:solidFill>
                </w14:textFill>
              </w:rPr>
              <w:t>PC仿石材铺地砖生产线物料平衡表</w:t>
            </w:r>
            <w:r>
              <w:rPr>
                <w:rFonts w:hint="eastAsia" w:ascii="Times New Roman" w:hAnsi="Times New Roman"/>
                <w:b/>
                <w:bCs/>
                <w:color w:val="000000" w:themeColor="text1"/>
                <w:kern w:val="2"/>
                <w:szCs w:val="22"/>
                <w:highlight w:val="none"/>
                <w:lang w:val="en-US" w:eastAsia="zh-CN" w:bidi="ar"/>
                <w14:textFill>
                  <w14:solidFill>
                    <w14:schemeClr w14:val="tx1"/>
                  </w14:solidFill>
                </w14:textFill>
              </w:rPr>
              <w:t xml:space="preserve">   单位：t/a</w:t>
            </w:r>
          </w:p>
          <w:tbl>
            <w:tblPr>
              <w:tblStyle w:val="37"/>
              <w:tblW w:w="83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93"/>
              <w:gridCol w:w="2093"/>
              <w:gridCol w:w="2093"/>
              <w:gridCol w:w="209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tblHeader/>
                <w:jc w:val="center"/>
              </w:trPr>
              <w:tc>
                <w:tcPr>
                  <w:tcW w:w="4186"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cs="Times New Roman"/>
                      <w:b/>
                      <w:color w:val="000000" w:themeColor="text1"/>
                      <w:sz w:val="21"/>
                      <w:szCs w:val="21"/>
                      <w:highlight w:val="none"/>
                      <w:lang w:val="en-US" w:eastAsia="zh-CN"/>
                      <w14:textFill>
                        <w14:solidFill>
                          <w14:schemeClr w14:val="tx1"/>
                        </w14:solidFill>
                      </w14:textFill>
                    </w:rPr>
                    <w:t>投入</w:t>
                  </w:r>
                </w:p>
              </w:tc>
              <w:tc>
                <w:tcPr>
                  <w:tcW w:w="4186" w:type="dxa"/>
                  <w:gridSpan w:val="2"/>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kern w:val="0"/>
                      <w:sz w:val="21"/>
                      <w:szCs w:val="21"/>
                      <w:highlight w:val="none"/>
                      <w:lang w:val="en-US" w:eastAsia="zh-CN" w:bidi="ar"/>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生产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原料名称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投入量</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物料名称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产出量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水泥</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978.62</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Cs w:val="21"/>
                      <w:highlight w:val="none"/>
                      <w14:textFill>
                        <w14:solidFill>
                          <w14:schemeClr w14:val="tx1"/>
                        </w14:solidFill>
                      </w14:textFill>
                    </w:rPr>
                    <w:t>PC仿石材铺地砖</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8万m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（约11040t）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粉煤灰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1160.67</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有组织废气</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天然细骨料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sz w:val="21"/>
                      <w:szCs w:val="21"/>
                      <w:lang w:val="en-US" w:eastAsia="zh-CN"/>
                    </w:rPr>
                    <w:t>1824.28</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无组织废气</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天然粗骨料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sz w:val="21"/>
                      <w:szCs w:val="21"/>
                      <w:lang w:val="en-US" w:eastAsia="zh-CN"/>
                    </w:rPr>
                    <w:t>1188.39</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再生细骨料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2875.00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再生粗骨料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2125.00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生产用水</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888.</w:t>
                  </w:r>
                  <w:r>
                    <w:rPr>
                      <w:rFonts w:hint="eastAsia"/>
                      <w:color w:val="000000"/>
                      <w:sz w:val="21"/>
                      <w:szCs w:val="21"/>
                      <w:lang w:val="en-US" w:eastAsia="zh-CN"/>
                    </w:rPr>
                    <w:t>11</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11040.07</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11040.07</w:t>
                  </w:r>
                </w:p>
              </w:tc>
            </w:tr>
          </w:tbl>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7</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w:t>
            </w:r>
            <w:r>
              <w:rPr>
                <w:rFonts w:hint="default" w:ascii="Times New Roman" w:hAnsi="Times New Roman"/>
                <w:b/>
                <w:bCs/>
                <w:color w:val="000000" w:themeColor="text1"/>
                <w:kern w:val="2"/>
                <w:szCs w:val="22"/>
                <w:highlight w:val="none"/>
                <w:lang w:bidi="ar"/>
                <w14:textFill>
                  <w14:solidFill>
                    <w14:schemeClr w14:val="tx1"/>
                  </w14:solidFill>
                </w14:textFill>
              </w:rPr>
              <w:t>PC仿石材路缘石生产线物料平衡表</w:t>
            </w:r>
            <w:r>
              <w:rPr>
                <w:rFonts w:hint="eastAsia" w:ascii="Times New Roman" w:hAnsi="Times New Roman"/>
                <w:b/>
                <w:bCs/>
                <w:color w:val="000000" w:themeColor="text1"/>
                <w:kern w:val="2"/>
                <w:szCs w:val="22"/>
                <w:highlight w:val="none"/>
                <w:lang w:val="en-US" w:eastAsia="zh-CN" w:bidi="ar"/>
                <w14:textFill>
                  <w14:solidFill>
                    <w14:schemeClr w14:val="tx1"/>
                  </w14:solidFill>
                </w14:textFill>
              </w:rPr>
              <w:t xml:space="preserve">   单位：t/a</w:t>
            </w:r>
          </w:p>
          <w:tbl>
            <w:tblPr>
              <w:tblStyle w:val="37"/>
              <w:tblW w:w="83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93"/>
              <w:gridCol w:w="2093"/>
              <w:gridCol w:w="2093"/>
              <w:gridCol w:w="209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4186"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cs="Times New Roman"/>
                      <w:b/>
                      <w:color w:val="000000" w:themeColor="text1"/>
                      <w:sz w:val="21"/>
                      <w:szCs w:val="21"/>
                      <w:highlight w:val="none"/>
                      <w:lang w:val="en-US" w:eastAsia="zh-CN"/>
                      <w14:textFill>
                        <w14:solidFill>
                          <w14:schemeClr w14:val="tx1"/>
                        </w14:solidFill>
                      </w14:textFill>
                    </w:rPr>
                    <w:t>投入</w:t>
                  </w:r>
                </w:p>
              </w:tc>
              <w:tc>
                <w:tcPr>
                  <w:tcW w:w="4186" w:type="dxa"/>
                  <w:gridSpan w:val="2"/>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kern w:val="0"/>
                      <w:sz w:val="21"/>
                      <w:szCs w:val="21"/>
                      <w:highlight w:val="none"/>
                      <w:lang w:val="en-US" w:eastAsia="zh-CN" w:bidi="ar"/>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生产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原料名称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投入量</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物料名称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产出量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水泥</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2455.40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themeColor="text1"/>
                      <w:szCs w:val="21"/>
                      <w:highlight w:val="none"/>
                      <w14:textFill>
                        <w14:solidFill>
                          <w14:schemeClr w14:val="tx1"/>
                        </w14:solidFill>
                      </w14:textFill>
                    </w:rPr>
                    <w:t>PC仿石材路缘石</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7.5万m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（约25875t）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粉煤灰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970.74</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有组织废气</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天然细骨料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sz w:val="21"/>
                      <w:szCs w:val="21"/>
                      <w:lang w:val="en-US" w:eastAsia="zh-CN"/>
                    </w:rPr>
                    <w:t>4906.80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无组织废气</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天然粗骨料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sz w:val="21"/>
                      <w:szCs w:val="21"/>
                      <w:lang w:val="en-US" w:eastAsia="zh-CN"/>
                    </w:rPr>
                    <w:t>3209.53</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再生细骨料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7000.00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再生粗骨料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5250.00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生产用水</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olor w:val="000000"/>
                      <w:sz w:val="21"/>
                      <w:szCs w:val="21"/>
                    </w:rPr>
                    <w:t>2082.</w:t>
                  </w:r>
                  <w:r>
                    <w:rPr>
                      <w:rFonts w:hint="eastAsia"/>
                      <w:color w:val="000000"/>
                      <w:sz w:val="21"/>
                      <w:szCs w:val="21"/>
                      <w:lang w:val="en-US" w:eastAsia="zh-CN"/>
                    </w:rPr>
                    <w:t>60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25875.07</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2093" w:type="dxa"/>
                  <w:noWrap/>
                  <w:tcMar>
                    <w:top w:w="15" w:type="dxa"/>
                    <w:left w:w="15" w:type="dxa"/>
                    <w:right w:w="15" w:type="dxa"/>
                  </w:tcMar>
                  <w:vAlign w:val="center"/>
                </w:tcPr>
                <w:p>
                  <w:pPr>
                    <w:keepNext w:val="0"/>
                    <w:keepLines w:val="0"/>
                    <w:pageBreakBefore w:val="0"/>
                    <w:suppressLineNumbers w:val="0"/>
                    <w:tabs>
                      <w:tab w:val="left" w:pos="535"/>
                      <w:tab w:val="center" w:pos="1090"/>
                    </w:tabs>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25875.07</w:t>
                  </w:r>
                </w:p>
              </w:tc>
            </w:tr>
          </w:tbl>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Lines="-2147483648" w:beforeAutospacing="0" w:after="0" w:afterAutospacing="0" w:line="348" w:lineRule="auto"/>
              <w:ind w:left="0" w:right="0" w:firstLine="480" w:firstLineChars="200"/>
              <w:jc w:val="both"/>
              <w:textAlignment w:val="auto"/>
              <w:rPr>
                <w:rFonts w:hint="eastAsia"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③</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水稳料生产线</w:t>
            </w:r>
            <w:r>
              <w:rPr>
                <w:rFonts w:hint="eastAsia" w:ascii="Times New Roman" w:hAnsi="Times New Roman" w:eastAsia="仿宋_GB2312"/>
                <w:color w:val="000000" w:themeColor="text1"/>
                <w:kern w:val="16"/>
                <w:highlight w:val="none"/>
                <w:lang w:bidi="ar"/>
                <w14:textFill>
                  <w14:solidFill>
                    <w14:schemeClr w14:val="tx1"/>
                  </w14:solidFill>
                </w14:textFill>
              </w:rPr>
              <w:t>物料平衡见表2-</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8</w:t>
            </w:r>
            <w:r>
              <w:rPr>
                <w:rFonts w:hint="eastAsia" w:ascii="Times New Roman" w:hAnsi="Times New Roman" w:eastAsia="仿宋_GB2312"/>
                <w:color w:val="000000" w:themeColor="text1"/>
                <w:kern w:val="16"/>
                <w:highlight w:val="none"/>
                <w:lang w:bidi="ar"/>
                <w14:textFill>
                  <w14:solidFill>
                    <w14:schemeClr w14:val="tx1"/>
                  </w14:solidFill>
                </w14:textFill>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8</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w:t>
            </w:r>
            <w:r>
              <w:rPr>
                <w:rFonts w:hint="eastAsia" w:ascii="Times New Roman" w:hAnsi="Times New Roman"/>
                <w:b/>
                <w:bCs/>
                <w:color w:val="000000" w:themeColor="text1"/>
                <w:kern w:val="2"/>
                <w:szCs w:val="22"/>
                <w:highlight w:val="none"/>
                <w:lang w:val="en-US" w:eastAsia="zh-CN" w:bidi="ar"/>
                <w14:textFill>
                  <w14:solidFill>
                    <w14:schemeClr w14:val="tx1"/>
                  </w14:solidFill>
                </w14:textFill>
              </w:rPr>
              <w:t>水稳料生产线</w:t>
            </w:r>
            <w:r>
              <w:rPr>
                <w:rFonts w:hint="default" w:ascii="Times New Roman" w:hAnsi="Times New Roman"/>
                <w:b/>
                <w:bCs/>
                <w:color w:val="000000" w:themeColor="text1"/>
                <w:kern w:val="2"/>
                <w:szCs w:val="22"/>
                <w:highlight w:val="none"/>
                <w:lang w:bidi="ar"/>
                <w14:textFill>
                  <w14:solidFill>
                    <w14:schemeClr w14:val="tx1"/>
                  </w14:solidFill>
                </w14:textFill>
              </w:rPr>
              <w:t>物料平衡表</w:t>
            </w:r>
            <w:r>
              <w:rPr>
                <w:rFonts w:hint="eastAsia" w:ascii="Times New Roman" w:hAnsi="Times New Roman"/>
                <w:b/>
                <w:bCs/>
                <w:color w:val="000000" w:themeColor="text1"/>
                <w:kern w:val="2"/>
                <w:szCs w:val="22"/>
                <w:highlight w:val="none"/>
                <w:lang w:val="en-US" w:eastAsia="zh-CN" w:bidi="ar"/>
                <w14:textFill>
                  <w14:solidFill>
                    <w14:schemeClr w14:val="tx1"/>
                  </w14:solidFill>
                </w14:textFill>
              </w:rPr>
              <w:t xml:space="preserve">   单位：t/a</w:t>
            </w:r>
          </w:p>
          <w:tbl>
            <w:tblPr>
              <w:tblStyle w:val="37"/>
              <w:tblW w:w="83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93"/>
              <w:gridCol w:w="2093"/>
              <w:gridCol w:w="2093"/>
              <w:gridCol w:w="209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4186" w:type="dxa"/>
                  <w:gridSpan w:val="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cs="Times New Roman"/>
                      <w:b/>
                      <w:color w:val="000000" w:themeColor="text1"/>
                      <w:sz w:val="21"/>
                      <w:szCs w:val="21"/>
                      <w:highlight w:val="none"/>
                      <w:lang w:val="en-US" w:eastAsia="zh-CN"/>
                      <w14:textFill>
                        <w14:solidFill>
                          <w14:schemeClr w14:val="tx1"/>
                        </w14:solidFill>
                      </w14:textFill>
                    </w:rPr>
                    <w:t>投入</w:t>
                  </w:r>
                </w:p>
              </w:tc>
              <w:tc>
                <w:tcPr>
                  <w:tcW w:w="4186" w:type="dxa"/>
                  <w:gridSpan w:val="2"/>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kern w:val="0"/>
                      <w:sz w:val="21"/>
                      <w:szCs w:val="21"/>
                      <w:highlight w:val="none"/>
                      <w:lang w:val="en-US" w:eastAsia="zh-CN" w:bidi="ar"/>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生产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原料名称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投入量</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物料名称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产出量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水泥</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7000</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水稳料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145000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粉煤灰</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有组织废气</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天然细骨料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47073.5</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无组织废气</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天然粗骨料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29273.5</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再生细骨料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32575</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再生粗骨料</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20675</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生产用水</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8403</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9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145001.04</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合计</w:t>
                  </w:r>
                </w:p>
              </w:tc>
              <w:tc>
                <w:tcPr>
                  <w:tcW w:w="2093" w:type="dxa"/>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145001.04</w:t>
                  </w:r>
                </w:p>
              </w:tc>
            </w:tr>
          </w:tbl>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⑵</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建筑垃圾</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来源、种类控制及入场要求</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本项目服务范围为彭阳县城区及下辖古城镇、白阳镇、红河镇、城阳乡、新集乡和草庙乡（以下简称“三镇三乡”）。</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本项目处理对象为县域内产生的建筑垃圾</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主要来源：⑴建筑施工垃圾。主要是施工过程中剩余的混凝土和建筑碎料。剩余混凝土是施工过程中没有用完而多余出来的混凝土，也包括因天气变化等原因而暂停施工未及时使用的混凝土；建筑碎料包括凿除、抹灰等产生的旧混凝土、砂浆等矿物材料。占本项目建筑垃圾原料来源比例约20%。</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⑵</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建筑物拆除垃圾。主要包括拆除后的混凝土板、石头、砂浆。建筑物拆除垃圾在建筑垃圾中所占的比例最大，也是本项目生产再生骨料的主要来源占原料比例约70%。</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⑶</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道路开挖垃圾。由于道路的损坏需要翻修，因而将原有沥青或混凝土路面材料除去，在此过程中开挖的沥青混凝土或素混凝土碎块。该部分垃圾总和占本项目建筑垃圾原料来源约10%。</w:t>
            </w:r>
          </w:p>
          <w:p>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建筑、装饰垃圾</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原料进厂时严格把控，不得将</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其他</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工业废料</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和危险废物</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混入，固堆场不考虑重金属和有害物质渗漏</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w:t>
            </w:r>
            <w:r>
              <w:rPr>
                <w:rFonts w:hint="eastAsia" w:eastAsia="仿宋_GB2312"/>
                <w:color w:val="000000" w:themeColor="text1"/>
                <w:kern w:val="16"/>
                <w:sz w:val="24"/>
                <w:szCs w:val="24"/>
                <w:highlight w:val="none"/>
                <w:lang w:bidi="ar"/>
                <w14:textFill>
                  <w14:solidFill>
                    <w14:schemeClr w14:val="tx1"/>
                  </w14:solidFill>
                </w14:textFill>
              </w:rPr>
              <w:t>为了防止运输建筑、装修垃圾过程中因撒漏、飞扬造成的粉尘和其他污染源的“二次污染”，要求垃圾运输车辆采用新型环保渣土运输车辆，并严格实施密闭化，安装北斗定位监控装置，统一纳入数字城市管理平台进行管理，按照规定路线运行。</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进场前应先进行预处理分拣，尽量减少最终无用的渣土量</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为考虑原料堆场雨天污染其他区域，将原料堆场区设置专用排水沟，最低点设置雨水沉淀池，另在建筑垃圾再生利用车间西侧，搅拌机旁边设置埋地成品冲洗沉淀池。本项目室外原料堆场平时用防尘网罩盖，避免扬尘飞起。建设单位应根据生产要求、按计划收购、分期分批入库，严格控制贮存量</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。建筑垃圾</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原料的回收、</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利用</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、运输和贮存应符合《</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建筑垃圾</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污染控制技术规范》（HJ</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1462</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-20</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26</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）的要求，对环境和人体健康不会造成危害。</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jc w:val="both"/>
              <w:textAlignment w:val="auto"/>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6.占地面积及占地类型</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firstLine="480" w:firstLineChars="200"/>
              <w:jc w:val="both"/>
              <w:textAlignment w:val="auto"/>
              <w:rPr>
                <w:rFonts w:hint="default"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本项目生产区用地面积29414.42平方米（44.13亩），管理区用地面积1722.15平方米（2.58亩），生产区整块用地现状呈南高北低，东高西低的状态，用地西侧为山沟，用地东侧为标高高于项目用地的山坡。生产区原场地标高在1645.95~1665.49m之间，以被基本场平，场平后的标高在1650.062~1648.63m之间。本项目管理区地势相对平坦，原场地标高在1676.73~1675.92m之间。</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厂区外部市政道路由管理区西北侧绕行至生产区东北侧，管理区及生产区主入口均设在西北侧，外部市政道路宽6米。用地周边500米范围内均为山地（山坡及山沟），四邻暂无建（构）筑物。场地周边500米范围内无环境敏感区(水源地等）。</w:t>
            </w:r>
          </w:p>
          <w:p>
            <w:pPr>
              <w:pStyle w:val="3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60" w:lineRule="auto"/>
              <w:ind w:left="0" w:right="0"/>
              <w:jc w:val="both"/>
              <w:textAlignment w:val="auto"/>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7</w:t>
            </w:r>
            <w:r>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.劳动定员及工作制度</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本项目劳动定员为30人，其中管理及后勤人员6人，生产部门24人。每天1班制，</w:t>
            </w:r>
            <w:r>
              <w:rPr>
                <w:rFonts w:hint="default" w:ascii="Times New Roman" w:hAnsi="Times New Roman" w:eastAsia="仿宋_GB2312"/>
                <w:color w:val="000000" w:themeColor="text1"/>
                <w:kern w:val="16"/>
                <w:highlight w:val="none"/>
                <w:lang w:val="en-US" w:eastAsia="zh-CN" w:bidi="ar"/>
                <w14:textFill>
                  <w14:solidFill>
                    <w14:schemeClr w14:val="tx1"/>
                  </w14:solidFill>
                </w14:textFill>
              </w:rPr>
              <w:t>按照</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年工作天数</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210</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d，实行一班工作制，每天工作8h。</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8</w:t>
            </w:r>
            <w:r>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.厂区总平面布置</w:t>
            </w:r>
            <w:r>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及合理性分析</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⑴厂区总平面布置</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pP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本项目生产线布置在厂区</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建筑垃圾再生利用车间</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内</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，建筑垃圾再生利用车间位于厂区西北侧，生产车间沿用地长轴方向呈南北向布局</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。且因为生产区东、南、西面均有护坡，因此将车间尽量居中布置，南端、北端形成的空地作为原料堆场及再生产品堆场。</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管理用房位于建筑垃圾再生利用车间东南侧，</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管理用房的的布局也依地形建设，整体呈“一”字形沿用地长轴方向布置。</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成品辅助用房位于建筑垃圾再生利用车间东北角。</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本项目厂区总平面布置见</w:t>
            </w:r>
            <w:r>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附</w:t>
            </w:r>
            <w:r>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图2-1</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p>
          <w:p>
            <w:pPr>
              <w:pStyle w:val="34"/>
              <w:keepNext w:val="0"/>
              <w:keepLines w:val="0"/>
              <w:pageBreakBefore w:val="0"/>
              <w:widowControl/>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olor w:val="000000" w:themeColor="text1"/>
                <w:kern w:val="16"/>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⑵</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厂区</w:t>
            </w:r>
            <w:r>
              <w:rPr>
                <w:rFonts w:hint="default" w:ascii="Times New Roman" w:hAnsi="Times New Roman" w:eastAsia="仿宋_GB2312"/>
                <w:color w:val="000000" w:themeColor="text1"/>
                <w:kern w:val="16"/>
                <w:highlight w:val="none"/>
                <w:lang w:val="en-US" w:eastAsia="zh-CN" w:bidi="ar"/>
                <w14:textFill>
                  <w14:solidFill>
                    <w14:schemeClr w14:val="tx1"/>
                  </w14:solidFill>
                </w14:textFill>
              </w:rPr>
              <w:t>总平面布置合理性分析</w:t>
            </w:r>
          </w:p>
          <w:p>
            <w:pPr>
              <w:pStyle w:val="34"/>
              <w:keepNext w:val="0"/>
              <w:keepLines w:val="0"/>
              <w:pageBreakBefore w:val="0"/>
              <w:widowControl/>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olor w:val="000000" w:themeColor="text1"/>
                <w:kern w:val="16"/>
                <w:highlight w:val="none"/>
                <w:lang w:eastAsia="zh-CN"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本项目位于固原市彭阳县新集乡与白阳镇交界处，彭沟公路西侧，距彭阳县城4公里。项目周围市政道路交错，交通便利</w:t>
            </w:r>
            <w:r>
              <w:rPr>
                <w:rFonts w:hint="eastAsia" w:ascii="Times New Roman" w:hAnsi="Times New Roman" w:eastAsia="仿宋_GB2312"/>
                <w:color w:val="000000" w:themeColor="text1"/>
                <w:kern w:val="16"/>
                <w:highlight w:val="none"/>
                <w:lang w:eastAsia="zh-CN" w:bidi="ar"/>
                <w14:textFill>
                  <w14:solidFill>
                    <w14:schemeClr w14:val="tx1"/>
                  </w14:solidFill>
                </w14:textFill>
              </w:rPr>
              <w:t>，具</w:t>
            </w:r>
            <w:r>
              <w:rPr>
                <w:rFonts w:hint="default" w:ascii="Times New Roman" w:hAnsi="Times New Roman" w:eastAsia="仿宋_GB2312"/>
                <w:color w:val="000000" w:themeColor="text1"/>
                <w:kern w:val="16"/>
                <w:highlight w:val="none"/>
                <w:lang w:bidi="ar"/>
                <w14:textFill>
                  <w14:solidFill>
                    <w14:schemeClr w14:val="tx1"/>
                  </w14:solidFill>
                </w14:textFill>
              </w:rPr>
              <w:t>有较好建设实施条件</w:t>
            </w:r>
            <w:r>
              <w:rPr>
                <w:rFonts w:hint="eastAsia" w:ascii="Times New Roman" w:hAnsi="Times New Roman" w:eastAsia="仿宋_GB2312"/>
                <w:color w:val="000000" w:themeColor="text1"/>
                <w:kern w:val="16"/>
                <w:highlight w:val="none"/>
                <w:lang w:eastAsia="zh-CN" w:bidi="ar"/>
                <w14:textFill>
                  <w14:solidFill>
                    <w14:schemeClr w14:val="tx1"/>
                  </w14:solidFill>
                </w14:textFill>
              </w:rPr>
              <w:t>。</w:t>
            </w:r>
          </w:p>
          <w:p>
            <w:pPr>
              <w:pStyle w:val="34"/>
              <w:keepNext w:val="0"/>
              <w:keepLines w:val="0"/>
              <w:pageBreakBefore w:val="0"/>
              <w:widowControl/>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项目周边具有便捷交通设施，道路畅通，场区平面布置紧凑合理，根据主体工程施工实际现场情况，项目采用机械和人工配合进行工程施工，开挖土方委托有资质的单位拉至指定地点，管线开挖土方临时堆放在管沟一侧，待管线敷设完成后，及时回填。在开挖过程中，不适宜或机器施工扰动过大的采用人工操作，减少地表扰动强度。项目施工材料堆放在项目区南侧区域，位于项目规划建设用地红线范围内，项目施工道路主干道利用现有市政道路，新增入厂施工道路，项目施工营地布置在场地北侧，位于项目规划建设用地红线范围内，总体减少占地，有利于控制水土流失的影响。项目建设过程中，结合施工时序，有序开挖进行施工，纵向布置充分结合原地貌标高及周边地形考虑，在满足雨水排放的条件下，控制设计标高，减少土石方量。</w:t>
            </w:r>
          </w:p>
          <w:p>
            <w:pPr>
              <w:pStyle w:val="34"/>
              <w:keepNext w:val="0"/>
              <w:keepLines w:val="0"/>
              <w:pageBreakBefore w:val="0"/>
              <w:widowControl/>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olor w:val="000000" w:themeColor="text1"/>
                <w:kern w:val="16"/>
                <w:highlight w:val="none"/>
                <w:lang w:eastAsia="zh-CN"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综上所述，本工程建设方案及布局总体合理</w:t>
            </w:r>
            <w:r>
              <w:rPr>
                <w:rFonts w:hint="eastAsia" w:ascii="Times New Roman" w:hAnsi="Times New Roman" w:eastAsia="仿宋_GB2312"/>
                <w:color w:val="000000" w:themeColor="text1"/>
                <w:kern w:val="16"/>
                <w:highlight w:val="none"/>
                <w:lang w:eastAsia="zh-CN" w:bidi="ar"/>
                <w14:textFill>
                  <w14:solidFill>
                    <w14:schemeClr w14:val="tx1"/>
                  </w14:solidFill>
                </w14:textFill>
              </w:rPr>
              <w:t>。</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9</w:t>
            </w:r>
            <w:r>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.水平衡分析</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⑴给水</w:t>
            </w:r>
          </w:p>
          <w:p>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本项目用水由项目区北侧一公里处的</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De300</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市政给水管网供水，从供水点引入一根</w:t>
            </w:r>
            <w:r>
              <w:rPr>
                <w:rFonts w:hint="default"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De160pE</w:t>
            </w:r>
            <w:r>
              <w:rPr>
                <w:rFonts w:hint="eastAsia" w:ascii="Times New Roman" w:hAnsi="Times New Roman" w:eastAsia="仿宋_GB2312" w:cs="Times New Roman"/>
                <w:color w:val="000000" w:themeColor="text1"/>
                <w:kern w:val="16"/>
                <w:sz w:val="24"/>
                <w:szCs w:val="24"/>
                <w:highlight w:val="none"/>
                <w:lang w:val="en-US" w:eastAsia="zh-CN" w:bidi="ar"/>
                <w14:textFill>
                  <w14:solidFill>
                    <w14:schemeClr w14:val="tx1"/>
                  </w14:solidFill>
                </w14:textFill>
              </w:rPr>
              <w:t>管至本项目区内，提供本项目内的生产、生活和室外消防的用水，接入水量可满足使用。</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总用水量为</w:t>
            </w:r>
            <w:r>
              <w:rPr>
                <w:rFonts w:hint="eastAsia" w:eastAsia="仿宋_GB2312" w:cs="Times New Roman"/>
                <w:b w:val="0"/>
                <w:bCs w:val="0"/>
                <w:color w:val="000000" w:themeColor="text1"/>
                <w:kern w:val="16"/>
                <w:sz w:val="24"/>
                <w:szCs w:val="24"/>
                <w:highlight w:val="none"/>
                <w:lang w:val="en-US" w:eastAsia="zh-CN" w:bidi="ar"/>
                <w14:textFill>
                  <w14:solidFill>
                    <w14:schemeClr w14:val="tx1"/>
                  </w14:solidFill>
                </w14:textFill>
              </w:rPr>
              <w:t>187.95</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pPr>
            <w:r>
              <w:rPr>
                <w:rFonts w:hint="default" w:ascii="Times New Roman" w:hAnsi="Times New Roman" w:eastAsia="微软雅黑" w:cs="Times New Roman"/>
                <w:b w:val="0"/>
                <w:bCs w:val="0"/>
                <w:color w:val="000000" w:themeColor="text1"/>
                <w:kern w:val="16"/>
                <w:sz w:val="24"/>
                <w:szCs w:val="24"/>
                <w:highlight w:val="none"/>
                <w:lang w:val="en-US" w:eastAsia="zh-CN" w:bidi="ar"/>
                <w14:textFill>
                  <w14:solidFill>
                    <w14:schemeClr w14:val="tx1"/>
                  </w14:solidFill>
                </w14:textFill>
              </w:rPr>
              <w:t>①</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生产用水：本项目生产用水主要有</w:t>
            </w:r>
            <w:r>
              <w:rPr>
                <w:rFonts w:hint="default" w:ascii="Times New Roman" w:hAnsi="Times New Roman" w:eastAsia="仿宋_GB2312"/>
                <w:color w:val="000000" w:themeColor="text1"/>
                <w:kern w:val="16"/>
                <w:highlight w:val="none"/>
                <w:lang w:bidi="ar"/>
                <w14:textFill>
                  <w14:solidFill>
                    <w14:schemeClr w14:val="tx1"/>
                  </w14:solidFill>
                </w14:textFill>
              </w:rPr>
              <w:t>厂区道路抑尘用水</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r>
              <w:rPr>
                <w:rFonts w:hint="eastAsia" w:eastAsia="仿宋_GB2312"/>
                <w:color w:val="000000" w:themeColor="text1"/>
                <w:kern w:val="16"/>
                <w:sz w:val="24"/>
                <w:szCs w:val="24"/>
                <w:highlight w:val="none"/>
                <w:lang w:bidi="ar"/>
                <w14:textFill>
                  <w14:solidFill>
                    <w14:schemeClr w14:val="tx1"/>
                  </w14:solidFill>
                </w14:textFill>
              </w:rPr>
              <w:t>厂房抑尘用水</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车辆冲洗用水</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和</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生产工艺用水。经计算，生产用水</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共184.32</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olor w:val="000000" w:themeColor="text1"/>
                <w:kern w:val="16"/>
                <w:highlight w:val="none"/>
                <w:lang w:bidi="ar"/>
                <w14:textFill>
                  <w14:solidFill>
                    <w14:schemeClr w14:val="tx1"/>
                  </w14:solidFill>
                </w14:textFill>
              </w:rPr>
            </w:pP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1）</w:t>
            </w:r>
            <w:r>
              <w:rPr>
                <w:rFonts w:hint="default" w:ascii="Times New Roman" w:hAnsi="Times New Roman" w:eastAsia="仿宋_GB2312"/>
                <w:color w:val="000000" w:themeColor="text1"/>
                <w:kern w:val="16"/>
                <w:highlight w:val="none"/>
                <w:lang w:bidi="ar"/>
                <w14:textFill>
                  <w14:solidFill>
                    <w14:schemeClr w14:val="tx1"/>
                  </w14:solidFill>
                </w14:textFill>
              </w:rPr>
              <w:t>厂区道路抑尘用水：</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olor w:val="000000" w:themeColor="text1"/>
                <w:kern w:val="16"/>
                <w:highlight w:val="none"/>
                <w:lang w:bidi="ar"/>
                <w14:textFill>
                  <w14:solidFill>
                    <w14:schemeClr w14:val="tx1"/>
                  </w14:solidFill>
                </w14:textFill>
              </w:rPr>
            </w:pPr>
            <w:r>
              <w:rPr>
                <w:rFonts w:hint="default" w:ascii="Times New Roman" w:hAnsi="Times New Roman" w:eastAsia="仿宋_GB2312"/>
                <w:color w:val="000000" w:themeColor="text1"/>
                <w:kern w:val="16"/>
                <w:highlight w:val="none"/>
                <w:lang w:bidi="ar"/>
                <w14:textFill>
                  <w14:solidFill>
                    <w14:schemeClr w14:val="tx1"/>
                  </w14:solidFill>
                </w14:textFill>
              </w:rPr>
              <w:t>为控制道路运输扬尘</w:t>
            </w:r>
            <w:r>
              <w:rPr>
                <w:rFonts w:hint="eastAsia" w:ascii="Times New Roman" w:hAnsi="Times New Roman" w:eastAsia="仿宋_GB2312"/>
                <w:color w:val="000000" w:themeColor="text1"/>
                <w:kern w:val="16"/>
                <w:highlight w:val="none"/>
                <w:lang w:eastAsia="zh-CN" w:bidi="ar"/>
                <w14:textFill>
                  <w14:solidFill>
                    <w14:schemeClr w14:val="tx1"/>
                  </w14:solidFill>
                </w14:textFill>
              </w:rPr>
              <w:t>，</w:t>
            </w:r>
            <w:r>
              <w:rPr>
                <w:rFonts w:hint="default" w:ascii="Times New Roman" w:hAnsi="Times New Roman" w:eastAsia="仿宋_GB2312"/>
                <w:color w:val="000000" w:themeColor="text1"/>
                <w:kern w:val="16"/>
                <w:highlight w:val="none"/>
                <w:lang w:bidi="ar"/>
                <w14:textFill>
                  <w14:solidFill>
                    <w14:schemeClr w14:val="tx1"/>
                  </w14:solidFill>
                </w14:textFill>
              </w:rPr>
              <w:t>厂区门口至厂房门口运输道路两旁设置4台雾炮环保系统，对进出车辆进行喷洒清洗以及道路进行抑尘，项目厂区道路面积为</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3461</w:t>
            </w:r>
            <w:r>
              <w:rPr>
                <w:rFonts w:hint="default" w:ascii="Times New Roman" w:hAnsi="Times New Roman" w:eastAsia="仿宋_GB2312"/>
                <w:color w:val="000000" w:themeColor="text1"/>
                <w:kern w:val="16"/>
                <w:highlight w:val="none"/>
                <w:lang w:bidi="ar"/>
                <w14:textFill>
                  <w14:solidFill>
                    <w14:schemeClr w14:val="tx1"/>
                  </w14:solidFill>
                </w14:textFill>
              </w:rPr>
              <w:t>m</w:t>
            </w:r>
            <w:r>
              <w:rPr>
                <w:rFonts w:hint="default" w:ascii="Times New Roman" w:hAnsi="Times New Roman" w:eastAsia="仿宋_GB2312"/>
                <w:color w:val="000000" w:themeColor="text1"/>
                <w:kern w:val="16"/>
                <w:highlight w:val="none"/>
                <w:vertAlign w:val="super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，本次参考</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《关于印发宁夏回族自治区有关行业用水定额（修订）》的通知》（宁水节供发〔2025〕11号）</w:t>
            </w:r>
            <w:r>
              <w:rPr>
                <w:rFonts w:hint="default" w:ascii="Times New Roman" w:hAnsi="Times New Roman" w:eastAsia="仿宋_GB2312"/>
                <w:color w:val="000000" w:themeColor="text1"/>
                <w:kern w:val="16"/>
                <w:highlight w:val="none"/>
                <w:lang w:bidi="ar"/>
                <w14:textFill>
                  <w14:solidFill>
                    <w14:schemeClr w14:val="tx1"/>
                  </w14:solidFill>
                </w14:textFill>
              </w:rPr>
              <w:t>文件“N782环境卫生管理中场地、道路喷洒用水定额3月中旬-4月中旬：0.5</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 xml:space="preserve"> </w:t>
            </w:r>
            <w:r>
              <w:rPr>
                <w:rFonts w:hint="default" w:ascii="Times New Roman" w:hAnsi="Times New Roman" w:eastAsia="仿宋_GB2312"/>
                <w:color w:val="000000" w:themeColor="text1"/>
                <w:kern w:val="16"/>
                <w:highlight w:val="none"/>
                <w:lang w:bidi="ar"/>
                <w14:textFill>
                  <w14:solidFill>
                    <w14:schemeClr w14:val="tx1"/>
                  </w14:solidFill>
                </w14:textFill>
              </w:rPr>
              <w:t>L/（m</w:t>
            </w:r>
            <w:r>
              <w:rPr>
                <w:rFonts w:hint="default" w:ascii="Times New Roman" w:hAnsi="Times New Roman" w:eastAsia="仿宋_GB2312"/>
                <w:color w:val="000000" w:themeColor="text1"/>
                <w:kern w:val="16"/>
                <w:highlight w:val="none"/>
                <w:vertAlign w:val="super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·d）</w:t>
            </w:r>
            <w:r>
              <w:rPr>
                <w:rFonts w:hint="eastAsia" w:ascii="Times New Roman" w:hAnsi="Times New Roman" w:eastAsia="仿宋_GB2312"/>
                <w:color w:val="000000" w:themeColor="text1"/>
                <w:kern w:val="16"/>
                <w:highlight w:val="none"/>
                <w:lang w:eastAsia="zh-CN" w:bidi="ar"/>
                <w14:textFill>
                  <w14:solidFill>
                    <w14:schemeClr w14:val="tx1"/>
                  </w14:solidFill>
                </w14:textFill>
              </w:rPr>
              <w:t>；</w:t>
            </w:r>
            <w:r>
              <w:rPr>
                <w:rFonts w:hint="default" w:ascii="Times New Roman" w:hAnsi="Times New Roman" w:eastAsia="仿宋_GB2312"/>
                <w:color w:val="000000" w:themeColor="text1"/>
                <w:kern w:val="16"/>
                <w:highlight w:val="none"/>
                <w:lang w:bidi="ar"/>
                <w14:textFill>
                  <w14:solidFill>
                    <w14:schemeClr w14:val="tx1"/>
                  </w14:solidFill>
                </w14:textFill>
              </w:rPr>
              <w:t>4月下旬-10月上旬：2.0</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 xml:space="preserve"> </w:t>
            </w:r>
            <w:r>
              <w:rPr>
                <w:rFonts w:hint="default" w:ascii="Times New Roman" w:hAnsi="Times New Roman" w:eastAsia="仿宋_GB2312"/>
                <w:color w:val="000000" w:themeColor="text1"/>
                <w:kern w:val="16"/>
                <w:highlight w:val="none"/>
                <w:lang w:bidi="ar"/>
                <w14:textFill>
                  <w14:solidFill>
                    <w14:schemeClr w14:val="tx1"/>
                  </w14:solidFill>
                </w14:textFill>
              </w:rPr>
              <w:t>L/（m</w:t>
            </w:r>
            <w:r>
              <w:rPr>
                <w:rFonts w:hint="default" w:ascii="Times New Roman" w:hAnsi="Times New Roman" w:eastAsia="仿宋_GB2312"/>
                <w:color w:val="000000" w:themeColor="text1"/>
                <w:kern w:val="16"/>
                <w:highlight w:val="none"/>
                <w:vertAlign w:val="super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·d）</w:t>
            </w:r>
            <w:r>
              <w:rPr>
                <w:rFonts w:hint="eastAsia" w:ascii="Times New Roman" w:hAnsi="Times New Roman" w:eastAsia="仿宋_GB2312"/>
                <w:color w:val="000000" w:themeColor="text1"/>
                <w:kern w:val="16"/>
                <w:highlight w:val="none"/>
                <w:lang w:eastAsia="zh-CN" w:bidi="ar"/>
                <w14:textFill>
                  <w14:solidFill>
                    <w14:schemeClr w14:val="tx1"/>
                  </w14:solidFill>
                </w14:textFill>
              </w:rPr>
              <w:t>；</w:t>
            </w:r>
            <w:r>
              <w:rPr>
                <w:rFonts w:hint="default" w:ascii="Times New Roman" w:hAnsi="Times New Roman" w:eastAsia="仿宋_GB2312"/>
                <w:color w:val="000000" w:themeColor="text1"/>
                <w:kern w:val="16"/>
                <w:highlight w:val="none"/>
                <w:lang w:bidi="ar"/>
                <w14:textFill>
                  <w14:solidFill>
                    <w14:schemeClr w14:val="tx1"/>
                  </w14:solidFill>
                </w14:textFill>
              </w:rPr>
              <w:t>10月中旬-11月中旬：0.5</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 xml:space="preserve"> </w:t>
            </w:r>
            <w:r>
              <w:rPr>
                <w:rFonts w:hint="default" w:ascii="Times New Roman" w:hAnsi="Times New Roman" w:eastAsia="仿宋_GB2312"/>
                <w:color w:val="000000" w:themeColor="text1"/>
                <w:kern w:val="16"/>
                <w:highlight w:val="none"/>
                <w:lang w:bidi="ar"/>
                <w14:textFill>
                  <w14:solidFill>
                    <w14:schemeClr w14:val="tx1"/>
                  </w14:solidFill>
                </w14:textFill>
              </w:rPr>
              <w:t>L/（m</w:t>
            </w:r>
            <w:r>
              <w:rPr>
                <w:rFonts w:hint="default" w:ascii="Times New Roman" w:hAnsi="Times New Roman" w:eastAsia="仿宋_GB2312"/>
                <w:color w:val="000000" w:themeColor="text1"/>
                <w:kern w:val="16"/>
                <w:highlight w:val="none"/>
                <w:vertAlign w:val="superscript"/>
                <w:lang w:bidi="ar"/>
                <w14:textFill>
                  <w14:solidFill>
                    <w14:schemeClr w14:val="tx1"/>
                  </w14:solidFill>
                </w14:textFill>
              </w:rPr>
              <w:t>2</w:t>
            </w:r>
            <w:r>
              <w:rPr>
                <w:rFonts w:hint="default" w:ascii="Times New Roman" w:hAnsi="Times New Roman" w:eastAsia="仿宋_GB2312"/>
                <w:color w:val="000000" w:themeColor="text1"/>
                <w:kern w:val="16"/>
                <w:highlight w:val="none"/>
                <w:lang w:bidi="ar"/>
                <w14:textFill>
                  <w14:solidFill>
                    <w14:schemeClr w14:val="tx1"/>
                  </w14:solidFill>
                </w14:textFill>
              </w:rPr>
              <w:t>·d）”，</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则</w:t>
            </w:r>
            <w:r>
              <w:rPr>
                <w:rFonts w:hint="default" w:ascii="Times New Roman" w:hAnsi="Times New Roman" w:eastAsia="仿宋_GB2312"/>
                <w:color w:val="000000" w:themeColor="text1"/>
                <w:kern w:val="16"/>
                <w:highlight w:val="none"/>
                <w:lang w:bidi="ar"/>
                <w14:textFill>
                  <w14:solidFill>
                    <w14:schemeClr w14:val="tx1"/>
                  </w14:solidFill>
                </w14:textFill>
              </w:rPr>
              <w:t>厂区道路抑尘用水</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量为1.74</w:t>
            </w:r>
            <w:r>
              <w:rPr>
                <w:rFonts w:hint="default" w:ascii="Times New Roman" w:hAnsi="Times New Roman" w:eastAsia="仿宋_GB2312"/>
                <w:color w:val="000000" w:themeColor="text1"/>
                <w:kern w:val="16"/>
                <w:sz w:val="24"/>
                <w:szCs w:val="24"/>
                <w:highlight w:val="none"/>
                <w:lang w:bidi="ar"/>
                <w14:textFill>
                  <w14:solidFill>
                    <w14:schemeClr w14:val="tx1"/>
                  </w14:solidFill>
                </w14:textFill>
              </w:rPr>
              <w:t>m</w:t>
            </w:r>
            <w:r>
              <w:rPr>
                <w:rFonts w:hint="default" w:ascii="Times New Roman" w:hAnsi="Times New Roman" w:eastAsia="仿宋_GB2312"/>
                <w:color w:val="000000" w:themeColor="text1"/>
                <w:kern w:val="16"/>
                <w:sz w:val="24"/>
                <w:szCs w:val="24"/>
                <w:highlight w:val="none"/>
                <w:vertAlign w:val="superscript"/>
                <w:lang w:bidi="ar"/>
                <w14:textFill>
                  <w14:solidFill>
                    <w14:schemeClr w14:val="tx1"/>
                  </w14:solidFill>
                </w14:textFill>
              </w:rPr>
              <w:t>3</w:t>
            </w:r>
            <w:r>
              <w:rPr>
                <w:rFonts w:hint="eastAsia" w:eastAsia="仿宋_GB2312"/>
                <w:color w:val="000000" w:themeColor="text1"/>
                <w:kern w:val="16"/>
                <w:sz w:val="24"/>
                <w:szCs w:val="24"/>
                <w:highlight w:val="none"/>
                <w:lang w:bidi="ar"/>
                <w14:textFill>
                  <w14:solidFill>
                    <w14:schemeClr w14:val="tx1"/>
                  </w14:solidFill>
                </w14:textFill>
              </w:rPr>
              <w:t>/</w:t>
            </w:r>
            <w:r>
              <w:rPr>
                <w:rFonts w:hint="default" w:ascii="Times New Roman" w:hAnsi="Times New Roman" w:eastAsia="仿宋_GB2312"/>
                <w:color w:val="000000" w:themeColor="text1"/>
                <w:kern w:val="16"/>
                <w:sz w:val="24"/>
                <w:szCs w:val="24"/>
                <w:highlight w:val="none"/>
                <w:lang w:bidi="ar"/>
                <w14:textFill>
                  <w14:solidFill>
                    <w14:schemeClr w14:val="tx1"/>
                  </w14:solidFill>
                </w14:textFill>
              </w:rPr>
              <w:t>d</w:t>
            </w:r>
            <w:r>
              <w:rPr>
                <w:rFonts w:hint="default" w:ascii="Times New Roman" w:hAnsi="Times New Roman" w:eastAsia="仿宋_GB2312"/>
                <w:color w:val="000000" w:themeColor="text1"/>
                <w:kern w:val="16"/>
                <w:highlight w:val="none"/>
                <w:lang w:eastAsia="zh-CN" w:bidi="ar"/>
                <w14:textFill>
                  <w14:solidFill>
                    <w14:schemeClr w14:val="tx1"/>
                  </w14:solidFill>
                </w14:textFill>
              </w:rPr>
              <w:t>，</w:t>
            </w:r>
            <w:r>
              <w:rPr>
                <w:rFonts w:hint="default" w:ascii="Times New Roman" w:hAnsi="Times New Roman" w:eastAsia="仿宋_GB2312"/>
                <w:color w:val="000000" w:themeColor="text1"/>
                <w:kern w:val="16"/>
                <w:highlight w:val="none"/>
                <w:lang w:bidi="ar"/>
                <w14:textFill>
                  <w14:solidFill>
                    <w14:schemeClr w14:val="tx1"/>
                  </w14:solidFill>
                </w14:textFill>
              </w:rPr>
              <w:t>项目年生产</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210</w:t>
            </w:r>
            <w:r>
              <w:rPr>
                <w:rFonts w:hint="default" w:ascii="Times New Roman" w:hAnsi="Times New Roman" w:eastAsia="仿宋_GB2312"/>
                <w:color w:val="000000" w:themeColor="text1"/>
                <w:kern w:val="16"/>
                <w:highlight w:val="none"/>
                <w:lang w:bidi="ar"/>
                <w14:textFill>
                  <w14:solidFill>
                    <w14:schemeClr w14:val="tx1"/>
                  </w14:solidFill>
                </w14:textFill>
              </w:rPr>
              <w:t>d，则道路喷洒水量为</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364.41</w:t>
            </w:r>
            <w:r>
              <w:rPr>
                <w:rFonts w:hint="default" w:ascii="Times New Roman" w:hAnsi="Times New Roman" w:eastAsia="仿宋_GB2312"/>
                <w:color w:val="000000" w:themeColor="text1"/>
                <w:kern w:val="16"/>
                <w:highlight w:val="none"/>
                <w:lang w:bidi="ar"/>
                <w14:textFill>
                  <w14:solidFill>
                    <w14:schemeClr w14:val="tx1"/>
                  </w14:solidFill>
                </w14:textFill>
              </w:rPr>
              <w:t>m</w:t>
            </w:r>
            <w:r>
              <w:rPr>
                <w:rFonts w:hint="default" w:ascii="Times New Roman" w:hAnsi="Times New Roman" w:eastAsia="仿宋_GB2312"/>
                <w:color w:val="000000" w:themeColor="text1"/>
                <w:kern w:val="16"/>
                <w:highlight w:val="none"/>
                <w:vertAlign w:val="superscript"/>
                <w:lang w:bidi="ar"/>
                <w14:textFill>
                  <w14:solidFill>
                    <w14:schemeClr w14:val="tx1"/>
                  </w14:solidFill>
                </w14:textFill>
              </w:rPr>
              <w:t>3</w:t>
            </w:r>
            <w:r>
              <w:rPr>
                <w:rFonts w:hint="default" w:ascii="Times New Roman" w:hAnsi="Times New Roman" w:eastAsia="仿宋_GB2312"/>
                <w:color w:val="000000" w:themeColor="text1"/>
                <w:kern w:val="16"/>
                <w:highlight w:val="none"/>
                <w:lang w:bidi="ar"/>
                <w14:textFill>
                  <w14:solidFill>
                    <w14:schemeClr w14:val="tx1"/>
                  </w14:solidFill>
                </w14:textFill>
              </w:rPr>
              <w:t>。</w:t>
            </w:r>
          </w:p>
          <w:p>
            <w:pPr>
              <w:pStyle w:val="2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仿宋_GB2312"/>
                <w:color w:val="000000" w:themeColor="text1"/>
                <w:kern w:val="16"/>
                <w:sz w:val="24"/>
                <w:szCs w:val="24"/>
                <w:highlight w:val="none"/>
                <w:lang w:bidi="ar"/>
                <w14:textFill>
                  <w14:solidFill>
                    <w14:schemeClr w14:val="tx1"/>
                  </w14:solidFill>
                </w14:textFill>
              </w:rPr>
            </w:pP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2）</w:t>
            </w:r>
            <w:r>
              <w:rPr>
                <w:rFonts w:hint="eastAsia" w:eastAsia="仿宋_GB2312"/>
                <w:color w:val="000000" w:themeColor="text1"/>
                <w:kern w:val="16"/>
                <w:sz w:val="24"/>
                <w:szCs w:val="24"/>
                <w:highlight w:val="none"/>
                <w:lang w:bidi="ar"/>
                <w14:textFill>
                  <w14:solidFill>
                    <w14:schemeClr w14:val="tx1"/>
                  </w14:solidFill>
                </w14:textFill>
              </w:rPr>
              <w:t>厂房抑尘用水：</w:t>
            </w:r>
          </w:p>
          <w:p>
            <w:pPr>
              <w:pStyle w:val="2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eastAsia="仿宋_GB2312"/>
                <w:color w:val="000000" w:themeColor="text1"/>
                <w:kern w:val="16"/>
                <w:sz w:val="24"/>
                <w:szCs w:val="24"/>
                <w:highlight w:val="none"/>
                <w:lang w:bidi="ar"/>
                <w14:textFill>
                  <w14:solidFill>
                    <w14:schemeClr w14:val="tx1"/>
                  </w14:solidFill>
                </w14:textFill>
              </w:rPr>
              <w:t>本项目</w:t>
            </w:r>
            <w:r>
              <w:rPr>
                <w:rFonts w:hint="eastAsia" w:eastAsia="仿宋_GB2312"/>
                <w:color w:val="000000" w:themeColor="text1"/>
                <w:kern w:val="16"/>
                <w:sz w:val="24"/>
                <w:szCs w:val="24"/>
                <w:highlight w:val="none"/>
                <w:lang w:val="en-US" w:eastAsia="zh-CN" w:bidi="ar"/>
                <w14:textFill>
                  <w14:solidFill>
                    <w14:schemeClr w14:val="tx1"/>
                  </w14:solidFill>
                </w14:textFill>
              </w:rPr>
              <w:t>在</w:t>
            </w:r>
            <w:r>
              <w:rPr>
                <w:rFonts w:hint="eastAsia" w:eastAsia="仿宋_GB2312"/>
                <w:color w:val="000000" w:themeColor="text1"/>
                <w:kern w:val="16"/>
                <w:sz w:val="24"/>
                <w:szCs w:val="24"/>
                <w:highlight w:val="none"/>
                <w:lang w:bidi="ar"/>
                <w14:textFill>
                  <w14:solidFill>
                    <w14:schemeClr w14:val="tx1"/>
                  </w14:solidFill>
                </w14:textFill>
              </w:rPr>
              <w:t>厂房</w:t>
            </w:r>
            <w:r>
              <w:rPr>
                <w:rFonts w:hint="eastAsia" w:eastAsia="仿宋_GB2312"/>
                <w:color w:val="000000" w:themeColor="text1"/>
                <w:kern w:val="16"/>
                <w:sz w:val="24"/>
                <w:szCs w:val="24"/>
                <w:highlight w:val="none"/>
                <w:lang w:val="en-US" w:eastAsia="zh-CN" w:bidi="ar"/>
                <w14:textFill>
                  <w14:solidFill>
                    <w14:schemeClr w14:val="tx1"/>
                  </w14:solidFill>
                </w14:textFill>
              </w:rPr>
              <w:t>内</w:t>
            </w:r>
            <w:r>
              <w:rPr>
                <w:rFonts w:hint="eastAsia" w:eastAsia="仿宋_GB2312"/>
                <w:color w:val="000000" w:themeColor="text1"/>
                <w:kern w:val="16"/>
                <w:sz w:val="24"/>
                <w:szCs w:val="24"/>
                <w:highlight w:val="none"/>
                <w:lang w:bidi="ar"/>
                <w14:textFill>
                  <w14:solidFill>
                    <w14:schemeClr w14:val="tx1"/>
                  </w14:solidFill>
                </w14:textFill>
              </w:rPr>
              <w:t>设置</w:t>
            </w:r>
            <w:r>
              <w:rPr>
                <w:rFonts w:hint="eastAsia" w:eastAsia="仿宋_GB2312"/>
                <w:color w:val="000000" w:themeColor="text1"/>
                <w:kern w:val="16"/>
                <w:sz w:val="24"/>
                <w:szCs w:val="24"/>
                <w:highlight w:val="none"/>
                <w:lang w:val="en-US" w:eastAsia="zh-CN" w:bidi="ar"/>
                <w14:textFill>
                  <w14:solidFill>
                    <w14:schemeClr w14:val="tx1"/>
                  </w14:solidFill>
                </w14:textFill>
              </w:rPr>
              <w:t>4台活性干雾机，主要应用于建筑垃圾再生线生产过程中产生的粉尘</w:t>
            </w:r>
            <w:r>
              <w:rPr>
                <w:rFonts w:hint="eastAsia" w:eastAsia="仿宋_GB2312"/>
                <w:color w:val="000000" w:themeColor="text1"/>
                <w:kern w:val="16"/>
                <w:sz w:val="24"/>
                <w:szCs w:val="24"/>
                <w:highlight w:val="none"/>
                <w:lang w:bidi="ar"/>
                <w14:textFill>
                  <w14:solidFill>
                    <w14:schemeClr w14:val="tx1"/>
                  </w14:solidFill>
                </w14:textFill>
              </w:rPr>
              <w:t>，通过产生与粉尘颗粒大小相近的微米级水雾，实现对粉尘的捕捉、粘结和沉降，增加局部空间的湿度，使粉尘粒子由于重力作用而落下</w:t>
            </w:r>
            <w:r>
              <w:rPr>
                <w:rFonts w:hint="eastAsia" w:eastAsia="仿宋_GB2312"/>
                <w:color w:val="000000" w:themeColor="text1"/>
                <w:kern w:val="16"/>
                <w:sz w:val="24"/>
                <w:szCs w:val="24"/>
                <w:highlight w:val="none"/>
                <w:lang w:val="en-US" w:eastAsia="zh-CN" w:bidi="ar"/>
                <w14:textFill>
                  <w14:solidFill>
                    <w14:schemeClr w14:val="tx1"/>
                  </w14:solidFill>
                </w14:textFill>
              </w:rPr>
              <w:t>以达到降尘的目的</w:t>
            </w:r>
            <w:r>
              <w:rPr>
                <w:rFonts w:hint="eastAsia" w:eastAsia="仿宋_GB2312"/>
                <w:color w:val="000000" w:themeColor="text1"/>
                <w:kern w:val="16"/>
                <w:sz w:val="24"/>
                <w:szCs w:val="24"/>
                <w:highlight w:val="none"/>
                <w:lang w:bidi="ar"/>
                <w14:textFill>
                  <w14:solidFill>
                    <w14:schemeClr w14:val="tx1"/>
                  </w14:solidFill>
                </w14:textFill>
              </w:rPr>
              <w:t>。每个喷嘴喷水量按1</w:t>
            </w:r>
            <w:r>
              <w:rPr>
                <w:rFonts w:hint="eastAsia" w:eastAsia="仿宋_GB2312"/>
                <w:color w:val="000000" w:themeColor="text1"/>
                <w:kern w:val="16"/>
                <w:sz w:val="24"/>
                <w:szCs w:val="24"/>
                <w:highlight w:val="none"/>
                <w:lang w:val="en-US" w:eastAsia="zh-CN" w:bidi="ar"/>
                <w14:textFill>
                  <w14:solidFill>
                    <w14:schemeClr w14:val="tx1"/>
                  </w14:solidFill>
                </w14:textFill>
              </w:rPr>
              <w:t>1</w:t>
            </w:r>
            <w:r>
              <w:rPr>
                <w:rFonts w:hint="eastAsia" w:eastAsia="仿宋_GB2312"/>
                <w:color w:val="000000" w:themeColor="text1"/>
                <w:kern w:val="16"/>
                <w:sz w:val="24"/>
                <w:szCs w:val="24"/>
                <w:highlight w:val="none"/>
                <w:lang w:bidi="ar"/>
                <w14:textFill>
                  <w14:solidFill>
                    <w14:schemeClr w14:val="tx1"/>
                  </w14:solidFill>
                </w14:textFill>
              </w:rPr>
              <w:t>L/h计，每隔3min一喷，喷水时间为1</w:t>
            </w:r>
            <w:r>
              <w:rPr>
                <w:rFonts w:hint="eastAsia" w:eastAsia="仿宋_GB2312"/>
                <w:color w:val="000000" w:themeColor="text1"/>
                <w:kern w:val="16"/>
                <w:sz w:val="24"/>
                <w:szCs w:val="24"/>
                <w:highlight w:val="none"/>
                <w:lang w:val="en-US" w:eastAsia="zh-CN" w:bidi="ar"/>
                <w14:textFill>
                  <w14:solidFill>
                    <w14:schemeClr w14:val="tx1"/>
                  </w14:solidFill>
                </w14:textFill>
              </w:rPr>
              <w:t>35</w:t>
            </w:r>
            <w:r>
              <w:rPr>
                <w:rFonts w:hint="eastAsia" w:eastAsia="仿宋_GB2312"/>
                <w:color w:val="000000" w:themeColor="text1"/>
                <w:kern w:val="16"/>
                <w:sz w:val="24"/>
                <w:szCs w:val="24"/>
                <w:highlight w:val="none"/>
                <w:lang w:bidi="ar"/>
                <w14:textFill>
                  <w14:solidFill>
                    <w14:schemeClr w14:val="tx1"/>
                  </w14:solidFill>
                </w14:textFill>
              </w:rPr>
              <w:t>0h/a，则喷雾抑尘用水量14.</w:t>
            </w:r>
            <w:r>
              <w:rPr>
                <w:rFonts w:hint="eastAsia" w:eastAsia="仿宋_GB2312"/>
                <w:color w:val="000000" w:themeColor="text1"/>
                <w:kern w:val="16"/>
                <w:sz w:val="24"/>
                <w:szCs w:val="24"/>
                <w:highlight w:val="none"/>
                <w:lang w:val="en-US" w:eastAsia="zh-CN" w:bidi="ar"/>
                <w14:textFill>
                  <w14:solidFill>
                    <w14:schemeClr w14:val="tx1"/>
                  </w14:solidFill>
                </w14:textFill>
              </w:rPr>
              <w:t>85</w:t>
            </w:r>
            <w:r>
              <w:rPr>
                <w:rFonts w:hint="eastAsia" w:eastAsia="仿宋_GB2312"/>
                <w:color w:val="000000" w:themeColor="text1"/>
                <w:kern w:val="16"/>
                <w:sz w:val="24"/>
                <w:szCs w:val="24"/>
                <w:highlight w:val="none"/>
                <w:lang w:bidi="ar"/>
                <w14:textFill>
                  <w14:solidFill>
                    <w14:schemeClr w14:val="tx1"/>
                  </w14:solidFill>
                </w14:textFill>
              </w:rPr>
              <w:t>m</w:t>
            </w:r>
            <w:r>
              <w:rPr>
                <w:rFonts w:hint="eastAsia" w:eastAsia="仿宋_GB2312"/>
                <w:color w:val="000000" w:themeColor="text1"/>
                <w:kern w:val="16"/>
                <w:sz w:val="24"/>
                <w:szCs w:val="24"/>
                <w:highlight w:val="none"/>
                <w:vertAlign w:val="superscript"/>
                <w:lang w:bidi="ar"/>
                <w14:textFill>
                  <w14:solidFill>
                    <w14:schemeClr w14:val="tx1"/>
                  </w14:solidFill>
                </w14:textFill>
              </w:rPr>
              <w:t>3</w:t>
            </w:r>
            <w:r>
              <w:rPr>
                <w:rFonts w:hint="eastAsia" w:eastAsia="仿宋_GB2312"/>
                <w:color w:val="000000" w:themeColor="text1"/>
                <w:kern w:val="16"/>
                <w:sz w:val="24"/>
                <w:szCs w:val="24"/>
                <w:highlight w:val="none"/>
                <w:lang w:bidi="ar"/>
                <w14:textFill>
                  <w14:solidFill>
                    <w14:schemeClr w14:val="tx1"/>
                  </w14:solidFill>
                </w14:textFill>
              </w:rPr>
              <w:t>/d（</w:t>
            </w:r>
            <w:r>
              <w:rPr>
                <w:rFonts w:hint="eastAsia" w:eastAsia="仿宋_GB2312"/>
                <w:color w:val="000000" w:themeColor="text1"/>
                <w:kern w:val="16"/>
                <w:sz w:val="24"/>
                <w:szCs w:val="24"/>
                <w:highlight w:val="none"/>
                <w:lang w:val="en-US" w:eastAsia="zh-CN" w:bidi="ar"/>
                <w14:textFill>
                  <w14:solidFill>
                    <w14:schemeClr w14:val="tx1"/>
                  </w14:solidFill>
                </w14:textFill>
              </w:rPr>
              <w:t>3118.5</w:t>
            </w:r>
            <w:r>
              <w:rPr>
                <w:rFonts w:hint="eastAsia" w:eastAsia="仿宋_GB2312"/>
                <w:color w:val="000000" w:themeColor="text1"/>
                <w:kern w:val="16"/>
                <w:sz w:val="24"/>
                <w:szCs w:val="24"/>
                <w:highlight w:val="none"/>
                <w:lang w:bidi="ar"/>
                <w14:textFill>
                  <w14:solidFill>
                    <w14:schemeClr w14:val="tx1"/>
                  </w14:solidFill>
                </w14:textFill>
              </w:rPr>
              <w:t>m</w:t>
            </w:r>
            <w:r>
              <w:rPr>
                <w:rFonts w:hint="eastAsia" w:eastAsia="仿宋_GB2312"/>
                <w:color w:val="000000" w:themeColor="text1"/>
                <w:kern w:val="16"/>
                <w:sz w:val="24"/>
                <w:szCs w:val="24"/>
                <w:highlight w:val="none"/>
                <w:vertAlign w:val="superscript"/>
                <w:lang w:bidi="ar"/>
                <w14:textFill>
                  <w14:solidFill>
                    <w14:schemeClr w14:val="tx1"/>
                  </w14:solidFill>
                </w14:textFill>
              </w:rPr>
              <w:t>3</w:t>
            </w:r>
            <w:r>
              <w:rPr>
                <w:rFonts w:hint="eastAsia" w:eastAsia="仿宋_GB2312"/>
                <w:color w:val="000000" w:themeColor="text1"/>
                <w:kern w:val="16"/>
                <w:sz w:val="24"/>
                <w:szCs w:val="24"/>
                <w:highlight w:val="none"/>
                <w:lang w:bidi="ar"/>
                <w14:textFill>
                  <w14:solidFill>
                    <w14:schemeClr w14:val="tx1"/>
                  </w14:solidFill>
                </w14:textFill>
              </w:rPr>
              <w:t>/a）。</w:t>
            </w:r>
          </w:p>
          <w:p>
            <w:pPr>
              <w:pStyle w:val="2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仿宋_GB2312" w:cs="Times New Roman"/>
                <w:color w:val="000000" w:themeColor="text1"/>
                <w:kern w:val="16"/>
                <w:sz w:val="24"/>
                <w:szCs w:val="24"/>
                <w:highlight w:val="none"/>
                <w:lang w:val="en-US" w:eastAsia="zh-CN" w:bidi="ar"/>
                <w14:textFill>
                  <w14:solidFill>
                    <w14:schemeClr w14:val="tx1"/>
                  </w14:solidFill>
                </w14:textFill>
              </w:rPr>
            </w:pP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3）</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车辆冲洗用水</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w:t>
            </w:r>
          </w:p>
          <w:p>
            <w:pPr>
              <w:pStyle w:val="28"/>
              <w:keepNext w:val="0"/>
              <w:keepLines w:val="0"/>
              <w:numPr>
                <w:ilvl w:val="0"/>
                <w:numId w:val="0"/>
              </w:numPr>
              <w:suppressLineNumbers w:val="0"/>
              <w:overflowPunct/>
              <w:spacing w:before="0" w:beforeAutospacing="0" w:after="0" w:afterAutospacing="0" w:line="360" w:lineRule="auto"/>
              <w:ind w:left="0" w:right="0" w:firstLine="480" w:firstLineChars="200"/>
              <w:rPr>
                <w:rFonts w:hint="default" w:ascii="Times New Roman" w:hAnsi="Times New Roman" w:eastAsia="仿宋_GB2312"/>
                <w:color w:val="000000" w:themeColor="text1"/>
                <w:kern w:val="16"/>
                <w:highlight w:val="none"/>
                <w:lang w:val="en-US" w:eastAsia="zh-CN" w:bidi="ar"/>
                <w14:textFill>
                  <w14:solidFill>
                    <w14:schemeClr w14:val="tx1"/>
                  </w14:solidFill>
                </w14:textFill>
              </w:rPr>
            </w:pP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本项目厂区门口设置车辆冲洗台，装载车载重按14t计，则本项目进出运输量约为1</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1</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3车次/d，每辆车每次的冲洗水量按7L计，则项目进出车辆冲洗用水约为</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0.79</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m</w:t>
            </w:r>
            <w:r>
              <w:rPr>
                <w:rFonts w:hint="default" w:eastAsia="仿宋_GB2312" w:cs="Times New Roman"/>
                <w:color w:val="000000" w:themeColor="text1"/>
                <w:kern w:val="16"/>
                <w:sz w:val="24"/>
                <w:szCs w:val="24"/>
                <w:highlight w:val="none"/>
                <w:vertAlign w:val="superscript"/>
                <w:lang w:val="en-US" w:eastAsia="zh-CN" w:bidi="ar"/>
                <w14:textFill>
                  <w14:solidFill>
                    <w14:schemeClr w14:val="tx1"/>
                  </w14:solidFill>
                </w14:textFill>
              </w:rPr>
              <w:t>3</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/d（</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165.9</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m</w:t>
            </w:r>
            <w:r>
              <w:rPr>
                <w:rFonts w:hint="default" w:eastAsia="仿宋_GB2312" w:cs="Times New Roman"/>
                <w:color w:val="000000" w:themeColor="text1"/>
                <w:kern w:val="16"/>
                <w:sz w:val="24"/>
                <w:szCs w:val="24"/>
                <w:highlight w:val="none"/>
                <w:vertAlign w:val="superscript"/>
                <w:lang w:val="en-US" w:eastAsia="zh-CN" w:bidi="ar"/>
                <w14:textFill>
                  <w14:solidFill>
                    <w14:schemeClr w14:val="tx1"/>
                  </w14:solidFill>
                </w14:textFill>
              </w:rPr>
              <w:t>3</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/a）。</w:t>
            </w:r>
          </w:p>
          <w:p>
            <w:pPr>
              <w:pStyle w:val="34"/>
              <w:keepNext w:val="0"/>
              <w:keepLines w:val="0"/>
              <w:pageBreakBefore w:val="0"/>
              <w:widowControl w:val="0"/>
              <w:numPr>
                <w:ilvl w:val="0"/>
                <w:numId w:val="0"/>
              </w:numPr>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4）</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生产用水</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：主要为混凝土制品再生线和水稳料再生线搅拌用水。</w:t>
            </w:r>
            <w:r>
              <w:rPr>
                <w:rFonts w:hint="default" w:ascii="Times New Roman" w:hAnsi="Times New Roman" w:eastAsia="仿宋_GB2312"/>
                <w:color w:val="000000" w:themeColor="text1"/>
                <w:kern w:val="16"/>
                <w:highlight w:val="none"/>
                <w:lang w:bidi="ar"/>
                <w14:textFill>
                  <w14:solidFill>
                    <w14:schemeClr w14:val="tx1"/>
                  </w14:solidFill>
                </w14:textFill>
              </w:rPr>
              <w:t>生产</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工艺用水</w:t>
            </w:r>
            <w:r>
              <w:rPr>
                <w:rFonts w:hint="default" w:ascii="Times New Roman" w:hAnsi="Times New Roman" w:eastAsia="仿宋_GB2312"/>
                <w:color w:val="000000" w:themeColor="text1"/>
                <w:kern w:val="16"/>
                <w:highlight w:val="none"/>
                <w:lang w:bidi="ar"/>
                <w14:textFill>
                  <w14:solidFill>
                    <w14:schemeClr w14:val="tx1"/>
                  </w14:solidFill>
                </w14:textFill>
              </w:rPr>
              <w:t>经厂区沉淀池处理后，上清液循环利用</w:t>
            </w:r>
            <w:r>
              <w:rPr>
                <w:rFonts w:hint="eastAsia" w:ascii="Times New Roman" w:hAnsi="Times New Roman" w:eastAsia="仿宋_GB2312"/>
                <w:color w:val="000000" w:themeColor="text1"/>
                <w:kern w:val="16"/>
                <w:highlight w:val="none"/>
                <w:lang w:eastAsia="zh-CN" w:bidi="ar"/>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经计算，工程最高日生产用水166.94m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/d，最大小时用水量约为21.69m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/h。</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微软雅黑" w:cs="Times New Roman"/>
                <w:b w:val="0"/>
                <w:bCs w:val="0"/>
                <w:color w:val="000000" w:themeColor="text1"/>
                <w:kern w:val="16"/>
                <w:sz w:val="24"/>
                <w:szCs w:val="24"/>
                <w:highlight w:val="none"/>
                <w:lang w:val="en-US" w:eastAsia="zh-CN" w:bidi="ar"/>
                <w14:textFill>
                  <w14:solidFill>
                    <w14:schemeClr w14:val="tx1"/>
                  </w14:solidFill>
                </w14:textFill>
              </w:rPr>
              <w:t>②</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生活用水：本项目劳动定员为30人，其中管理及后勤人员6人，生产部门24人。</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本次员工生活用水参照《关于印发宁夏回族自治区有关行业用水定额（修订）》的通知》（宁水节供发〔2025〕11号）以及当地的实际情况，生活用水定额为25m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/(人·a)，则生活用水量为750m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/a（3.57</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微软雅黑" w:cs="Times New Roman"/>
                <w:b w:val="0"/>
                <w:bCs w:val="0"/>
                <w:color w:val="000000" w:themeColor="text1"/>
                <w:kern w:val="16"/>
                <w:sz w:val="24"/>
                <w:szCs w:val="24"/>
                <w:highlight w:val="none"/>
                <w:lang w:val="en-US" w:eastAsia="zh-CN" w:bidi="ar"/>
                <w14:textFill>
                  <w14:solidFill>
                    <w14:schemeClr w14:val="tx1"/>
                  </w14:solidFill>
                </w14:textFill>
              </w:rPr>
              <w:t>③</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绿化用水：</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本项目</w:t>
            </w:r>
            <w:r>
              <w:rPr>
                <w:rFonts w:hint="eastAsia" w:ascii="Times New Roman" w:hAnsi="Times New Roman" w:eastAsia="仿宋_GB2312"/>
                <w:color w:val="000000" w:themeColor="text1"/>
                <w:kern w:val="16"/>
                <w:highlight w:val="none"/>
                <w:lang w:bidi="ar"/>
                <w14:textFill>
                  <w14:solidFill>
                    <w14:schemeClr w14:val="tx1"/>
                  </w14:solidFill>
                </w14:textFill>
              </w:rPr>
              <w:t>管理区内绿地面积约130.00m</w:t>
            </w:r>
            <w:r>
              <w:rPr>
                <w:rFonts w:hint="eastAsia" w:ascii="Times New Roman" w:hAnsi="Times New Roman" w:eastAsia="仿宋_GB2312"/>
                <w:color w:val="000000" w:themeColor="text1"/>
                <w:kern w:val="16"/>
                <w:highlight w:val="none"/>
                <w:vertAlign w:val="superscript"/>
                <w:lang w:bidi="ar"/>
                <w14:textFill>
                  <w14:solidFill>
                    <w14:schemeClr w14:val="tx1"/>
                  </w14:solidFill>
                </w14:textFill>
              </w:rPr>
              <w:t>2</w:t>
            </w:r>
            <w:r>
              <w:rPr>
                <w:rFonts w:hint="eastAsia" w:ascii="Times New Roman" w:hAnsi="Times New Roman" w:eastAsia="仿宋_GB2312"/>
                <w:color w:val="000000" w:themeColor="text1"/>
                <w:kern w:val="16"/>
                <w:highlight w:val="none"/>
                <w:lang w:bidi="ar"/>
                <w14:textFill>
                  <w14:solidFill>
                    <w14:schemeClr w14:val="tx1"/>
                  </w14:solidFill>
                </w14:textFill>
              </w:rPr>
              <w:t>。</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参考</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《关于印发宁夏回族自治区有关行业用水定额（修订）》的通知》（宁水节供发〔2025〕11号），确定绿化用水定额按照0.1m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2</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·a）计，厂区绿化用水量为13m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/a（0.06m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⑵排水</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eastAsia="仿宋_GB2312"/>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微软雅黑" w:cs="Times New Roman"/>
                <w:b w:val="0"/>
                <w:bCs w:val="0"/>
                <w:color w:val="000000" w:themeColor="text1"/>
                <w:kern w:val="16"/>
                <w:sz w:val="24"/>
                <w:szCs w:val="24"/>
                <w:highlight w:val="none"/>
                <w:lang w:val="en-US" w:eastAsia="zh-CN" w:bidi="ar"/>
                <w14:textFill>
                  <w14:solidFill>
                    <w14:schemeClr w14:val="tx1"/>
                  </w14:solidFill>
                </w14:textFill>
              </w:rPr>
              <w:t>①</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生活污水：本</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项目</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生活污水排水量按用水量的</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8</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0%计，排水量为</w:t>
            </w:r>
            <w:r>
              <w:rPr>
                <w:rFonts w:hint="eastAsia" w:eastAsia="仿宋_GB2312" w:cs="Times New Roman"/>
                <w:b w:val="0"/>
                <w:bCs w:val="0"/>
                <w:color w:val="000000" w:themeColor="text1"/>
                <w:kern w:val="16"/>
                <w:sz w:val="24"/>
                <w:szCs w:val="24"/>
                <w:highlight w:val="none"/>
                <w:lang w:val="en-US" w:eastAsia="zh-CN" w:bidi="ar"/>
                <w14:textFill>
                  <w14:solidFill>
                    <w14:schemeClr w14:val="tx1"/>
                  </w14:solidFill>
                </w14:textFill>
              </w:rPr>
              <w:t>2.86</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w:t>
            </w:r>
            <w:r>
              <w:rPr>
                <w:rFonts w:hint="default" w:eastAsia="仿宋_GB2312"/>
                <w:color w:val="000000" w:themeColor="text1"/>
                <w:kern w:val="16"/>
                <w:sz w:val="24"/>
                <w:szCs w:val="24"/>
                <w:highlight w:val="none"/>
                <w:lang w:eastAsia="zh-CN" w:bidi="ar"/>
                <w14:textFill>
                  <w14:solidFill>
                    <w14:schemeClr w14:val="tx1"/>
                  </w14:solidFill>
                </w14:textFill>
              </w:rPr>
              <w:t>生活污水经化粪池处理</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kern w:val="16"/>
                <w:sz w:val="24"/>
                <w:highlight w:val="none"/>
                <w:lang w:val="en-US" w:eastAsia="zh-CN" w:bidi="ar"/>
                <w14:textFill>
                  <w14:solidFill>
                    <w14:schemeClr w14:val="tx1"/>
                  </w14:solidFill>
                </w14:textFill>
              </w:rPr>
              <w:t>由专业人员定期清理外运至彭阳县第二污水处理厂</w:t>
            </w:r>
            <w:r>
              <w:rPr>
                <w:rFonts w:hint="eastAsia" w:eastAsia="仿宋_GB2312" w:cs="Times New Roman"/>
                <w:color w:val="000000" w:themeColor="text1"/>
                <w:kern w:val="16"/>
                <w:sz w:val="24"/>
                <w:highlight w:val="none"/>
                <w:lang w:val="en-US" w:eastAsia="zh-CN" w:bidi="ar"/>
                <w14:textFill>
                  <w14:solidFill>
                    <w14:schemeClr w14:val="tx1"/>
                  </w14:solidFill>
                </w14:textFill>
              </w:rPr>
              <w:t>。</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②生产废水</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1）</w:t>
            </w:r>
            <w:r>
              <w:rPr>
                <w:rFonts w:hint="default" w:ascii="Times New Roman" w:hAnsi="Times New Roman" w:eastAsia="仿宋_GB2312"/>
                <w:color w:val="000000" w:themeColor="text1"/>
                <w:kern w:val="16"/>
                <w:highlight w:val="none"/>
                <w:lang w:bidi="ar"/>
                <w14:textFill>
                  <w14:solidFill>
                    <w14:schemeClr w14:val="tx1"/>
                  </w14:solidFill>
                </w14:textFill>
              </w:rPr>
              <w:t>本项目厂区道路抑尘用水及厂房抑尘用水自然蒸发，不外排。</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2)</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车辆冲洗</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排</w:t>
            </w:r>
            <w:r>
              <w:rPr>
                <w:rFonts w:hint="default" w:eastAsia="仿宋_GB2312" w:cs="Times New Roman"/>
                <w:color w:val="000000" w:themeColor="text1"/>
                <w:kern w:val="16"/>
                <w:sz w:val="24"/>
                <w:szCs w:val="24"/>
                <w:highlight w:val="none"/>
                <w:lang w:val="en-US" w:eastAsia="zh-CN" w:bidi="ar"/>
                <w14:textFill>
                  <w14:solidFill>
                    <w14:schemeClr w14:val="tx1"/>
                  </w14:solidFill>
                </w14:textFill>
              </w:rPr>
              <w:t>水</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：本项目车辆冲洗</w:t>
            </w:r>
            <w:r>
              <w:rPr>
                <w:rFonts w:hint="eastAsia" w:eastAsia="仿宋_GB2312"/>
                <w:color w:val="000000" w:themeColor="text1"/>
                <w:kern w:val="16"/>
                <w:highlight w:val="none"/>
                <w:lang w:bidi="ar"/>
                <w14:textFill>
                  <w14:solidFill>
                    <w14:schemeClr w14:val="tx1"/>
                  </w14:solidFill>
                </w14:textFill>
              </w:rPr>
              <w:t>排</w:t>
            </w:r>
            <w:r>
              <w:rPr>
                <w:rFonts w:hint="eastAsia" w:eastAsia="仿宋_GB2312" w:cs="Times New Roman"/>
                <w:color w:val="000000" w:themeColor="text1"/>
                <w:kern w:val="16"/>
                <w:sz w:val="24"/>
                <w:szCs w:val="24"/>
                <w:highlight w:val="none"/>
                <w:lang w:val="en-US" w:eastAsia="zh-CN" w:bidi="ar"/>
                <w14:textFill>
                  <w14:solidFill>
                    <w14:schemeClr w14:val="tx1"/>
                  </w14:solidFill>
                </w14:textFill>
              </w:rPr>
              <w:t>水外排。</w:t>
            </w:r>
            <w:r>
              <w:rPr>
                <w:rFonts w:hint="eastAsia" w:eastAsia="仿宋_GB2312"/>
                <w:color w:val="000000" w:themeColor="text1"/>
                <w:kern w:val="16"/>
                <w:highlight w:val="none"/>
                <w:lang w:bidi="ar"/>
                <w14:textFill>
                  <w14:solidFill>
                    <w14:schemeClr w14:val="tx1"/>
                  </w14:solidFill>
                </w14:textFill>
              </w:rPr>
              <w:t>车辆冲洗排水以用水量的80%计，则本项目车辆冲洗排水排放量约</w:t>
            </w:r>
            <w:r>
              <w:rPr>
                <w:rFonts w:hint="default" w:ascii="Times New Roman" w:hAnsi="Times New Roman" w:eastAsia="仿宋_GB2312"/>
                <w:color w:val="000000" w:themeColor="text1"/>
                <w:kern w:val="16"/>
                <w:highlight w:val="none"/>
                <w:lang w:bidi="ar"/>
                <w14:textFill>
                  <w14:solidFill>
                    <w14:schemeClr w14:val="tx1"/>
                  </w14:solidFill>
                </w14:textFill>
              </w:rPr>
              <w:t>为</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0.63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132.3</w:t>
            </w:r>
            <w:r>
              <w:rPr>
                <w:rFonts w:hint="default" w:ascii="Times New Roman" w:hAnsi="Times New Roman" w:eastAsia="仿宋_GB2312"/>
                <w:color w:val="000000" w:themeColor="text1"/>
                <w:kern w:val="16"/>
                <w:highlight w:val="none"/>
                <w:lang w:bidi="ar"/>
                <w14:textFill>
                  <w14:solidFill>
                    <w14:schemeClr w14:val="tx1"/>
                  </w14:solidFill>
                </w14:textFill>
              </w:rPr>
              <w:t>m</w:t>
            </w:r>
            <w:r>
              <w:rPr>
                <w:rFonts w:hint="default" w:ascii="Times New Roman" w:hAnsi="Times New Roman" w:eastAsia="仿宋_GB2312"/>
                <w:color w:val="000000" w:themeColor="text1"/>
                <w:kern w:val="16"/>
                <w:highlight w:val="none"/>
                <w:vertAlign w:val="superscript"/>
                <w:lang w:bidi="ar"/>
                <w14:textFill>
                  <w14:solidFill>
                    <w14:schemeClr w14:val="tx1"/>
                  </w14:solidFill>
                </w14:textFill>
              </w:rPr>
              <w:t>3</w:t>
            </w:r>
            <w:r>
              <w:rPr>
                <w:rFonts w:hint="default" w:ascii="Times New Roman" w:hAnsi="Times New Roman" w:eastAsia="仿宋_GB2312"/>
                <w:color w:val="000000" w:themeColor="text1"/>
                <w:kern w:val="16"/>
                <w:highlight w:val="none"/>
                <w:lang w:bidi="ar"/>
                <w14:textFill>
                  <w14:solidFill>
                    <w14:schemeClr w14:val="tx1"/>
                  </w14:solidFill>
                </w14:textFill>
              </w:rPr>
              <w:t>/a</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生产废水由工艺专业提供，在原料堆场区设置30m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生产废水收集沉淀池，经沉淀后，上清液循环使用，</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不外排，排水量按生产用水量的10%计。因此，生产废水总产生量约16.69m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
                <w14:textFill>
                  <w14:solidFill>
                    <w14:schemeClr w14:val="tx1"/>
                  </w14:solidFill>
                </w14:textFill>
              </w:rPr>
              <w:t>3</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/d。</w:t>
            </w:r>
          </w:p>
          <w:p>
            <w:pPr>
              <w:pStyle w:val="34"/>
              <w:keepNext w:val="0"/>
              <w:keepLines w:val="0"/>
              <w:widowControl w:val="0"/>
              <w:suppressLineNumbers w:val="0"/>
              <w:overflowPunct w:val="0"/>
              <w:autoSpaceDE/>
              <w:autoSpaceDN/>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项目水平衡表见表2-</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9</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，水平衡图见图2-</w:t>
            </w:r>
            <w:r>
              <w:rPr>
                <w:rFonts w:hint="eastAsia"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2</w:t>
            </w:r>
            <w:r>
              <w:rPr>
                <w:rFonts w:hint="default" w:ascii="Times New Roman" w:hAnsi="Times New Roman" w:eastAsia="仿宋_GB2312" w:cs="Times New Roman"/>
                <w:b w:val="0"/>
                <w:bCs w:val="0"/>
                <w:color w:val="000000" w:themeColor="text1"/>
                <w:kern w:val="16"/>
                <w:sz w:val="24"/>
                <w:szCs w:val="24"/>
                <w:highlight w:val="none"/>
                <w:lang w:val="en-US" w:eastAsia="zh-CN" w:bidi="ar"/>
                <w14:textFill>
                  <w14:solidFill>
                    <w14:schemeClr w14:val="tx1"/>
                  </w14:solidFill>
                </w14:textFill>
              </w:rPr>
              <w:t>。</w:t>
            </w:r>
          </w:p>
          <w:p>
            <w:pPr>
              <w:pStyle w:val="34"/>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pPr>
          </w:p>
          <w:p>
            <w:pPr>
              <w:pStyle w:val="34"/>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pPr>
          </w:p>
          <w:p>
            <w:pPr>
              <w:pStyle w:val="34"/>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9</w:t>
            </w: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 xml:space="preserve">   本项目用水情况一览表</w:t>
            </w:r>
            <w:r>
              <w:rPr>
                <w:rFonts w:hint="default" w:ascii="Times New Roman" w:hAnsi="Times New Roman" w:cs="Times New Roman"/>
                <w:b/>
                <w:bCs/>
                <w:color w:val="000000" w:themeColor="text1"/>
                <w:kern w:val="2"/>
                <w:sz w:val="24"/>
                <w:szCs w:val="24"/>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 xml:space="preserve"> 单位：m</w:t>
            </w:r>
            <w:r>
              <w:rPr>
                <w:rFonts w:hint="default" w:ascii="Times New Roman" w:hAnsi="Times New Roman" w:eastAsia="宋体" w:cs="Times New Roman"/>
                <w:b/>
                <w:bCs/>
                <w:color w:val="000000" w:themeColor="text1"/>
                <w:kern w:val="2"/>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/d</w:t>
            </w:r>
          </w:p>
          <w:tbl>
            <w:tblPr>
              <w:tblStyle w:val="37"/>
              <w:tblW w:w="837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448"/>
              <w:gridCol w:w="1114"/>
              <w:gridCol w:w="1114"/>
              <w:gridCol w:w="1114"/>
              <w:gridCol w:w="1114"/>
              <w:gridCol w:w="1116"/>
              <w:gridCol w:w="13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30" w:hRule="atLeast"/>
                <w:jc w:val="center"/>
              </w:trPr>
              <w:tc>
                <w:tcPr>
                  <w:tcW w:w="1448" w:type="dxa"/>
                  <w:vMerge w:val="restart"/>
                  <w:tcBorders>
                    <w:top w:val="single" w:color="000000" w:sz="12" w:space="0"/>
                    <w:left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
                      <w14:textFill>
                        <w14:solidFill>
                          <w14:schemeClr w14:val="tx1"/>
                        </w14:solidFill>
                      </w14:textFill>
                    </w:rPr>
                    <w:t>用水项目</w:t>
                  </w:r>
                </w:p>
              </w:tc>
              <w:tc>
                <w:tcPr>
                  <w:tcW w:w="2228" w:type="dxa"/>
                  <w:gridSpan w:val="2"/>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pPr>
                  <w:r>
                    <w:rPr>
                      <w:rFonts w:hint="eastAsia" w:cs="Times New Roman"/>
                      <w:b/>
                      <w:bCs w:val="0"/>
                      <w:color w:val="000000" w:themeColor="text1"/>
                      <w:kern w:val="0"/>
                      <w:sz w:val="21"/>
                      <w:szCs w:val="21"/>
                      <w:highlight w:val="none"/>
                      <w:lang w:val="en-US" w:eastAsia="zh-CN" w:bidi="ar"/>
                      <w14:textFill>
                        <w14:solidFill>
                          <w14:schemeClr w14:val="tx1"/>
                        </w14:solidFill>
                      </w14:textFill>
                    </w:rPr>
                    <w:t>输入</w:t>
                  </w:r>
                  <w:r>
                    <w:rPr>
                      <w:rFonts w:hint="default" w:ascii="Times New Roman" w:hAnsi="Times New Roman" w:eastAsia="宋体" w:cs="Times New Roman"/>
                      <w:b/>
                      <w:bCs w:val="0"/>
                      <w:color w:val="000000" w:themeColor="text1"/>
                      <w:kern w:val="0"/>
                      <w:sz w:val="21"/>
                      <w:szCs w:val="21"/>
                      <w:highlight w:val="none"/>
                      <w:lang w:val="en-US" w:eastAsia="zh-CN" w:bidi="ar"/>
                      <w14:textFill>
                        <w14:solidFill>
                          <w14:schemeClr w14:val="tx1"/>
                        </w14:solidFill>
                      </w14:textFill>
                    </w:rPr>
                    <w:t>用水</w:t>
                  </w:r>
                </w:p>
              </w:tc>
              <w:tc>
                <w:tcPr>
                  <w:tcW w:w="3344" w:type="dxa"/>
                  <w:gridSpan w:val="3"/>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pPr>
                  <w:r>
                    <w:rPr>
                      <w:rFonts w:hint="eastAsia" w:cs="Times New Roman"/>
                      <w:b/>
                      <w:bCs w:val="0"/>
                      <w:color w:val="000000" w:themeColor="text1"/>
                      <w:kern w:val="0"/>
                      <w:sz w:val="21"/>
                      <w:szCs w:val="21"/>
                      <w:highlight w:val="none"/>
                      <w:lang w:val="en-US" w:eastAsia="zh-CN" w:bidi="ar"/>
                      <w14:textFill>
                        <w14:solidFill>
                          <w14:schemeClr w14:val="tx1"/>
                        </w14:solidFill>
                      </w14:textFill>
                    </w:rPr>
                    <w:t>输出</w:t>
                  </w:r>
                  <w:r>
                    <w:rPr>
                      <w:rFonts w:hint="default" w:ascii="Times New Roman" w:hAnsi="Times New Roman" w:eastAsia="宋体" w:cs="Times New Roman"/>
                      <w:b/>
                      <w:bCs w:val="0"/>
                      <w:color w:val="000000" w:themeColor="text1"/>
                      <w:kern w:val="0"/>
                      <w:sz w:val="21"/>
                      <w:szCs w:val="21"/>
                      <w:highlight w:val="none"/>
                      <w:lang w:val="en-US" w:eastAsia="zh-CN" w:bidi="ar"/>
                      <w14:textFill>
                        <w14:solidFill>
                          <w14:schemeClr w14:val="tx1"/>
                        </w14:solidFill>
                      </w14:textFill>
                    </w:rPr>
                    <w:t>排水</w:t>
                  </w:r>
                </w:p>
              </w:tc>
              <w:tc>
                <w:tcPr>
                  <w:tcW w:w="1352" w:type="dxa"/>
                  <w:vMerge w:val="restart"/>
                  <w:tcBorders>
                    <w:top w:val="single" w:color="000000" w:sz="12" w:space="0"/>
                    <w:left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1448" w:type="dxa"/>
                  <w:vMerge w:val="continue"/>
                  <w:tcBorders>
                    <w:left w:val="single" w:color="000000" w:sz="12"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FF0000"/>
                      <w:kern w:val="2"/>
                      <w:sz w:val="21"/>
                      <w:szCs w:val="21"/>
                      <w:highlight w:val="none"/>
                      <w:lang w:val="en-US" w:eastAsia="zh-CN"/>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kern w:val="2"/>
                      <w:sz w:val="21"/>
                      <w:szCs w:val="22"/>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eastAsia="zh-CN"/>
                      <w14:textFill>
                        <w14:solidFill>
                          <w14:schemeClr w14:val="tx1"/>
                        </w14:solidFill>
                      </w14:textFill>
                    </w:rPr>
                    <w:t>新鲜水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hint="eastAsia" w:cs="Times New Roman"/>
                      <w:b/>
                      <w:bCs/>
                      <w:color w:val="000000" w:themeColor="text1"/>
                      <w:kern w:val="2"/>
                      <w:sz w:val="21"/>
                      <w:szCs w:val="21"/>
                      <w:highlight w:val="none"/>
                      <w:lang w:val="en-US" w:eastAsia="zh-CN"/>
                      <w14:textFill>
                        <w14:solidFill>
                          <w14:schemeClr w14:val="tx1"/>
                        </w14:solidFill>
                      </w14:textFill>
                    </w:rPr>
                    <w:t>回用水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kern w:val="2"/>
                      <w:sz w:val="21"/>
                      <w:szCs w:val="22"/>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eastAsia="zh-CN"/>
                      <w14:textFill>
                        <w14:solidFill>
                          <w14:schemeClr w14:val="tx1"/>
                        </w14:solidFill>
                      </w14:textFill>
                    </w:rPr>
                    <w:t>损耗</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hint="eastAsia" w:cs="Times New Roman"/>
                      <w:b/>
                      <w:bCs/>
                      <w:color w:val="000000" w:themeColor="text1"/>
                      <w:kern w:val="2"/>
                      <w:sz w:val="21"/>
                      <w:szCs w:val="21"/>
                      <w:highlight w:val="none"/>
                      <w:lang w:val="en-US" w:eastAsia="zh-CN"/>
                      <w14:textFill>
                        <w14:solidFill>
                          <w14:schemeClr w14:val="tx1"/>
                        </w14:solidFill>
                      </w14:textFill>
                    </w:rPr>
                    <w:t>回用水</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kern w:val="2"/>
                      <w:sz w:val="21"/>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eastAsia="zh-CN"/>
                      <w14:textFill>
                        <w14:solidFill>
                          <w14:schemeClr w14:val="tx1"/>
                        </w14:solidFill>
                      </w14:textFill>
                    </w:rPr>
                    <w:t>排水</w:t>
                  </w:r>
                  <w:r>
                    <w:rPr>
                      <w:rFonts w:hint="eastAsia" w:cs="Times New Roman"/>
                      <w:b/>
                      <w:bCs/>
                      <w:color w:val="000000" w:themeColor="text1"/>
                      <w:kern w:val="2"/>
                      <w:sz w:val="21"/>
                      <w:szCs w:val="21"/>
                      <w:highlight w:val="none"/>
                      <w:lang w:val="en-US" w:eastAsia="zh-CN"/>
                      <w14:textFill>
                        <w14:solidFill>
                          <w14:schemeClr w14:val="tx1"/>
                        </w14:solidFill>
                      </w14:textFill>
                    </w:rPr>
                    <w:t>量</w:t>
                  </w:r>
                </w:p>
              </w:tc>
              <w:tc>
                <w:tcPr>
                  <w:tcW w:w="1352" w:type="dxa"/>
                  <w:vMerge w:val="continue"/>
                  <w:tcBorders>
                    <w:left w:val="single" w:color="000000" w:sz="4" w:space="0"/>
                    <w:bottom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highlight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1448" w:type="dxa"/>
                  <w:tcBorders>
                    <w:top w:val="single" w:color="000000" w:sz="4" w:space="0"/>
                    <w:left w:val="single" w:color="000000" w:sz="12"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FF0000"/>
                      <w:kern w:val="2"/>
                      <w:sz w:val="21"/>
                      <w:szCs w:val="21"/>
                      <w:highlight w:val="none"/>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生产</w:t>
                  </w:r>
                  <w:r>
                    <w:rPr>
                      <w:rFonts w:hint="eastAsia" w:cs="Times New Roman"/>
                      <w:color w:val="000000" w:themeColor="text1"/>
                      <w:kern w:val="2"/>
                      <w:sz w:val="21"/>
                      <w:szCs w:val="21"/>
                      <w:highlight w:val="none"/>
                      <w:lang w:val="en-US" w:eastAsia="zh-CN"/>
                      <w14:textFill>
                        <w14:solidFill>
                          <w14:schemeClr w14:val="tx1"/>
                        </w14:solidFill>
                      </w14:textFill>
                    </w:rPr>
                    <w:t>用</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166.94</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150.25</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16.69</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352" w:type="dxa"/>
                  <w:tcBorders>
                    <w:top w:val="single" w:color="000000" w:sz="4" w:space="0"/>
                    <w:left w:val="single" w:color="000000" w:sz="4" w:space="0"/>
                    <w:bottom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highlight w:val="none"/>
                      <w:lang w:val="en-US" w:eastAsia="zh-CN"/>
                    </w:rPr>
                  </w:pPr>
                  <w:r>
                    <w:rPr>
                      <w:rFonts w:hint="eastAsia" w:cs="Times New Roman"/>
                      <w:color w:val="000000" w:themeColor="text1"/>
                      <w:kern w:val="2"/>
                      <w:sz w:val="21"/>
                      <w:szCs w:val="21"/>
                      <w:highlight w:val="none"/>
                      <w:lang w:val="en-US" w:eastAsia="zh-CN"/>
                      <w14:textFill>
                        <w14:solidFill>
                          <w14:schemeClr w14:val="tx1"/>
                        </w14:solidFill>
                      </w14:textFill>
                    </w:rPr>
                    <w:t>上清液循环使用，沉淀物和项目分离分选后的渣土</w:t>
                  </w:r>
                  <w:r>
                    <w:rPr>
                      <w:rFonts w:hint="eastAsia"/>
                      <w:color w:val="000000" w:themeColor="text1"/>
                      <w:szCs w:val="21"/>
                      <w:highlight w:val="none"/>
                      <w14:textFill>
                        <w14:solidFill>
                          <w14:schemeClr w14:val="tx1"/>
                        </w14:solidFill>
                      </w14:textFill>
                    </w:rPr>
                    <w:t>主要用于回填工程，如拆除工程场地平整，垃圾填埋场的封场填埋等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1448" w:type="dxa"/>
                  <w:tcBorders>
                    <w:top w:val="single" w:color="000000" w:sz="4" w:space="0"/>
                    <w:left w:val="single" w:color="000000" w:sz="12"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color w:val="000000" w:themeColor="text1"/>
                      <w:szCs w:val="21"/>
                      <w:highlight w:val="none"/>
                      <w14:textFill>
                        <w14:solidFill>
                          <w14:schemeClr w14:val="tx1"/>
                        </w14:solidFill>
                      </w14:textFill>
                    </w:rPr>
                    <w:t>厂区道路抑尘用水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1.74</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1.74</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352" w:type="dxa"/>
                  <w:tcBorders>
                    <w:top w:val="single" w:color="000000" w:sz="4" w:space="0"/>
                    <w:left w:val="single" w:color="000000" w:sz="4" w:space="0"/>
                    <w:bottom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8" w:type="dxa"/>
                  <w:tcBorders>
                    <w:top w:val="single" w:color="000000" w:sz="4" w:space="0"/>
                    <w:left w:val="single" w:color="000000" w:sz="12"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eastAsia="宋体"/>
                      <w:color w:val="000000" w:themeColor="text1"/>
                      <w:kern w:val="2"/>
                      <w:sz w:val="21"/>
                      <w:szCs w:val="21"/>
                      <w:highlight w:val="none"/>
                      <w:lang w:bidi="ar"/>
                      <w14:textFill>
                        <w14:solidFill>
                          <w14:schemeClr w14:val="tx1"/>
                        </w14:solidFill>
                      </w14:textFill>
                    </w:rPr>
                    <w:t>厂房抑尘用水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14.85</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14.85</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352" w:type="dxa"/>
                  <w:tcBorders>
                    <w:top w:val="single" w:color="000000" w:sz="4" w:space="0"/>
                    <w:left w:val="single" w:color="000000" w:sz="4" w:space="0"/>
                    <w:bottom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8" w:type="dxa"/>
                  <w:tcBorders>
                    <w:top w:val="single" w:color="000000" w:sz="4" w:space="0"/>
                    <w:left w:val="single" w:color="000000" w:sz="12"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车辆冲洗用水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0.79</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0.16</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0.63</w:t>
                  </w:r>
                </w:p>
              </w:tc>
              <w:tc>
                <w:tcPr>
                  <w:tcW w:w="1352" w:type="dxa"/>
                  <w:tcBorders>
                    <w:top w:val="single" w:color="000000" w:sz="4" w:space="0"/>
                    <w:left w:val="single" w:color="000000" w:sz="4" w:space="0"/>
                    <w:bottom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外排至管网，经化粪池处理后，由专业人员定期清</w:t>
                  </w:r>
                </w:p>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理外运至彭阳县第二污水处理厂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8" w:type="dxa"/>
                  <w:tcBorders>
                    <w:top w:val="single" w:color="000000" w:sz="4" w:space="0"/>
                    <w:left w:val="single" w:color="000000" w:sz="12"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生活用水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3.57</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0.71</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2.86</w:t>
                  </w:r>
                </w:p>
              </w:tc>
              <w:tc>
                <w:tcPr>
                  <w:tcW w:w="1352" w:type="dxa"/>
                  <w:tcBorders>
                    <w:top w:val="single" w:color="000000" w:sz="4" w:space="0"/>
                    <w:left w:val="single" w:color="000000" w:sz="4" w:space="0"/>
                    <w:bottom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经化粪池处理后，由专业人员定期清</w:t>
                  </w:r>
                </w:p>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理外运至彭阳县第二污水处理厂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8" w:type="dxa"/>
                  <w:tcBorders>
                    <w:top w:val="single" w:color="000000" w:sz="4" w:space="0"/>
                    <w:left w:val="single" w:color="000000" w:sz="12"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绿化用水</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0.06</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0.06</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1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0</w:t>
                  </w:r>
                </w:p>
              </w:tc>
              <w:tc>
                <w:tcPr>
                  <w:tcW w:w="1352" w:type="dxa"/>
                  <w:tcBorders>
                    <w:top w:val="single" w:color="000000" w:sz="4" w:space="0"/>
                    <w:left w:val="single" w:color="000000" w:sz="4" w:space="0"/>
                    <w:bottom w:val="single" w:color="000000" w:sz="4"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8" w:type="dxa"/>
                  <w:tcBorders>
                    <w:top w:val="single" w:color="000000" w:sz="4" w:space="0"/>
                    <w:left w:val="single" w:color="000000" w:sz="12"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FF0000"/>
                      <w:kern w:val="2"/>
                      <w:sz w:val="21"/>
                      <w:szCs w:val="22"/>
                      <w:highlight w:val="none"/>
                      <w:lang w:eastAsia="zh-CN"/>
                    </w:rPr>
                  </w:pPr>
                  <w:r>
                    <w:rPr>
                      <w:rFonts w:hint="default" w:ascii="Times New Roman" w:hAnsi="Times New Roman" w:eastAsia="宋体" w:cs="Times New Roman"/>
                      <w:b/>
                      <w:bCs/>
                      <w:color w:val="000000" w:themeColor="text1"/>
                      <w:kern w:val="2"/>
                      <w:sz w:val="21"/>
                      <w:szCs w:val="21"/>
                      <w:highlight w:val="none"/>
                      <w:lang w:eastAsia="zh-CN"/>
                      <w14:textFill>
                        <w14:solidFill>
                          <w14:schemeClr w14:val="tx1"/>
                        </w14:solidFill>
                      </w14:textFill>
                    </w:rPr>
                    <w:t>总计</w:t>
                  </w:r>
                </w:p>
              </w:tc>
              <w:tc>
                <w:tcPr>
                  <w:tcW w:w="1114"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kern w:val="2"/>
                      <w:sz w:val="21"/>
                      <w:szCs w:val="22"/>
                      <w:highlight w:val="none"/>
                      <w:lang w:val="en-US" w:eastAsia="zh-CN"/>
                      <w14:textFill>
                        <w14:solidFill>
                          <w14:schemeClr w14:val="tx1"/>
                        </w14:solidFill>
                      </w14:textFill>
                    </w:rPr>
                  </w:pPr>
                  <w:r>
                    <w:rPr>
                      <w:rFonts w:hint="eastAsia" w:cs="Times New Roman"/>
                      <w:b/>
                      <w:bCs/>
                      <w:color w:val="000000" w:themeColor="text1"/>
                      <w:kern w:val="2"/>
                      <w:sz w:val="21"/>
                      <w:szCs w:val="21"/>
                      <w:highlight w:val="none"/>
                      <w:lang w:val="en-US" w:eastAsia="zh-CN"/>
                      <w14:textFill>
                        <w14:solidFill>
                          <w14:schemeClr w14:val="tx1"/>
                        </w14:solidFill>
                      </w14:textFill>
                    </w:rPr>
                    <w:t>187.95</w:t>
                  </w:r>
                </w:p>
              </w:tc>
              <w:tc>
                <w:tcPr>
                  <w:tcW w:w="1114"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b/>
                      <w:bCs/>
                      <w:color w:val="000000" w:themeColor="text1"/>
                      <w:kern w:val="2"/>
                      <w:sz w:val="21"/>
                      <w:szCs w:val="21"/>
                      <w:highlight w:val="none"/>
                      <w:lang w:val="en-US" w:eastAsia="zh-CN"/>
                      <w14:textFill>
                        <w14:solidFill>
                          <w14:schemeClr w14:val="tx1"/>
                        </w14:solidFill>
                      </w14:textFill>
                    </w:rPr>
                  </w:pPr>
                  <w:r>
                    <w:rPr>
                      <w:rFonts w:hint="eastAsia" w:cs="Times New Roman"/>
                      <w:b/>
                      <w:bCs/>
                      <w:color w:val="000000" w:themeColor="text1"/>
                      <w:kern w:val="2"/>
                      <w:sz w:val="21"/>
                      <w:szCs w:val="21"/>
                      <w:highlight w:val="none"/>
                      <w:lang w:val="en-US" w:eastAsia="zh-CN"/>
                      <w14:textFill>
                        <w14:solidFill>
                          <w14:schemeClr w14:val="tx1"/>
                        </w14:solidFill>
                      </w14:textFill>
                    </w:rPr>
                    <w:t>150.25</w:t>
                  </w:r>
                </w:p>
              </w:tc>
              <w:tc>
                <w:tcPr>
                  <w:tcW w:w="1114"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000000" w:themeColor="text1"/>
                      <w:kern w:val="2"/>
                      <w:sz w:val="21"/>
                      <w:szCs w:val="22"/>
                      <w:highlight w:val="none"/>
                      <w:lang w:val="en-US" w:eastAsia="zh-CN"/>
                      <w14:textFill>
                        <w14:solidFill>
                          <w14:schemeClr w14:val="tx1"/>
                        </w14:solidFill>
                      </w14:textFill>
                    </w:rPr>
                  </w:pPr>
                  <w:r>
                    <w:rPr>
                      <w:rFonts w:hint="eastAsia" w:cs="Times New Roman"/>
                      <w:b/>
                      <w:bCs/>
                      <w:color w:val="000000" w:themeColor="text1"/>
                      <w:kern w:val="2"/>
                      <w:sz w:val="21"/>
                      <w:szCs w:val="22"/>
                      <w:highlight w:val="none"/>
                      <w:lang w:val="en-US" w:eastAsia="zh-CN"/>
                      <w14:textFill>
                        <w14:solidFill>
                          <w14:schemeClr w14:val="tx1"/>
                        </w14:solidFill>
                      </w14:textFill>
                    </w:rPr>
                    <w:t>34.21</w:t>
                  </w:r>
                </w:p>
              </w:tc>
              <w:tc>
                <w:tcPr>
                  <w:tcW w:w="1114"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cs="Times New Roman"/>
                      <w:b/>
                      <w:bCs/>
                      <w:color w:val="000000" w:themeColor="text1"/>
                      <w:kern w:val="2"/>
                      <w:sz w:val="21"/>
                      <w:szCs w:val="22"/>
                      <w:highlight w:val="none"/>
                      <w:lang w:val="en-US" w:eastAsia="zh-CN"/>
                      <w14:textFill>
                        <w14:solidFill>
                          <w14:schemeClr w14:val="tx1"/>
                        </w14:solidFill>
                      </w14:textFill>
                    </w:rPr>
                  </w:pPr>
                  <w:r>
                    <w:rPr>
                      <w:rFonts w:hint="eastAsia" w:cs="Times New Roman"/>
                      <w:b/>
                      <w:bCs/>
                      <w:color w:val="000000" w:themeColor="text1"/>
                      <w:kern w:val="2"/>
                      <w:sz w:val="21"/>
                      <w:szCs w:val="22"/>
                      <w:highlight w:val="none"/>
                      <w:lang w:val="en-US" w:eastAsia="zh-CN"/>
                      <w14:textFill>
                        <w14:solidFill>
                          <w14:schemeClr w14:val="tx1"/>
                        </w14:solidFill>
                      </w14:textFill>
                    </w:rPr>
                    <w:t>0</w:t>
                  </w:r>
                </w:p>
              </w:tc>
              <w:tc>
                <w:tcPr>
                  <w:tcW w:w="1116"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szCs w:val="22"/>
                      <w:lang w:val="en-US"/>
                    </w:rPr>
                  </w:pPr>
                  <w:r>
                    <w:rPr>
                      <w:rFonts w:hint="eastAsia" w:cs="Times New Roman"/>
                      <w:b/>
                      <w:bCs/>
                      <w:color w:val="000000" w:themeColor="text1"/>
                      <w:kern w:val="2"/>
                      <w:sz w:val="21"/>
                      <w:szCs w:val="22"/>
                      <w:highlight w:val="none"/>
                      <w:lang w:val="en-US" w:eastAsia="zh-CN"/>
                      <w14:textFill>
                        <w14:solidFill>
                          <w14:schemeClr w14:val="tx1"/>
                        </w14:solidFill>
                      </w14:textFill>
                    </w:rPr>
                    <w:t>3.49</w:t>
                  </w:r>
                </w:p>
              </w:tc>
              <w:tc>
                <w:tcPr>
                  <w:tcW w:w="1352" w:type="dxa"/>
                  <w:tcBorders>
                    <w:top w:val="single" w:color="000000" w:sz="4" w:space="0"/>
                    <w:left w:val="single" w:color="000000" w:sz="4" w:space="0"/>
                    <w:bottom w:val="single" w:color="000000" w:sz="12" w:space="0"/>
                    <w:right w:val="single" w:color="000000" w:sz="12" w:space="0"/>
                  </w:tcBorders>
                  <w:shd w:val="clear" w:color="auto" w:fill="auto"/>
                  <w:noWrap/>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1"/>
                      <w:highlight w:val="none"/>
                      <w:lang w:val="en-US" w:eastAsia="zh-CN"/>
                    </w:rPr>
                  </w:pPr>
                  <w:r>
                    <w:rPr>
                      <w:rFonts w:hint="eastAsia" w:cs="Times New Roman"/>
                      <w:color w:val="000000" w:themeColor="text1"/>
                      <w:kern w:val="2"/>
                      <w:sz w:val="21"/>
                      <w:szCs w:val="21"/>
                      <w:highlight w:val="none"/>
                      <w:lang w:val="en-US" w:eastAsia="zh-CN"/>
                      <w14:textFill>
                        <w14:solidFill>
                          <w14:schemeClr w14:val="tx1"/>
                        </w14:solidFill>
                      </w14:textFill>
                    </w:rPr>
                    <w:t>/</w:t>
                  </w:r>
                </w:p>
              </w:tc>
            </w:tr>
          </w:tbl>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仿宋_GB2312" w:cs="Times New Roman"/>
                <w:b/>
                <w:bCs/>
                <w:color w:val="FF0000"/>
                <w:kern w:val="16"/>
                <w:sz w:val="24"/>
                <w:szCs w:val="24"/>
                <w:highlight w:val="none"/>
                <w:lang w:val="en-US" w:eastAsia="zh-CN" w:bidi="ar"/>
              </w:rPr>
            </w:pPr>
            <w:r>
              <w:rPr>
                <w:rFonts w:hint="default" w:ascii="Times New Roman" w:hAnsi="Times New Roman" w:eastAsia="仿宋_GB2312" w:cs="Times New Roman"/>
                <w:b/>
                <w:bCs/>
                <w:color w:val="FF0000"/>
                <w:kern w:val="16"/>
                <w:sz w:val="24"/>
                <w:szCs w:val="24"/>
                <w:highlight w:val="none"/>
                <w:lang w:val="en-US" w:eastAsia="zh-CN" w:bidi="ar"/>
              </w:rPr>
              <w:object>
                <v:shape id="_x0000_i1025" o:spt="75" type="#_x0000_t75" style="height:632.95pt;width:375.15pt;" o:ole="t" filled="f" o:preferrelative="t" stroked="f" coordsize="21600,21600">
                  <v:path/>
                  <v:fill on="f" focussize="0,0"/>
                  <v:stroke on="f"/>
                  <v:imagedata r:id="rId15" o:title=""/>
                  <o:lock v:ext="edit" aspectratio="f"/>
                  <w10:wrap type="none"/>
                  <w10:anchorlock/>
                </v:shape>
                <o:OLEObject Type="Embed" ProgID="Visio.Drawing.15" ShapeID="_x0000_i1025" DrawAspect="Content" ObjectID="_1468075725" r:id="rId14">
                  <o:LockedField>false</o:LockedField>
                </o:OLEObject>
              </w:objec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16"/>
                <w:sz w:val="24"/>
                <w:szCs w:val="24"/>
                <w:highlight w:val="none"/>
                <w:lang w:val="en-US" w:eastAsia="zh-CN" w:bidi="ar"/>
                <w14:textFill>
                  <w14:solidFill>
                    <w14:schemeClr w14:val="tx1"/>
                  </w14:solidFill>
                </w14:textFill>
              </w:rPr>
              <w:t>图2-</w:t>
            </w:r>
            <w:r>
              <w:rPr>
                <w:rFonts w:hint="eastAsia" w:ascii="Times New Roman" w:hAnsi="Times New Roman" w:cs="Times New Roman"/>
                <w:b w:val="0"/>
                <w:bCs w:val="0"/>
                <w:color w:val="000000" w:themeColor="text1"/>
                <w:kern w:val="16"/>
                <w:sz w:val="24"/>
                <w:szCs w:val="24"/>
                <w:highlight w:val="none"/>
                <w:lang w:val="en-US" w:eastAsia="zh-CN" w:bidi="ar"/>
                <w14:textFill>
                  <w14:solidFill>
                    <w14:schemeClr w14:val="tx1"/>
                  </w14:solidFill>
                </w14:textFill>
              </w:rPr>
              <w:t>2</w:t>
            </w:r>
            <w:r>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kern w:val="16"/>
                <w:sz w:val="24"/>
                <w:szCs w:val="24"/>
                <w:highlight w:val="none"/>
                <w:lang w:val="en-US" w:eastAsia="zh-CN" w:bidi="ar"/>
                <w14:textFill>
                  <w14:solidFill>
                    <w14:schemeClr w14:val="tx1"/>
                  </w14:solidFill>
                </w14:textFill>
              </w:rPr>
              <w:t>本项目水平衡图（m</w:t>
            </w:r>
            <w:r>
              <w:rPr>
                <w:rFonts w:hint="default" w:ascii="Times New Roman" w:hAnsi="Times New Roman" w:eastAsia="宋体" w:cs="Times New Roman"/>
                <w:b/>
                <w:bCs/>
                <w:color w:val="000000" w:themeColor="text1"/>
                <w:kern w:val="16"/>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16"/>
                <w:sz w:val="24"/>
                <w:szCs w:val="24"/>
                <w:highlight w:val="none"/>
                <w:lang w:val="en-US" w:eastAsia="zh-CN" w:bidi="ar"/>
                <w14:textFill>
                  <w14:solidFill>
                    <w14:schemeClr w14:val="tx1"/>
                  </w14:solidFill>
                </w14:textFill>
              </w:rPr>
              <w:t>/</w:t>
            </w:r>
            <w:r>
              <w:rPr>
                <w:rFonts w:hint="default" w:ascii="Times New Roman" w:hAnsi="Times New Roman" w:cs="Times New Roman"/>
                <w:b/>
                <w:bCs/>
                <w:color w:val="000000" w:themeColor="text1"/>
                <w:kern w:val="16"/>
                <w:sz w:val="24"/>
                <w:szCs w:val="24"/>
                <w:highlight w:val="none"/>
                <w:lang w:val="en-US" w:eastAsia="zh-CN" w:bidi="ar"/>
                <w14:textFill>
                  <w14:solidFill>
                    <w14:schemeClr w14:val="tx1"/>
                  </w14:solidFill>
                </w14:textFill>
              </w:rPr>
              <w:t>d</w:t>
            </w:r>
            <w:r>
              <w:rPr>
                <w:rFonts w:hint="default" w:ascii="Times New Roman" w:hAnsi="Times New Roman" w:eastAsia="宋体" w:cs="Times New Roman"/>
                <w:b/>
                <w:bCs/>
                <w:color w:val="000000" w:themeColor="text1"/>
                <w:kern w:val="16"/>
                <w:sz w:val="24"/>
                <w:szCs w:val="24"/>
                <w:highlight w:val="none"/>
                <w:lang w:val="en-US" w:eastAsia="zh-CN" w:bidi="ar"/>
                <w14:textFill>
                  <w14:solidFill>
                    <w14:schemeClr w14:val="tx1"/>
                  </w14:solidFill>
                </w14:textFill>
              </w:rPr>
              <w:t>）</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10.环保投资</w:t>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FF0000"/>
                <w:kern w:val="2"/>
                <w:sz w:val="21"/>
                <w:szCs w:val="21"/>
                <w:highlight w:val="none"/>
                <w:lang w:val="en-US" w:eastAsia="zh-CN" w:bidi="ar"/>
              </w:rPr>
            </w:pPr>
            <w:r>
              <w:rPr>
                <w:rFonts w:hint="default" w:ascii="Times New Roman" w:hAnsi="Times New Roman" w:eastAsia="仿宋_GB2312" w:cs="Times New Roman"/>
                <w:color w:val="auto"/>
                <w:kern w:val="16"/>
                <w:sz w:val="24"/>
                <w:szCs w:val="24"/>
                <w:highlight w:val="none"/>
                <w:lang w:val="en-US" w:eastAsia="zh-CN" w:bidi="ar"/>
              </w:rPr>
              <w:t>本项目总投资</w:t>
            </w:r>
            <w:r>
              <w:rPr>
                <w:rFonts w:hint="eastAsia" w:ascii="Times New Roman" w:hAnsi="Times New Roman" w:eastAsia="仿宋_GB2312" w:cs="Times New Roman"/>
                <w:color w:val="auto"/>
                <w:kern w:val="16"/>
                <w:sz w:val="24"/>
                <w:szCs w:val="24"/>
                <w:highlight w:val="none"/>
                <w:lang w:val="en-US" w:eastAsia="zh-CN" w:bidi="ar"/>
              </w:rPr>
              <w:t>3624.39</w:t>
            </w:r>
            <w:r>
              <w:rPr>
                <w:rFonts w:hint="default" w:ascii="Times New Roman" w:hAnsi="Times New Roman" w:eastAsia="仿宋_GB2312" w:cs="Times New Roman"/>
                <w:color w:val="auto"/>
                <w:kern w:val="16"/>
                <w:sz w:val="24"/>
                <w:szCs w:val="24"/>
                <w:highlight w:val="none"/>
                <w:lang w:val="en-US" w:eastAsia="zh-CN" w:bidi="ar"/>
              </w:rPr>
              <w:t>万元，其中环保投资</w:t>
            </w:r>
            <w:r>
              <w:rPr>
                <w:rFonts w:hint="eastAsia" w:ascii="Times New Roman" w:hAnsi="Times New Roman" w:eastAsia="仿宋_GB2312" w:cs="Times New Roman"/>
                <w:color w:val="auto"/>
                <w:kern w:val="16"/>
                <w:sz w:val="24"/>
                <w:szCs w:val="24"/>
                <w:highlight w:val="none"/>
                <w:lang w:val="en-US" w:eastAsia="zh-CN" w:bidi="ar"/>
              </w:rPr>
              <w:t>143.5</w:t>
            </w:r>
            <w:r>
              <w:rPr>
                <w:rFonts w:hint="default" w:ascii="Times New Roman" w:hAnsi="Times New Roman" w:eastAsia="仿宋_GB2312" w:cs="Times New Roman"/>
                <w:color w:val="auto"/>
                <w:kern w:val="16"/>
                <w:sz w:val="24"/>
                <w:szCs w:val="24"/>
                <w:highlight w:val="none"/>
                <w:lang w:val="en-US" w:eastAsia="zh-CN" w:bidi="ar"/>
              </w:rPr>
              <w:t>万元，环保投资占总投资的</w:t>
            </w:r>
            <w:r>
              <w:rPr>
                <w:rFonts w:hint="eastAsia" w:ascii="Times New Roman" w:hAnsi="Times New Roman" w:eastAsia="仿宋_GB2312" w:cs="Times New Roman"/>
                <w:color w:val="auto"/>
                <w:kern w:val="16"/>
                <w:sz w:val="24"/>
                <w:szCs w:val="24"/>
                <w:highlight w:val="none"/>
                <w:lang w:val="en-US" w:eastAsia="zh-CN" w:bidi="ar"/>
              </w:rPr>
              <w:t>3.96</w:t>
            </w:r>
            <w:r>
              <w:rPr>
                <w:rFonts w:hint="default" w:ascii="Times New Roman" w:hAnsi="Times New Roman" w:eastAsia="仿宋_GB2312" w:cs="Times New Roman"/>
                <w:color w:val="auto"/>
                <w:kern w:val="16"/>
                <w:sz w:val="24"/>
                <w:szCs w:val="24"/>
                <w:highlight w:val="none"/>
                <w:lang w:val="en-US" w:eastAsia="zh-CN" w:bidi="ar"/>
              </w:rPr>
              <w:t>%，具体环保投资情况见表2-</w:t>
            </w:r>
            <w:r>
              <w:rPr>
                <w:rFonts w:hint="eastAsia" w:ascii="Times New Roman" w:hAnsi="Times New Roman" w:eastAsia="仿宋_GB2312" w:cs="Times New Roman"/>
                <w:color w:val="auto"/>
                <w:kern w:val="16"/>
                <w:sz w:val="24"/>
                <w:szCs w:val="24"/>
                <w:highlight w:val="none"/>
                <w:lang w:val="en-US" w:eastAsia="zh-CN" w:bidi="ar"/>
              </w:rPr>
              <w:t>10</w:t>
            </w:r>
            <w:r>
              <w:rPr>
                <w:rFonts w:hint="default" w:ascii="Times New Roman" w:hAnsi="Times New Roman" w:eastAsia="仿宋_GB2312" w:cs="Times New Roman"/>
                <w:color w:val="auto"/>
                <w:kern w:val="16"/>
                <w:sz w:val="24"/>
                <w:szCs w:val="24"/>
                <w:highlight w:val="none"/>
                <w:lang w:val="en-US" w:eastAsia="zh-CN" w:bidi="ar"/>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
                <w14:textFill>
                  <w14:solidFill>
                    <w14:schemeClr w14:val="tx1"/>
                  </w14:solidFill>
                </w14:textFill>
              </w:rPr>
              <w:t>表</w:t>
            </w:r>
            <w:r>
              <w:rPr>
                <w:rFonts w:hint="default"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2-</w:t>
            </w:r>
            <w:r>
              <w:rPr>
                <w:rFonts w:hint="eastAsia" w:ascii="Times New Roman" w:hAnsi="Times New Roman" w:cs="Times New Roman"/>
                <w:b w:val="0"/>
                <w:bCs w:val="0"/>
                <w:color w:val="000000" w:themeColor="text1"/>
                <w:kern w:val="2"/>
                <w:sz w:val="21"/>
                <w:szCs w:val="21"/>
                <w:highlight w:val="none"/>
                <w:lang w:val="en-US" w:eastAsia="zh-CN" w:bidi="ar"/>
                <w14:textFill>
                  <w14:solidFill>
                    <w14:schemeClr w14:val="tx1"/>
                  </w14:solidFill>
                </w14:textFill>
              </w:rPr>
              <w:t>10</w:t>
            </w:r>
            <w:r>
              <w:rPr>
                <w:rFonts w:hint="default" w:ascii="Times New Roman" w:hAnsi="Times New Roman" w:eastAsia="宋体" w:cs="Times New Roman"/>
                <w:b/>
                <w:bCs/>
                <w:color w:val="000000" w:themeColor="text1"/>
                <w:kern w:val="2"/>
                <w:sz w:val="24"/>
                <w:szCs w:val="22"/>
                <w:highlight w:val="none"/>
                <w:lang w:val="en-US" w:eastAsia="zh-CN" w:bidi="ar"/>
                <w14:textFill>
                  <w14:solidFill>
                    <w14:schemeClr w14:val="tx1"/>
                  </w14:solidFill>
                </w14:textFill>
              </w:rPr>
              <w:t xml:space="preserve">   环保投资一览表</w:t>
            </w:r>
          </w:p>
          <w:tbl>
            <w:tblPr>
              <w:tblStyle w:val="37"/>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96"/>
              <w:gridCol w:w="1155"/>
              <w:gridCol w:w="1306"/>
              <w:gridCol w:w="1150"/>
              <w:gridCol w:w="2875"/>
              <w:gridCol w:w="10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5" w:hRule="atLeast"/>
                <w:jc w:val="center"/>
              </w:trPr>
              <w:tc>
                <w:tcPr>
                  <w:tcW w:w="533"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时期</w:t>
                  </w:r>
                </w:p>
              </w:tc>
              <w:tc>
                <w:tcPr>
                  <w:tcW w:w="68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名称</w:t>
                  </w: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环保设施</w:t>
                  </w:r>
                  <w:r>
                    <w:rPr>
                      <w:rFonts w:hint="default" w:ascii="Times New Roman" w:hAnsi="Times New Roman" w:cs="Times New Roman"/>
                      <w:b/>
                      <w:bCs w:val="0"/>
                      <w:color w:val="000000" w:themeColor="text1"/>
                      <w:kern w:val="2"/>
                      <w:sz w:val="21"/>
                      <w:szCs w:val="21"/>
                      <w:highlight w:val="none"/>
                      <w:lang w:val="en-US" w:eastAsia="zh-CN" w:bidi="ar"/>
                      <w14:textFill>
                        <w14:solidFill>
                          <w14:schemeClr w14:val="tx1"/>
                        </w14:solidFill>
                      </w14:textFill>
                    </w:rPr>
                    <w:t>内容</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val="0"/>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cs="Times New Roman"/>
                      <w:b/>
                      <w:bCs w:val="0"/>
                      <w:color w:val="000000" w:themeColor="text1"/>
                      <w:kern w:val="2"/>
                      <w:sz w:val="21"/>
                      <w:szCs w:val="21"/>
                      <w:highlight w:val="none"/>
                      <w:lang w:val="en-US" w:eastAsia="zh-CN" w:bidi="ar"/>
                      <w14:textFill>
                        <w14:solidFill>
                          <w14:schemeClr w14:val="tx1"/>
                        </w14:solidFill>
                      </w14:textFill>
                    </w:rPr>
                    <w:t>金额</w:t>
                  </w:r>
                </w:p>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533" w:type="pct"/>
                  <w:vMerge w:val="restar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000000" w:themeColor="text1"/>
                      <w:kern w:val="2"/>
                      <w:sz w:val="21"/>
                      <w:szCs w:val="21"/>
                      <w:highlight w:val="none"/>
                      <w:lang w:val="en-US" w:eastAsia="zh-CN" w:bidi="ar"/>
                      <w14:textFill>
                        <w14:solidFill>
                          <w14:schemeClr w14:val="tx1"/>
                        </w14:solidFill>
                      </w14:textFill>
                    </w:rPr>
                  </w:pPr>
                  <w:bookmarkStart w:id="6" w:name="_Hlk436812711"/>
                  <w:bookmarkStart w:id="7" w:name="OLE_LINK4"/>
                  <w:r>
                    <w:rPr>
                      <w:rFonts w:hint="eastAsia" w:cs="Times New Roman"/>
                      <w:b/>
                      <w:bCs/>
                      <w:color w:val="000000" w:themeColor="text1"/>
                      <w:kern w:val="2"/>
                      <w:sz w:val="21"/>
                      <w:szCs w:val="21"/>
                      <w:highlight w:val="none"/>
                      <w:lang w:val="en-US" w:eastAsia="zh-CN" w:bidi="ar"/>
                      <w14:textFill>
                        <w14:solidFill>
                          <w14:schemeClr w14:val="tx1"/>
                        </w14:solidFill>
                      </w14:textFill>
                    </w:rPr>
                    <w:t>施工期</w:t>
                  </w:r>
                </w:p>
              </w:tc>
              <w:tc>
                <w:tcPr>
                  <w:tcW w:w="68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废气处理设施</w:t>
                  </w: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eastAsia" w:eastAsia="宋体"/>
                      <w:szCs w:val="22"/>
                      <w:lang w:val="en-US" w:eastAsia="zh-CN"/>
                    </w:rPr>
                  </w:pPr>
                  <w:r>
                    <w:rPr>
                      <w:rFonts w:hint="default"/>
                      <w:szCs w:val="22"/>
                    </w:rPr>
                    <w:t>运输道路硬化、洒水抑尘、清扫运输马路</w:t>
                  </w:r>
                  <w:r>
                    <w:rPr>
                      <w:rFonts w:hint="eastAsia"/>
                      <w:szCs w:val="22"/>
                      <w:lang w:eastAsia="zh-CN"/>
                    </w:rPr>
                    <w:t>；</w:t>
                  </w:r>
                  <w:r>
                    <w:rPr>
                      <w:rFonts w:hint="eastAsia"/>
                      <w:szCs w:val="22"/>
                    </w:rPr>
                    <w:t>尽量减少回填土、粉状建筑材料露天堆放，必须露天堆放的易起尘的材料应加苫布覆盖</w:t>
                  </w:r>
                  <w:r>
                    <w:rPr>
                      <w:rFonts w:hint="eastAsia"/>
                      <w:szCs w:val="22"/>
                      <w:lang w:val="en-US" w:eastAsia="zh-CN"/>
                    </w:rPr>
                    <w:t>等措施。</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000000" w:themeColor="text1"/>
                      <w:kern w:val="2"/>
                      <w:sz w:val="21"/>
                      <w:szCs w:val="21"/>
                      <w:highlight w:val="none"/>
                      <w:lang w:val="en-US" w:eastAsia="zh-CN" w:bidi="ar"/>
                      <w14:textFill>
                        <w14:solidFill>
                          <w14:schemeClr w14:val="tx1"/>
                        </w14:solidFill>
                      </w14:textFill>
                    </w:rPr>
                  </w:pPr>
                </w:p>
              </w:tc>
              <w:tc>
                <w:tcPr>
                  <w:tcW w:w="68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auto"/>
                      <w:sz w:val="21"/>
                      <w:szCs w:val="21"/>
                      <w:highlight w:val="none"/>
                      <w:lang w:val="en-US" w:eastAsia="zh-CN"/>
                    </w:rPr>
                    <w:t>噪声治理设施</w:t>
                  </w: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eastAsia" w:eastAsia="宋体"/>
                      <w:szCs w:val="22"/>
                      <w:lang w:val="en-US" w:eastAsia="zh-CN"/>
                    </w:rPr>
                  </w:pPr>
                  <w:r>
                    <w:rPr>
                      <w:rFonts w:hint="default"/>
                      <w:szCs w:val="22"/>
                    </w:rPr>
                    <w:t>施工期选用低噪声施工设备，采取隔声、减振等措施，合理安排施工时间，施工高峰期监测施工噪声</w:t>
                  </w:r>
                  <w:r>
                    <w:rPr>
                      <w:rFonts w:hint="eastAsia"/>
                      <w:szCs w:val="22"/>
                      <w:lang w:eastAsia="zh-CN"/>
                    </w:rPr>
                    <w:t>。</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000000" w:themeColor="text1"/>
                      <w:kern w:val="2"/>
                      <w:sz w:val="21"/>
                      <w:szCs w:val="21"/>
                      <w:highlight w:val="none"/>
                      <w:lang w:val="en-US" w:eastAsia="zh-CN" w:bidi="ar"/>
                      <w14:textFill>
                        <w14:solidFill>
                          <w14:schemeClr w14:val="tx1"/>
                        </w14:solidFill>
                      </w14:textFill>
                    </w:rPr>
                  </w:pPr>
                </w:p>
              </w:tc>
              <w:tc>
                <w:tcPr>
                  <w:tcW w:w="68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废水处理设施</w:t>
                  </w: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eastAsia" w:eastAsia="宋体"/>
                      <w:szCs w:val="22"/>
                      <w:lang w:val="en-US" w:eastAsia="zh-CN"/>
                    </w:rPr>
                  </w:pPr>
                  <w:r>
                    <w:rPr>
                      <w:rFonts w:hint="default"/>
                      <w:szCs w:val="22"/>
                    </w:rPr>
                    <w:t>自建临时化粪池收集，定期用密封罐车</w:t>
                  </w:r>
                  <w:r>
                    <w:rPr>
                      <w:rFonts w:hint="eastAsia"/>
                      <w:szCs w:val="22"/>
                      <w:lang w:eastAsia="zh-CN"/>
                    </w:rPr>
                    <w:t>拉运至彭阳县第二污水处理厂。</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000000" w:themeColor="text1"/>
                      <w:kern w:val="2"/>
                      <w:sz w:val="21"/>
                      <w:szCs w:val="21"/>
                      <w:highlight w:val="none"/>
                      <w:lang w:val="en-US" w:eastAsia="zh-CN" w:bidi="ar"/>
                      <w14:textFill>
                        <w14:solidFill>
                          <w14:schemeClr w14:val="tx1"/>
                        </w14:solidFill>
                      </w14:textFill>
                    </w:rPr>
                  </w:pPr>
                </w:p>
              </w:tc>
              <w:tc>
                <w:tcPr>
                  <w:tcW w:w="68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固废收集设施</w:t>
                  </w: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eastAsia" w:eastAsia="宋体"/>
                      <w:szCs w:val="22"/>
                      <w:lang w:val="en-US" w:eastAsia="zh-CN"/>
                    </w:rPr>
                  </w:pPr>
                  <w:r>
                    <w:rPr>
                      <w:rFonts w:hint="eastAsia"/>
                      <w:szCs w:val="22"/>
                      <w:lang w:val="en-US" w:eastAsia="zh-CN"/>
                    </w:rPr>
                    <w:t>建筑垃圾综合利用，</w:t>
                  </w:r>
                  <w:r>
                    <w:rPr>
                      <w:rFonts w:hint="eastAsia"/>
                      <w:szCs w:val="22"/>
                    </w:rPr>
                    <w:t>剩余部分由转运至本项目建筑垃圾专用处置场</w:t>
                  </w:r>
                  <w:r>
                    <w:rPr>
                      <w:rFonts w:hint="eastAsia"/>
                      <w:szCs w:val="22"/>
                      <w:lang w:eastAsia="zh-CN"/>
                    </w:rPr>
                    <w:t>；</w:t>
                  </w:r>
                  <w:r>
                    <w:rPr>
                      <w:rFonts w:hint="eastAsia"/>
                      <w:szCs w:val="22"/>
                    </w:rPr>
                    <w:t>生活垃圾经临时的生活垃圾收集系统收集后，交由环卫部门处理。</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restar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b/>
                      <w:bCs/>
                      <w:color w:val="000000" w:themeColor="text1"/>
                      <w:kern w:val="2"/>
                      <w:sz w:val="21"/>
                      <w:szCs w:val="21"/>
                      <w:highlight w:val="none"/>
                      <w:lang w:val="en-US" w:eastAsia="zh-CN" w:bidi="ar"/>
                      <w14:textFill>
                        <w14:solidFill>
                          <w14:schemeClr w14:val="tx1"/>
                        </w14:solidFill>
                      </w14:textFill>
                    </w:rPr>
                    <w:t>运</w:t>
                  </w: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营</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期</w:t>
                  </w:r>
                </w:p>
              </w:tc>
              <w:tc>
                <w:tcPr>
                  <w:tcW w:w="688" w:type="pct"/>
                  <w:vMerge w:val="restar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废气处理设施</w:t>
                  </w:r>
                  <w:r>
                    <w:rPr>
                      <w:rFonts w:hint="eastAsia" w:cs="Times New Roman"/>
                      <w:color w:val="000000" w:themeColor="text1"/>
                      <w:sz w:val="21"/>
                      <w:szCs w:val="21"/>
                      <w:highlight w:val="none"/>
                      <w:lang w:val="en-US" w:eastAsia="zh-CN"/>
                      <w14:textFill>
                        <w14:solidFill>
                          <w14:schemeClr w14:val="tx1"/>
                        </w14:solidFill>
                      </w14:textFill>
                    </w:rPr>
                    <w:t xml:space="preserve"> </w:t>
                  </w:r>
                </w:p>
              </w:tc>
              <w:tc>
                <w:tcPr>
                  <w:tcW w:w="778"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jc w:val="center"/>
                    <w:textAlignment w:val="auto"/>
                    <w:rPr>
                      <w:rFonts w:hint="default"/>
                      <w:szCs w:val="22"/>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生产废气</w:t>
                  </w: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default"/>
                      <w:szCs w:val="22"/>
                      <w:lang w:val="en-US" w:eastAsia="zh-CN"/>
                    </w:rPr>
                  </w:pPr>
                  <w:r>
                    <w:rPr>
                      <w:rFonts w:hint="eastAsia" w:cs="Times New Roman"/>
                      <w:color w:val="000000" w:themeColor="text1"/>
                      <w:sz w:val="21"/>
                      <w:szCs w:val="21"/>
                      <w:lang w:val="en-US" w:eastAsia="zh-CN"/>
                      <w14:textFill>
                        <w14:solidFill>
                          <w14:schemeClr w14:val="tx1"/>
                        </w14:solidFill>
                      </w14:textFill>
                    </w:rPr>
                    <w:t>建筑垃圾原料运输卸料阶段</w:t>
                  </w:r>
                </w:p>
              </w:tc>
              <w:tc>
                <w:tcPr>
                  <w:tcW w:w="171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szCs w:val="22"/>
                    </w:rPr>
                    <w:t>建筑</w:t>
                  </w:r>
                  <w:r>
                    <w:rPr>
                      <w:rFonts w:hint="eastAsia"/>
                      <w:szCs w:val="22"/>
                      <w:lang w:val="en-US" w:eastAsia="zh-CN"/>
                    </w:rPr>
                    <w:t>垃圾原料</w:t>
                  </w:r>
                  <w:r>
                    <w:rPr>
                      <w:rFonts w:hint="eastAsia"/>
                      <w:szCs w:val="22"/>
                    </w:rPr>
                    <w:t>卸料环节位于</w:t>
                  </w:r>
                  <w:r>
                    <w:rPr>
                      <w:rFonts w:hint="eastAsia"/>
                      <w:szCs w:val="22"/>
                      <w:lang w:val="en-US" w:eastAsia="zh-CN"/>
                    </w:rPr>
                    <w:t>室外裸露原料堆场上</w:t>
                  </w:r>
                  <w:r>
                    <w:rPr>
                      <w:rFonts w:hint="eastAsia"/>
                      <w:szCs w:val="22"/>
                    </w:rPr>
                    <w:t>，</w:t>
                  </w:r>
                  <w:r>
                    <w:rPr>
                      <w:rFonts w:hint="eastAsia"/>
                      <w:szCs w:val="22"/>
                      <w:lang w:val="en-US" w:eastAsia="zh-CN"/>
                    </w:rPr>
                    <w:t>后转移至卸料仓，</w:t>
                  </w:r>
                  <w:r>
                    <w:rPr>
                      <w:rFonts w:hint="eastAsia"/>
                      <w:szCs w:val="22"/>
                    </w:rPr>
                    <w:t>露天堆放的建筑垃圾应及时遮盖，</w:t>
                  </w:r>
                  <w:r>
                    <w:rPr>
                      <w:rFonts w:hint="eastAsia"/>
                      <w:color w:val="000000" w:themeColor="text1"/>
                      <w:szCs w:val="21"/>
                      <w:highlight w:val="none"/>
                      <w:lang w:val="en-US" w:eastAsia="zh-CN"/>
                      <w14:textFill>
                        <w14:solidFill>
                          <w14:schemeClr w14:val="tx1"/>
                        </w14:solidFill>
                      </w14:textFill>
                    </w:rPr>
                    <w:t>应</w:t>
                  </w:r>
                  <w:r>
                    <w:rPr>
                      <w:rFonts w:hint="eastAsia"/>
                      <w:color w:val="000000" w:themeColor="text1"/>
                      <w:szCs w:val="21"/>
                      <w:highlight w:val="none"/>
                      <w14:textFill>
                        <w14:solidFill>
                          <w14:schemeClr w14:val="tx1"/>
                        </w14:solidFill>
                      </w14:textFill>
                    </w:rPr>
                    <w:t>采取设置防风抑尘网、配备洒水抑尘系统或苫盖等措施</w:t>
                  </w:r>
                  <w:r>
                    <w:rPr>
                      <w:rFonts w:hint="eastAsia"/>
                      <w:color w:val="000000" w:themeColor="text1"/>
                      <w:szCs w:val="21"/>
                      <w:highlight w:val="none"/>
                      <w:lang w:eastAsia="zh-CN"/>
                      <w14:textFill>
                        <w14:solidFill>
                          <w14:schemeClr w14:val="tx1"/>
                        </w14:solidFill>
                      </w14:textFill>
                    </w:rPr>
                    <w:t>。</w:t>
                  </w:r>
                  <w:r>
                    <w:rPr>
                      <w:rFonts w:hint="eastAsia"/>
                      <w:szCs w:val="22"/>
                    </w:rPr>
                    <w:t>堆放区地坪标高应高于周围场地至少0.15米，四周应设置排水沟，满足场地雨水导排要求。</w:t>
                  </w:r>
                  <w:r>
                    <w:rPr>
                      <w:rFonts w:hint="eastAsia"/>
                      <w:szCs w:val="22"/>
                      <w:lang w:val="en-US" w:eastAsia="zh-CN"/>
                    </w:rPr>
                    <w:t>卸料仓</w:t>
                  </w:r>
                  <w:r>
                    <w:rPr>
                      <w:rFonts w:hint="eastAsia"/>
                      <w:color w:val="000000" w:themeColor="text1"/>
                      <w:szCs w:val="21"/>
                      <w:lang w:val="en-US" w:eastAsia="zh-CN"/>
                      <w14:textFill>
                        <w14:solidFill>
                          <w14:schemeClr w14:val="tx1"/>
                        </w14:solidFill>
                      </w14:textFill>
                    </w:rPr>
                    <w:t>采用</w:t>
                  </w:r>
                  <w:r>
                    <w:rPr>
                      <w:rFonts w:hint="default"/>
                      <w:color w:val="000000" w:themeColor="text1"/>
                      <w:szCs w:val="21"/>
                      <w14:textFill>
                        <w14:solidFill>
                          <w14:schemeClr w14:val="tx1"/>
                        </w14:solidFill>
                      </w14:textFill>
                    </w:rPr>
                    <w:t>防尘网罩盖，避免扬尘飞起</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道路两旁设置4台</w:t>
                  </w:r>
                  <w:r>
                    <w:rPr>
                      <w:rFonts w:hint="default"/>
                      <w:szCs w:val="22"/>
                    </w:rPr>
                    <w:t>雾炮环保系统降尘</w:t>
                  </w:r>
                  <w:r>
                    <w:rPr>
                      <w:rFonts w:hint="eastAsia"/>
                      <w:szCs w:val="22"/>
                      <w:lang w:eastAsia="zh-CN"/>
                    </w:rPr>
                    <w:t>。</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szCs w:val="22"/>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szCs w:val="22"/>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szCs w:val="22"/>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default"/>
                      <w:szCs w:val="22"/>
                      <w:lang w:val="en-US" w:eastAsia="zh-CN"/>
                    </w:rPr>
                  </w:pPr>
                  <w:r>
                    <w:rPr>
                      <w:rFonts w:hint="eastAsia" w:cs="Times New Roman"/>
                      <w:color w:val="000000" w:themeColor="text1"/>
                      <w:sz w:val="21"/>
                      <w:szCs w:val="21"/>
                      <w:lang w:val="en-US" w:eastAsia="zh-CN"/>
                      <w14:textFill>
                        <w14:solidFill>
                          <w14:schemeClr w14:val="tx1"/>
                        </w14:solidFill>
                      </w14:textFill>
                    </w:rPr>
                    <w:t>建筑垃圾再生骨料装卸阶段</w:t>
                  </w:r>
                </w:p>
              </w:tc>
              <w:tc>
                <w:tcPr>
                  <w:tcW w:w="171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leftChars="0" w:right="0" w:rightChars="0"/>
                    <w:textAlignment w:val="auto"/>
                    <w:rPr>
                      <w:rFonts w:hint="default"/>
                      <w:szCs w:val="22"/>
                      <w:lang w:val="en-US" w:eastAsia="zh-CN"/>
                    </w:rPr>
                  </w:pPr>
                  <w:r>
                    <w:rPr>
                      <w:rFonts w:hint="eastAsia"/>
                      <w:szCs w:val="22"/>
                      <w:lang w:val="en-US" w:eastAsia="zh-CN"/>
                    </w:rPr>
                    <w:t>经风选过后较为清洁的建筑垃圾再生骨料</w:t>
                  </w:r>
                  <w:r>
                    <w:rPr>
                      <w:rFonts w:hint="eastAsia" w:cs="Times New Roman"/>
                      <w:color w:val="000000" w:themeColor="text1"/>
                      <w:szCs w:val="21"/>
                      <w:highlight w:val="none"/>
                      <w:lang w:val="en-US" w:eastAsia="zh-CN"/>
                      <w14:textFill>
                        <w14:solidFill>
                          <w14:schemeClr w14:val="tx1"/>
                        </w14:solidFill>
                      </w14:textFill>
                    </w:rPr>
                    <w:t>经筛分后分别贮存于各混合骨料暂存间内</w:t>
                  </w:r>
                  <w:r>
                    <w:rPr>
                      <w:rFonts w:hint="eastAsia"/>
                      <w:szCs w:val="22"/>
                      <w:lang w:val="en-US" w:eastAsia="zh-CN"/>
                    </w:rPr>
                    <w:t>，采用编制覆盖和洒水的方式抑尘，需要时拉运至再生产品堆场。</w:t>
                  </w:r>
                </w:p>
              </w:tc>
              <w:tc>
                <w:tcPr>
                  <w:tcW w:w="60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jc w:val="center"/>
                    <w:textAlignment w:val="auto"/>
                    <w:rPr>
                      <w:rFonts w:hint="default"/>
                      <w:szCs w:val="22"/>
                      <w:lang w:val="en-US" w:eastAsia="zh-CN"/>
                    </w:rPr>
                  </w:pPr>
                  <w:r>
                    <w:rPr>
                      <w:rFonts w:hint="eastAsia"/>
                      <w:szCs w:val="22"/>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default"/>
                      <w:szCs w:val="22"/>
                      <w:lang w:val="en-US" w:eastAsia="zh-CN"/>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未收集到的粉尘</w:t>
                  </w:r>
                </w:p>
              </w:tc>
              <w:tc>
                <w:tcPr>
                  <w:tcW w:w="1713" w:type="pct"/>
                  <w:tcBorders>
                    <w:tl2br w:val="nil"/>
                    <w:tr2bl w:val="nil"/>
                  </w:tcBorders>
                  <w:shd w:val="clear" w:color="auto" w:fill="auto"/>
                  <w:noWrap/>
                  <w:vAlign w:val="center"/>
                </w:tcPr>
                <w:p>
                  <w:pPr>
                    <w:pStyle w:val="6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textAlignment w:val="auto"/>
                    <w:rPr>
                      <w:rFonts w:hint="default"/>
                      <w:szCs w:val="22"/>
                      <w:lang w:val="en-US" w:eastAsia="zh-CN"/>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未收集到的粉尘通过加强厂房封闭，厂房</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设置</w:t>
                  </w:r>
                  <w:r>
                    <w:rPr>
                      <w:rFonts w:hint="eastAsia" w:eastAsia="宋体" w:cs="Times New Roman"/>
                      <w:color w:val="000000" w:themeColor="text1"/>
                      <w:kern w:val="2"/>
                      <w:sz w:val="21"/>
                      <w:szCs w:val="21"/>
                      <w:highlight w:val="none"/>
                      <w:lang w:val="en-US" w:eastAsia="zh-CN" w:bidi="ar-SA"/>
                      <w14:textFill>
                        <w14:solidFill>
                          <w14:schemeClr w14:val="tx1"/>
                        </w14:solidFill>
                      </w14:textFill>
                    </w:rPr>
                    <w:t>4台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活性干雾机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，从而有效降低粉尘排放</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600"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jc w:val="center"/>
                    <w:textAlignment w:val="auto"/>
                    <w:rPr>
                      <w:rFonts w:hint="default"/>
                      <w:szCs w:val="22"/>
                      <w:lang w:val="en-US" w:eastAsia="zh-CN"/>
                    </w:rPr>
                  </w:pPr>
                  <w:r>
                    <w:rPr>
                      <w:rFonts w:hint="eastAsia"/>
                      <w:szCs w:val="22"/>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default"/>
                      <w:szCs w:val="22"/>
                      <w:lang w:val="en-US" w:eastAsia="zh-CN"/>
                    </w:rPr>
                  </w:pPr>
                  <w:r>
                    <w:rPr>
                      <w:rFonts w:hint="eastAsia"/>
                      <w:color w:val="000000" w:themeColor="text1"/>
                      <w:szCs w:val="21"/>
                      <w:lang w:val="en-US" w:eastAsia="zh-CN"/>
                      <w14:textFill>
                        <w14:solidFill>
                          <w14:schemeClr w14:val="tx1"/>
                        </w14:solidFill>
                      </w14:textFill>
                    </w:rPr>
                    <w:t>颚式破碎机破碎环节</w:t>
                  </w:r>
                </w:p>
              </w:tc>
              <w:tc>
                <w:tcPr>
                  <w:tcW w:w="171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eastAsia" w:eastAsia="宋体"/>
                      <w:szCs w:val="22"/>
                      <w:lang w:val="en-US" w:eastAsia="zh-CN"/>
                    </w:rPr>
                  </w:pPr>
                  <w:r>
                    <w:rPr>
                      <w:rFonts w:hint="eastAsia"/>
                      <w:szCs w:val="22"/>
                    </w:rPr>
                    <w:t>设置1</w:t>
                  </w:r>
                  <w:r>
                    <w:rPr>
                      <w:rFonts w:hint="eastAsia"/>
                      <w:szCs w:val="22"/>
                      <w:lang w:val="en-US" w:eastAsia="zh-CN"/>
                    </w:rPr>
                    <w:t>套</w:t>
                  </w:r>
                  <w:r>
                    <w:rPr>
                      <w:rFonts w:hint="eastAsia"/>
                      <w:szCs w:val="22"/>
                    </w:rPr>
                    <w:t>集气罩</w:t>
                  </w:r>
                  <w:r>
                    <w:rPr>
                      <w:rFonts w:hint="eastAsia"/>
                      <w:szCs w:val="22"/>
                      <w:lang w:eastAsia="zh-CN"/>
                    </w:rPr>
                    <w:t>，</w:t>
                  </w:r>
                  <w:r>
                    <w:rPr>
                      <w:rFonts w:hint="eastAsia" w:cs="Times New Roman"/>
                      <w:color w:val="000000" w:themeColor="text1"/>
                      <w:szCs w:val="22"/>
                      <w:lang w:val="en-US" w:eastAsia="zh-CN"/>
                      <w14:textFill>
                        <w14:solidFill>
                          <w14:schemeClr w14:val="tx1"/>
                        </w14:solidFill>
                      </w14:textFill>
                    </w:rPr>
                    <w:t>通过“负压收集+1套布袋除尘器+15m高排气筒（DA001）”处理</w:t>
                  </w:r>
                </w:p>
              </w:tc>
              <w:tc>
                <w:tcPr>
                  <w:tcW w:w="600"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jc w:val="center"/>
                    <w:textAlignment w:val="auto"/>
                    <w:rPr>
                      <w:rFonts w:hint="default"/>
                      <w:szCs w:val="22"/>
                      <w:lang w:val="en-US" w:eastAsia="zh-CN"/>
                    </w:rPr>
                  </w:pPr>
                  <w:r>
                    <w:rPr>
                      <w:rFonts w:hint="eastAsia"/>
                      <w:szCs w:val="22"/>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eastAsia"/>
                      <w:szCs w:val="22"/>
                      <w:lang w:val="en-US" w:eastAsia="zh-CN"/>
                    </w:rPr>
                  </w:pPr>
                  <w:r>
                    <w:rPr>
                      <w:rFonts w:hint="eastAsia" w:cs="Times New Roman"/>
                      <w:color w:val="000000" w:themeColor="text1"/>
                      <w:sz w:val="21"/>
                      <w:szCs w:val="21"/>
                      <w:lang w:val="en-US" w:eastAsia="zh-CN"/>
                      <w14:textFill>
                        <w14:solidFill>
                          <w14:schemeClr w14:val="tx1"/>
                        </w14:solidFill>
                      </w14:textFill>
                    </w:rPr>
                    <w:t>风选机风选</w:t>
                  </w:r>
                  <w:r>
                    <w:rPr>
                      <w:rFonts w:hint="eastAsia"/>
                      <w:color w:val="000000" w:themeColor="text1"/>
                      <w:szCs w:val="21"/>
                      <w:lang w:val="en-US" w:eastAsia="zh-CN"/>
                      <w14:textFill>
                        <w14:solidFill>
                          <w14:schemeClr w14:val="tx1"/>
                        </w14:solidFill>
                      </w14:textFill>
                    </w:rPr>
                    <w:t>环节</w:t>
                  </w:r>
                </w:p>
              </w:tc>
              <w:tc>
                <w:tcPr>
                  <w:tcW w:w="171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eastAsia"/>
                      <w:szCs w:val="22"/>
                    </w:rPr>
                  </w:pPr>
                  <w:r>
                    <w:rPr>
                      <w:rFonts w:hint="eastAsia"/>
                      <w:szCs w:val="22"/>
                    </w:rPr>
                    <w:t>设置1</w:t>
                  </w:r>
                  <w:r>
                    <w:rPr>
                      <w:rFonts w:hint="eastAsia"/>
                      <w:szCs w:val="22"/>
                      <w:lang w:val="en-US" w:eastAsia="zh-CN"/>
                    </w:rPr>
                    <w:t>套</w:t>
                  </w:r>
                  <w:r>
                    <w:rPr>
                      <w:rFonts w:hint="eastAsia"/>
                      <w:szCs w:val="22"/>
                    </w:rPr>
                    <w:t>集气罩</w:t>
                  </w:r>
                  <w:r>
                    <w:rPr>
                      <w:rFonts w:hint="eastAsia"/>
                      <w:szCs w:val="22"/>
                      <w:lang w:eastAsia="zh-CN"/>
                    </w:rPr>
                    <w:t>，</w:t>
                  </w:r>
                  <w:r>
                    <w:rPr>
                      <w:rFonts w:hint="eastAsia" w:cs="Times New Roman"/>
                      <w:color w:val="000000" w:themeColor="text1"/>
                      <w:szCs w:val="22"/>
                      <w:lang w:val="en-US" w:eastAsia="zh-CN"/>
                      <w14:textFill>
                        <w14:solidFill>
                          <w14:schemeClr w14:val="tx1"/>
                        </w14:solidFill>
                      </w14:textFill>
                    </w:rPr>
                    <w:t>通过“负压收集+1套布袋除尘器+15m高排气筒（DA002）”处理</w:t>
                  </w:r>
                </w:p>
              </w:tc>
              <w:tc>
                <w:tcPr>
                  <w:tcW w:w="600"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再生混凝土制品生产线</w:t>
                  </w:r>
                  <w:r>
                    <w:rPr>
                      <w:rFonts w:hint="eastAsia" w:cs="Times New Roman"/>
                      <w:b w:val="0"/>
                      <w:bCs w:val="0"/>
                      <w:color w:val="000000" w:themeColor="text1"/>
                      <w:szCs w:val="21"/>
                      <w:highlight w:val="none"/>
                      <w:lang w:val="en-US" w:eastAsia="zh-CN"/>
                      <w14:textFill>
                        <w14:solidFill>
                          <w14:schemeClr w14:val="tx1"/>
                        </w14:solidFill>
                      </w14:textFill>
                    </w:rPr>
                    <w:t>粉料筒仓罐输送阶段</w:t>
                  </w:r>
                </w:p>
              </w:tc>
              <w:tc>
                <w:tcPr>
                  <w:tcW w:w="1713" w:type="pct"/>
                  <w:vMerge w:val="restart"/>
                  <w:tcBorders>
                    <w:tl2br w:val="nil"/>
                    <w:tr2bl w:val="nil"/>
                  </w:tcBorders>
                  <w:shd w:val="clear" w:color="auto" w:fill="auto"/>
                  <w:noWrap/>
                  <w:vAlign w:val="center"/>
                </w:tcPr>
                <w:p>
                  <w:pPr>
                    <w:pStyle w:val="36"/>
                    <w:keepNext w:val="0"/>
                    <w:keepLines w:val="0"/>
                    <w:suppressLineNumbers w:val="0"/>
                    <w:spacing w:before="0" w:beforeAutospacing="0" w:afterAutospacing="0" w:line="240" w:lineRule="auto"/>
                    <w:ind w:left="0" w:leftChars="0" w:right="0" w:rightChars="0" w:firstLine="0" w:firstLineChars="0"/>
                    <w:rPr>
                      <w:rFonts w:hint="eastAsia"/>
                      <w:szCs w:val="22"/>
                    </w:rPr>
                  </w:pPr>
                  <w:r>
                    <w:rPr>
                      <w:rFonts w:hint="eastAsia"/>
                      <w:b w:val="0"/>
                      <w:bCs w:val="0"/>
                      <w:szCs w:val="22"/>
                    </w:rPr>
                    <w:t>每个粉料筒仓罐排气孔处均安装有布袋除尘器</w:t>
                  </w:r>
                  <w:r>
                    <w:rPr>
                      <w:rFonts w:hint="eastAsia"/>
                      <w:b w:val="0"/>
                      <w:bCs w:val="0"/>
                      <w:szCs w:val="22"/>
                      <w:lang w:eastAsia="zh-CN"/>
                    </w:rPr>
                    <w:t>，</w:t>
                  </w:r>
                  <w:r>
                    <w:rPr>
                      <w:rFonts w:hint="eastAsia"/>
                      <w:b w:val="0"/>
                      <w:bCs w:val="0"/>
                      <w:szCs w:val="22"/>
                    </w:rPr>
                    <w:t>在往粉料筒仓罐中输送时，产生的粉尘经粉料筒仓罐罐顶的布袋除尘器处理</w:t>
                  </w:r>
                  <w:r>
                    <w:rPr>
                      <w:rFonts w:hint="eastAsia"/>
                      <w:b w:val="0"/>
                      <w:bCs w:val="0"/>
                      <w:szCs w:val="22"/>
                      <w:lang w:val="en-US" w:eastAsia="zh-CN"/>
                    </w:rPr>
                    <w:t>后，</w:t>
                  </w:r>
                  <w:r>
                    <w:rPr>
                      <w:rFonts w:hint="eastAsia" w:ascii="Times New Roman" w:hAnsi="Times New Roman" w:eastAsia="宋体" w:cs="Times New Roman"/>
                      <w:b w:val="0"/>
                      <w:bCs w:val="0"/>
                      <w:snapToGrid/>
                      <w:kern w:val="2"/>
                      <w:sz w:val="21"/>
                      <w:szCs w:val="22"/>
                    </w:rPr>
                    <w:t>通过</w:t>
                  </w:r>
                  <w:r>
                    <w:rPr>
                      <w:rFonts w:hint="eastAsia" w:eastAsia="宋体" w:cs="Times New Roman"/>
                      <w:b w:val="0"/>
                      <w:bCs w:val="0"/>
                      <w:kern w:val="2"/>
                      <w:sz w:val="21"/>
                      <w:szCs w:val="22"/>
                      <w:lang w:val="en-US" w:eastAsia="zh-CN" w:bidi="ar-SA"/>
                    </w:rPr>
                    <w:t>粉料筒仓罐</w:t>
                  </w:r>
                  <w:r>
                    <w:rPr>
                      <w:rFonts w:hint="eastAsia" w:ascii="Times New Roman" w:hAnsi="Times New Roman" w:eastAsia="宋体" w:cs="Times New Roman"/>
                      <w:b w:val="0"/>
                      <w:bCs w:val="0"/>
                      <w:snapToGrid/>
                      <w:kern w:val="2"/>
                      <w:sz w:val="21"/>
                      <w:szCs w:val="22"/>
                    </w:rPr>
                    <w:t>呼吸口排出，属于无组织排放。</w:t>
                  </w:r>
                </w:p>
              </w:tc>
              <w:tc>
                <w:tcPr>
                  <w:tcW w:w="600"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水稳料生产线</w:t>
                  </w:r>
                  <w:r>
                    <w:rPr>
                      <w:rFonts w:hint="eastAsia" w:cs="Times New Roman"/>
                      <w:b w:val="0"/>
                      <w:bCs w:val="0"/>
                      <w:color w:val="000000" w:themeColor="text1"/>
                      <w:szCs w:val="21"/>
                      <w:highlight w:val="none"/>
                      <w:lang w:val="en-US" w:eastAsia="zh-CN"/>
                      <w14:textFill>
                        <w14:solidFill>
                          <w14:schemeClr w14:val="tx1"/>
                        </w14:solidFill>
                      </w14:textFill>
                    </w:rPr>
                    <w:t>粉料筒仓罐输送阶段</w:t>
                  </w:r>
                </w:p>
              </w:tc>
              <w:tc>
                <w:tcPr>
                  <w:tcW w:w="171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rPr>
                      <w:rFonts w:hint="eastAsia"/>
                      <w:szCs w:val="22"/>
                    </w:rPr>
                  </w:pPr>
                </w:p>
              </w:tc>
              <w:tc>
                <w:tcPr>
                  <w:tcW w:w="600"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szCs w:val="22"/>
                      <w:lang w:val="en-US" w:eastAsia="zh-CN"/>
                    </w:rPr>
                  </w:pPr>
                  <w:r>
                    <w:rPr>
                      <w:rFonts w:hint="eastAsia" w:cs="Times New Roman"/>
                      <w:color w:val="000000" w:themeColor="text1"/>
                      <w:sz w:val="21"/>
                      <w:szCs w:val="21"/>
                      <w:lang w:val="en-US" w:eastAsia="zh-CN"/>
                      <w14:textFill>
                        <w14:solidFill>
                          <w14:schemeClr w14:val="tx1"/>
                        </w14:solidFill>
                      </w14:textFill>
                    </w:rPr>
                    <w:t>再生混凝土制品生产线搅拌阶段</w:t>
                  </w:r>
                </w:p>
              </w:tc>
              <w:tc>
                <w:tcPr>
                  <w:tcW w:w="1713"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firstLine="0" w:firstLineChars="0"/>
                    <w:textAlignment w:val="auto"/>
                    <w:rPr>
                      <w:rFonts w:hint="eastAsia"/>
                      <w:szCs w:val="22"/>
                    </w:rPr>
                  </w:pPr>
                  <w:r>
                    <w:rPr>
                      <w:rFonts w:hint="eastAsia" w:cs="Times New Roman"/>
                      <w:b w:val="0"/>
                      <w:bCs w:val="0"/>
                      <w:kern w:val="2"/>
                      <w:sz w:val="21"/>
                      <w:szCs w:val="22"/>
                      <w:lang w:val="en-US" w:eastAsia="zh-CN" w:bidi="ar-SA"/>
                    </w:rPr>
                    <w:t>本项目采用全密闭搅拌，每台</w:t>
                  </w:r>
                  <w:r>
                    <w:rPr>
                      <w:rFonts w:hint="eastAsia"/>
                      <w:szCs w:val="22"/>
                    </w:rPr>
                    <w:t>搅拌机</w:t>
                  </w:r>
                  <w:r>
                    <w:rPr>
                      <w:rFonts w:hint="eastAsia"/>
                      <w:szCs w:val="22"/>
                      <w:lang w:val="en-US" w:eastAsia="zh-CN"/>
                    </w:rPr>
                    <w:t>分别</w:t>
                  </w:r>
                  <w:r>
                    <w:rPr>
                      <w:rFonts w:hint="eastAsia"/>
                      <w:szCs w:val="22"/>
                    </w:rPr>
                    <w:t>配置脉冲布袋除尘器，搅拌过程中在搅拌装置处设置管道，通过管道将粉尘引入配套的1套脉冲布袋除尘器（除尘效率99.7%）内进行除尘处理</w:t>
                  </w:r>
                  <w:r>
                    <w:rPr>
                      <w:rFonts w:hint="eastAsia"/>
                      <w:szCs w:val="22"/>
                      <w:lang w:eastAsia="zh-CN"/>
                    </w:rPr>
                    <w:t>，</w:t>
                  </w:r>
                  <w:r>
                    <w:rPr>
                      <w:rFonts w:hint="eastAsia"/>
                      <w:szCs w:val="22"/>
                    </w:rPr>
                    <w:t>搅拌机产生的</w:t>
                  </w:r>
                  <w:r>
                    <w:rPr>
                      <w:rFonts w:hint="eastAsia"/>
                      <w:szCs w:val="22"/>
                      <w:lang w:val="en-US" w:eastAsia="zh-CN"/>
                    </w:rPr>
                    <w:t>落料</w:t>
                  </w:r>
                  <w:r>
                    <w:rPr>
                      <w:rFonts w:hint="eastAsia"/>
                      <w:szCs w:val="22"/>
                    </w:rPr>
                    <w:t>粉尘属于无组织排放。</w:t>
                  </w:r>
                </w:p>
              </w:tc>
              <w:tc>
                <w:tcPr>
                  <w:tcW w:w="600"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778"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c>
                <w:tcPr>
                  <w:tcW w:w="68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水稳料生产线搅拌阶段</w:t>
                  </w:r>
                </w:p>
              </w:tc>
              <w:tc>
                <w:tcPr>
                  <w:tcW w:w="1713"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eastAsia"/>
                      <w:szCs w:val="22"/>
                    </w:rPr>
                  </w:pPr>
                </w:p>
              </w:tc>
              <w:tc>
                <w:tcPr>
                  <w:tcW w:w="600" w:type="pct"/>
                  <w:vMerge w:val="continue"/>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50" w:lineRule="exact"/>
                    <w:ind w:left="0" w:right="0"/>
                    <w:textAlignment w:val="auto"/>
                    <w:rPr>
                      <w:rFonts w:hint="default"/>
                      <w:szCs w:val="2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FF0000"/>
                      <w:sz w:val="21"/>
                      <w:szCs w:val="21"/>
                      <w:highlight w:val="none"/>
                      <w:lang w:val="en-US"/>
                    </w:rPr>
                  </w:pPr>
                </w:p>
              </w:tc>
              <w:tc>
                <w:tcPr>
                  <w:tcW w:w="68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噪声治理设施</w:t>
                  </w: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低噪声生产设备，采取隔声、减振等综合降噪措施</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4"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FF0000"/>
                      <w:sz w:val="21"/>
                      <w:szCs w:val="21"/>
                      <w:highlight w:val="none"/>
                      <w:lang w:val="en-US"/>
                    </w:rPr>
                  </w:pPr>
                </w:p>
              </w:tc>
              <w:tc>
                <w:tcPr>
                  <w:tcW w:w="688" w:type="pct"/>
                  <w:vMerge w:val="restar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废水处理设施</w:t>
                  </w: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firstLine="420" w:firstLineChars="200"/>
                    <w:jc w:val="both"/>
                    <w:textAlignment w:val="auto"/>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生产废水：1座</w:t>
                  </w:r>
                  <w:r>
                    <w:rPr>
                      <w:rFonts w:hint="eastAsia" w:cs="Times New Roman"/>
                      <w:bCs/>
                      <w:color w:val="000000" w:themeColor="text1"/>
                      <w:kern w:val="2"/>
                      <w:sz w:val="21"/>
                      <w:szCs w:val="21"/>
                      <w:highlight w:val="none"/>
                      <w:lang w:val="en-US" w:eastAsia="zh-CN" w:bidi="ar"/>
                      <w14:textFill>
                        <w14:solidFill>
                          <w14:schemeClr w14:val="tx1"/>
                        </w14:solidFill>
                      </w14:textFill>
                    </w:rPr>
                    <w:t>30</w:t>
                  </w: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m</w:t>
                  </w:r>
                  <w:r>
                    <w:rPr>
                      <w:rFonts w:hint="default" w:ascii="Times New Roman" w:hAnsi="Times New Roman" w:cs="Times New Roman"/>
                      <w:bCs/>
                      <w:color w:val="000000" w:themeColor="text1"/>
                      <w:kern w:val="2"/>
                      <w:sz w:val="21"/>
                      <w:szCs w:val="21"/>
                      <w:highlight w:val="none"/>
                      <w:vertAlign w:val="superscript"/>
                      <w:lang w:val="en-US" w:eastAsia="zh-CN" w:bidi="ar"/>
                      <w14:textFill>
                        <w14:solidFill>
                          <w14:schemeClr w14:val="tx1"/>
                        </w14:solidFill>
                      </w14:textFill>
                    </w:rPr>
                    <w:t>3</w:t>
                  </w:r>
                  <w:r>
                    <w:rPr>
                      <w:rFonts w:hint="eastAsia" w:cs="Times New Roman"/>
                      <w:bCs/>
                      <w:color w:val="000000" w:themeColor="text1"/>
                      <w:kern w:val="2"/>
                      <w:sz w:val="21"/>
                      <w:szCs w:val="21"/>
                      <w:highlight w:val="none"/>
                      <w:lang w:val="en-US" w:eastAsia="zh-CN" w:bidi="ar"/>
                      <w14:textFill>
                        <w14:solidFill>
                          <w14:schemeClr w14:val="tx1"/>
                        </w14:solidFill>
                      </w14:textFill>
                    </w:rPr>
                    <w:t>生产废水收集沉淀池</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FF0000"/>
                      <w:sz w:val="21"/>
                      <w:szCs w:val="21"/>
                      <w:highlight w:val="none"/>
                      <w:lang w:val="en-US"/>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rFonts w:hint="default" w:ascii="Times New Roman" w:hAnsi="Times New Roman" w:eastAsia="宋体" w:cs="Times New Roman"/>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生活污水：化粪池（</w:t>
                  </w:r>
                  <w:r>
                    <w:rPr>
                      <w:rFonts w:hint="eastAsia" w:cs="Times New Roman"/>
                      <w:bCs/>
                      <w:color w:val="000000" w:themeColor="text1"/>
                      <w:kern w:val="2"/>
                      <w:sz w:val="21"/>
                      <w:szCs w:val="21"/>
                      <w:highlight w:val="none"/>
                      <w:lang w:val="en-US" w:eastAsia="zh-CN" w:bidi="ar"/>
                      <w14:textFill>
                        <w14:solidFill>
                          <w14:schemeClr w14:val="tx1"/>
                        </w14:solidFill>
                      </w14:textFill>
                    </w:rPr>
                    <w:t>2</w:t>
                  </w: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座</w:t>
                  </w:r>
                  <w:r>
                    <w:rPr>
                      <w:rFonts w:hint="eastAsia" w:cs="Times New Roman"/>
                      <w:bCs/>
                      <w:color w:val="000000" w:themeColor="text1"/>
                      <w:kern w:val="2"/>
                      <w:sz w:val="21"/>
                      <w:szCs w:val="21"/>
                      <w:highlight w:val="none"/>
                      <w:lang w:val="en-US" w:eastAsia="zh-CN" w:bidi="ar"/>
                      <w14:textFill>
                        <w14:solidFill>
                          <w14:schemeClr w14:val="tx1"/>
                        </w14:solidFill>
                      </w14:textFill>
                    </w:rPr>
                    <w:t>，室外20</w:t>
                  </w: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m</w:t>
                  </w:r>
                  <w:r>
                    <w:rPr>
                      <w:rFonts w:hint="default" w:ascii="Times New Roman" w:hAnsi="Times New Roman" w:cs="Times New Roman"/>
                      <w:bCs/>
                      <w:color w:val="000000" w:themeColor="text1"/>
                      <w:kern w:val="2"/>
                      <w:sz w:val="21"/>
                      <w:szCs w:val="21"/>
                      <w:highlight w:val="none"/>
                      <w:vertAlign w:val="superscript"/>
                      <w:lang w:val="en-US" w:eastAsia="zh-CN" w:bidi="ar"/>
                      <w14:textFill>
                        <w14:solidFill>
                          <w14:schemeClr w14:val="tx1"/>
                        </w14:solidFill>
                      </w14:textFill>
                    </w:rPr>
                    <w:t>3</w:t>
                  </w:r>
                  <w:r>
                    <w:rPr>
                      <w:rFonts w:hint="eastAsia" w:cs="Times New Roman"/>
                      <w:bCs/>
                      <w:color w:val="000000" w:themeColor="text1"/>
                      <w:kern w:val="2"/>
                      <w:sz w:val="21"/>
                      <w:szCs w:val="21"/>
                      <w:highlight w:val="none"/>
                      <w:vertAlign w:val="baseline"/>
                      <w:lang w:val="en-US" w:eastAsia="zh-CN" w:bidi="ar"/>
                      <w14:textFill>
                        <w14:solidFill>
                          <w14:schemeClr w14:val="tx1"/>
                        </w14:solidFill>
                      </w14:textFill>
                    </w:rPr>
                    <w:t>，室内12</w:t>
                  </w: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m</w:t>
                  </w:r>
                  <w:r>
                    <w:rPr>
                      <w:rFonts w:hint="default" w:ascii="Times New Roman" w:hAnsi="Times New Roman" w:cs="Times New Roman"/>
                      <w:bCs/>
                      <w:color w:val="000000" w:themeColor="text1"/>
                      <w:kern w:val="2"/>
                      <w:sz w:val="21"/>
                      <w:szCs w:val="21"/>
                      <w:highlight w:val="none"/>
                      <w:vertAlign w:val="superscript"/>
                      <w:lang w:val="en-US" w:eastAsia="zh-CN" w:bidi="ar"/>
                      <w14:textFill>
                        <w14:solidFill>
                          <w14:schemeClr w14:val="tx1"/>
                        </w14:solidFill>
                      </w14:textFill>
                    </w:rPr>
                    <w:t>3</w:t>
                  </w: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FF0000"/>
                      <w:sz w:val="21"/>
                      <w:szCs w:val="21"/>
                      <w:highlight w:val="none"/>
                      <w:lang w:val="en-US"/>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176" w:type="pct"/>
                  <w:gridSpan w:val="3"/>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pPr>
                  <w:r>
                    <w:rPr>
                      <w:rFonts w:hint="eastAsia" w:cs="Times New Roman"/>
                      <w:bCs/>
                      <w:color w:val="000000" w:themeColor="text1"/>
                      <w:kern w:val="2"/>
                      <w:sz w:val="21"/>
                      <w:szCs w:val="21"/>
                      <w:highlight w:val="none"/>
                      <w:lang w:val="en-US" w:eastAsia="zh-CN" w:bidi="ar"/>
                      <w14:textFill>
                        <w14:solidFill>
                          <w14:schemeClr w14:val="tx1"/>
                        </w14:solidFill>
                      </w14:textFill>
                    </w:rPr>
                    <w:t>车辆冲洗用水：</w:t>
                  </w:r>
                  <w:r>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t>1座</w:t>
                  </w:r>
                  <w:r>
                    <w:rPr>
                      <w:rFonts w:hint="eastAsia" w:cs="Times New Roman"/>
                      <w:bCs/>
                      <w:color w:val="000000" w:themeColor="text1"/>
                      <w:kern w:val="2"/>
                      <w:sz w:val="21"/>
                      <w:szCs w:val="21"/>
                      <w:highlight w:val="none"/>
                      <w:lang w:val="en-US" w:eastAsia="zh-CN" w:bidi="ar"/>
                      <w14:textFill>
                        <w14:solidFill>
                          <w14:schemeClr w14:val="tx1"/>
                        </w14:solidFill>
                      </w14:textFill>
                    </w:rPr>
                    <w:t>车辆冲洗台</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jc w:val="center"/>
                    <w:textAlignment w:val="auto"/>
                    <w:rPr>
                      <w:rFonts w:hint="default"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FF0000"/>
                      <w:sz w:val="21"/>
                      <w:szCs w:val="21"/>
                      <w:highlight w:val="none"/>
                      <w:lang w:val="en-US"/>
                    </w:rPr>
                  </w:pPr>
                </w:p>
              </w:tc>
              <w:tc>
                <w:tcPr>
                  <w:tcW w:w="688" w:type="pct"/>
                  <w:vMerge w:val="restar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固废收集设施</w:t>
                  </w:r>
                </w:p>
              </w:tc>
              <w:tc>
                <w:tcPr>
                  <w:tcW w:w="77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pPr>
                  <w:r>
                    <w:rPr>
                      <w:rFonts w:hint="eastAsia" w:cs="Times New Roman"/>
                      <w:bCs/>
                      <w:color w:val="000000" w:themeColor="text1"/>
                      <w:kern w:val="2"/>
                      <w:sz w:val="21"/>
                      <w:szCs w:val="21"/>
                      <w:highlight w:val="none"/>
                      <w:lang w:val="en-US" w:eastAsia="zh-CN" w:bidi="ar"/>
                      <w14:textFill>
                        <w14:solidFill>
                          <w14:schemeClr w14:val="tx1"/>
                        </w14:solidFill>
                      </w14:textFill>
                    </w:rPr>
                    <w:t>生活垃圾</w:t>
                  </w:r>
                </w:p>
              </w:tc>
              <w:tc>
                <w:tcPr>
                  <w:tcW w:w="2398" w:type="pct"/>
                  <w:gridSpan w:val="2"/>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both"/>
                    <w:textAlignment w:val="auto"/>
                    <w:rPr>
                      <w:rFonts w:hint="default" w:ascii="Times New Roman" w:hAnsi="Times New Roman" w:cs="Times New Roman"/>
                      <w:bCs/>
                      <w:color w:val="000000" w:themeColor="text1"/>
                      <w:kern w:val="2"/>
                      <w:sz w:val="21"/>
                      <w:szCs w:val="21"/>
                      <w:highlight w:val="none"/>
                      <w:lang w:val="en-US" w:eastAsia="zh-CN" w:bidi="ar"/>
                      <w14:textFill>
                        <w14:solidFill>
                          <w14:schemeClr w14:val="tx1"/>
                        </w14:solidFill>
                      </w14:textFill>
                    </w:rPr>
                  </w:pPr>
                  <w:r>
                    <w:rPr>
                      <w:rFonts w:hint="default"/>
                      <w:bCs/>
                      <w:color w:val="000000" w:themeColor="text1"/>
                      <w:szCs w:val="21"/>
                      <w:highlight w:val="none"/>
                      <w:lang w:bidi="ar"/>
                      <w14:textFill>
                        <w14:solidFill>
                          <w14:schemeClr w14:val="tx1"/>
                        </w14:solidFill>
                      </w14:textFill>
                    </w:rPr>
                    <w:t>本项目生活垃圾利用厂区现有垃圾箱收集，生活垃圾集中收集后交由环卫部门统一处置。</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jc w:val="center"/>
                    <w:textAlignment w:val="auto"/>
                    <w:rPr>
                      <w:rFonts w:hint="default"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77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default" w:eastAsia="宋体"/>
                      <w:szCs w:val="22"/>
                      <w:lang w:val="en-US" w:eastAsia="zh-CN"/>
                    </w:rPr>
                  </w:pPr>
                  <w:r>
                    <w:rPr>
                      <w:rFonts w:hint="eastAsia"/>
                      <w:szCs w:val="22"/>
                      <w:lang w:val="en-US" w:eastAsia="zh-CN"/>
                    </w:rPr>
                    <w:t>废润滑油</w:t>
                  </w:r>
                </w:p>
              </w:tc>
              <w:tc>
                <w:tcPr>
                  <w:tcW w:w="2398" w:type="pct"/>
                  <w:gridSpan w:val="2"/>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both"/>
                    <w:textAlignment w:val="auto"/>
                    <w:rPr>
                      <w:szCs w:val="22"/>
                    </w:rPr>
                  </w:pPr>
                  <w:r>
                    <w:rPr>
                      <w:rFonts w:hint="eastAsia"/>
                      <w:szCs w:val="22"/>
                    </w:rPr>
                    <w:t>项目设备检修维护产生的</w:t>
                  </w:r>
                  <w:r>
                    <w:rPr>
                      <w:rFonts w:hint="eastAsia"/>
                      <w:szCs w:val="22"/>
                      <w:lang w:val="en-US" w:eastAsia="zh-CN"/>
                    </w:rPr>
                    <w:t>废润滑油</w:t>
                  </w:r>
                  <w:r>
                    <w:rPr>
                      <w:rFonts w:hint="eastAsia"/>
                      <w:szCs w:val="22"/>
                    </w:rPr>
                    <w:t>为危险废物，</w:t>
                  </w:r>
                  <w:r>
                    <w:rPr>
                      <w:rFonts w:hint="eastAsia"/>
                      <w:szCs w:val="22"/>
                      <w:lang w:val="en-US" w:eastAsia="zh-CN"/>
                    </w:rPr>
                    <w:t>废润滑油</w:t>
                  </w:r>
                  <w:r>
                    <w:rPr>
                      <w:rFonts w:hint="eastAsia"/>
                      <w:szCs w:val="22"/>
                    </w:rPr>
                    <w:t>经密闭桶收集后，暂存于危废贮存点，定期交由资质单位处置。</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szCs w:val="22"/>
                    </w:rPr>
                  </w:pPr>
                  <w:r>
                    <w:rPr>
                      <w:rFonts w:hint="eastAsia"/>
                      <w:szCs w:val="22"/>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77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eastAsia" w:eastAsia="宋体"/>
                      <w:szCs w:val="22"/>
                      <w:lang w:val="en-US" w:eastAsia="zh-CN"/>
                    </w:rPr>
                  </w:pPr>
                  <w:r>
                    <w:rPr>
                      <w:rFonts w:hint="eastAsia"/>
                      <w:szCs w:val="22"/>
                    </w:rPr>
                    <w:t>建筑固废中其他组成</w:t>
                  </w:r>
                  <w:r>
                    <w:rPr>
                      <w:rFonts w:hint="eastAsia"/>
                      <w:szCs w:val="22"/>
                      <w:lang w:val="en-US" w:eastAsia="zh-CN"/>
                    </w:rPr>
                    <w:t>部分</w:t>
                  </w:r>
                </w:p>
              </w:tc>
              <w:tc>
                <w:tcPr>
                  <w:tcW w:w="2398" w:type="pct"/>
                  <w:gridSpan w:val="2"/>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both"/>
                    <w:textAlignment w:val="auto"/>
                    <w:rPr>
                      <w:rFonts w:hint="eastAsia" w:eastAsia="宋体"/>
                      <w:szCs w:val="22"/>
                      <w:lang w:eastAsia="zh-CN"/>
                    </w:rPr>
                  </w:pPr>
                  <w:r>
                    <w:rPr>
                      <w:rFonts w:hint="eastAsia"/>
                      <w:szCs w:val="22"/>
                    </w:rPr>
                    <w:t>采用合理地利用方案转交给其他项目处置</w:t>
                  </w:r>
                  <w:r>
                    <w:rPr>
                      <w:rFonts w:hint="eastAsia"/>
                      <w:szCs w:val="22"/>
                      <w:lang w:eastAsia="zh-CN"/>
                    </w:rPr>
                    <w:t>。</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szCs w:val="22"/>
                    </w:rPr>
                  </w:pPr>
                  <w:r>
                    <w:rPr>
                      <w:rFonts w:hint="eastAsia"/>
                      <w:szCs w:val="22"/>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77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szCs w:val="22"/>
                    </w:rPr>
                  </w:pPr>
                  <w:r>
                    <w:rPr>
                      <w:rFonts w:hint="eastAsia"/>
                      <w:szCs w:val="22"/>
                    </w:rPr>
                    <w:t>建筑固废中的品质较差骨料和渣土类</w:t>
                  </w:r>
                </w:p>
              </w:tc>
              <w:tc>
                <w:tcPr>
                  <w:tcW w:w="2398" w:type="pct"/>
                  <w:gridSpan w:val="2"/>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rFonts w:hint="default" w:eastAsia="宋体"/>
                      <w:szCs w:val="22"/>
                      <w:lang w:val="en-US" w:eastAsia="zh-CN"/>
                    </w:rPr>
                  </w:pPr>
                  <w:r>
                    <w:rPr>
                      <w:rFonts w:hint="eastAsia" w:cs="Times New Roman"/>
                      <w:color w:val="000000" w:themeColor="text1"/>
                      <w:szCs w:val="22"/>
                      <w:highlight w:val="none"/>
                      <w:lang w:val="en-US" w:eastAsia="zh-CN"/>
                      <w14:textFill>
                        <w14:solidFill>
                          <w14:schemeClr w14:val="tx1"/>
                        </w14:solidFill>
                      </w14:textFill>
                    </w:rPr>
                    <w:t>重型振动给料机和除土振动筛产生的渣土统一收集到渣土仓内，</w:t>
                  </w:r>
                  <w:r>
                    <w:rPr>
                      <w:rFonts w:hint="eastAsia"/>
                      <w:color w:val="000000" w:themeColor="text1"/>
                      <w:szCs w:val="22"/>
                      <w:highlight w:val="none"/>
                      <w14:textFill>
                        <w14:solidFill>
                          <w14:schemeClr w14:val="tx1"/>
                        </w14:solidFill>
                      </w14:textFill>
                    </w:rPr>
                    <w:t>主要用于回填工程，如拆除工程场地平整，垃圾填埋场的封场填埋等</w:t>
                  </w:r>
                  <w:r>
                    <w:rPr>
                      <w:rFonts w:hint="eastAsia" w:cs="Times New Roman"/>
                      <w:color w:val="000000" w:themeColor="text1"/>
                      <w:szCs w:val="22"/>
                      <w:highlight w:val="none"/>
                      <w:lang w:val="en-US" w:eastAsia="zh-CN"/>
                      <w14:textFill>
                        <w14:solidFill>
                          <w14:schemeClr w14:val="tx1"/>
                        </w14:solidFill>
                      </w14:textFill>
                    </w:rPr>
                    <w:t>；其他可利用的骨料回用于生产线。</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szCs w:val="22"/>
                    </w:rPr>
                  </w:pPr>
                  <w:r>
                    <w:rPr>
                      <w:rFonts w:hint="eastAsia"/>
                      <w:szCs w:val="22"/>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77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szCs w:val="22"/>
                    </w:rPr>
                  </w:pPr>
                  <w:r>
                    <w:rPr>
                      <w:rFonts w:hint="eastAsia"/>
                      <w:szCs w:val="22"/>
                    </w:rPr>
                    <w:t>生产线废水沉淀泥浆</w:t>
                  </w:r>
                </w:p>
              </w:tc>
              <w:tc>
                <w:tcPr>
                  <w:tcW w:w="2398" w:type="pct"/>
                  <w:gridSpan w:val="2"/>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r>
                    <w:rPr>
                      <w:rFonts w:hint="default"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定期收集</w:t>
                  </w: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可作为道路用再生骨料水稳料掺和使用</w:t>
                  </w: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szCs w:val="22"/>
                    </w:rPr>
                  </w:pPr>
                  <w:r>
                    <w:rPr>
                      <w:rFonts w:hint="eastAsia"/>
                      <w:szCs w:val="22"/>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688"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p>
              </w:tc>
              <w:tc>
                <w:tcPr>
                  <w:tcW w:w="778"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rFonts w:hint="default" w:eastAsia="宋体"/>
                      <w:szCs w:val="22"/>
                      <w:lang w:val="en-US" w:eastAsia="zh-CN"/>
                    </w:rPr>
                  </w:pPr>
                  <w:r>
                    <w:rPr>
                      <w:rFonts w:hint="eastAsia"/>
                      <w:szCs w:val="22"/>
                    </w:rPr>
                    <w:t>各类型收尘器集灰系统</w:t>
                  </w:r>
                  <w:r>
                    <w:rPr>
                      <w:rFonts w:hint="eastAsia"/>
                      <w:szCs w:val="22"/>
                      <w:lang w:val="en-US" w:eastAsia="zh-CN"/>
                    </w:rPr>
                    <w:t>产生的粉尘</w:t>
                  </w:r>
                </w:p>
              </w:tc>
              <w:tc>
                <w:tcPr>
                  <w:tcW w:w="2398" w:type="pct"/>
                  <w:gridSpan w:val="2"/>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420" w:firstLineChars="200"/>
                    <w:jc w:val="both"/>
                    <w:textAlignment w:val="auto"/>
                    <w:rPr>
                      <w:szCs w:val="22"/>
                    </w:rPr>
                  </w:pPr>
                  <w:r>
                    <w:rPr>
                      <w:rFonts w:hint="default"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定期由人工转移至再生混凝土制品类生产线再利用</w:t>
                  </w: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leftChars="0" w:right="0" w:rightChars="0" w:firstLine="0" w:firstLineChars="0"/>
                    <w:jc w:val="center"/>
                    <w:textAlignment w:val="auto"/>
                    <w:rPr>
                      <w:szCs w:val="22"/>
                    </w:rPr>
                  </w:pPr>
                  <w:r>
                    <w:rPr>
                      <w:rFonts w:hint="eastAsia"/>
                      <w:szCs w:val="22"/>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FF0000"/>
                      <w:sz w:val="21"/>
                      <w:szCs w:val="21"/>
                      <w:highlight w:val="none"/>
                      <w:lang w:val="en-US"/>
                    </w:rPr>
                  </w:pPr>
                </w:p>
              </w:tc>
              <w:tc>
                <w:tcPr>
                  <w:tcW w:w="3865" w:type="pct"/>
                  <w:gridSpan w:val="4"/>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FF0000"/>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绿化</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FF0000"/>
                      <w:kern w:val="2"/>
                      <w:sz w:val="21"/>
                      <w:szCs w:val="21"/>
                      <w:highlight w:val="none"/>
                      <w:lang w:val="en-US" w:eastAsia="zh-CN" w:bidi="ar"/>
                    </w:rPr>
                  </w:pPr>
                  <w:r>
                    <w:rPr>
                      <w:rFonts w:hint="eastAsia" w:cs="Times New Roman"/>
                      <w:b w:val="0"/>
                      <w:bCs/>
                      <w:color w:val="000000" w:themeColor="text1"/>
                      <w:kern w:val="2"/>
                      <w:sz w:val="21"/>
                      <w:szCs w:val="21"/>
                      <w:highlight w:val="none"/>
                      <w:lang w:val="en-US" w:eastAsia="zh-CN" w:bidi="ar"/>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vMerge w:val="continue"/>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color w:val="FF0000"/>
                      <w:sz w:val="21"/>
                      <w:szCs w:val="21"/>
                      <w:highlight w:val="none"/>
                      <w:lang w:val="en-US"/>
                    </w:rPr>
                  </w:pPr>
                </w:p>
              </w:tc>
              <w:tc>
                <w:tcPr>
                  <w:tcW w:w="3865" w:type="pct"/>
                  <w:gridSpan w:val="4"/>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FF0000"/>
                      <w:sz w:val="21"/>
                      <w:szCs w:val="22"/>
                      <w:highlight w:val="none"/>
                      <w:lang w:val="en-US" w:eastAsia="zh-CN"/>
                    </w:rPr>
                  </w:pPr>
                  <w:r>
                    <w:rPr>
                      <w:rFonts w:hint="default" w:ascii="Times New Roman" w:hAnsi="Times New Roman" w:cs="Times New Roman"/>
                      <w:b/>
                      <w:bCs/>
                      <w:color w:val="auto"/>
                      <w:sz w:val="21"/>
                      <w:szCs w:val="21"/>
                      <w:highlight w:val="none"/>
                      <w:lang w:val="en-US" w:eastAsia="zh-CN"/>
                    </w:rPr>
                    <w:t>合计</w:t>
                  </w:r>
                </w:p>
              </w:tc>
              <w:tc>
                <w:tcPr>
                  <w:tcW w:w="600" w:type="pct"/>
                  <w:tcBorders>
                    <w:tl2br w:val="nil"/>
                    <w:tr2bl w:val="nil"/>
                  </w:tcBorders>
                  <w:shd w:val="clear" w:color="auto" w:fill="auto"/>
                  <w:noWrap/>
                  <w:vAlign w:val="center"/>
                </w:tcPr>
                <w:p>
                  <w:pPr>
                    <w:keepNext w:val="0"/>
                    <w:keepLines w:val="0"/>
                    <w:pageBreakBefore w:val="0"/>
                    <w:widowControl w:val="0"/>
                    <w:suppressLineNumbers w:val="0"/>
                    <w:tabs>
                      <w:tab w:val="left" w:pos="6090"/>
                    </w:tabs>
                    <w:kinsoku/>
                    <w:wordWrap/>
                    <w:overflowPunct/>
                    <w:topLinePunct w:val="0"/>
                    <w:autoSpaceDE/>
                    <w:autoSpaceDN/>
                    <w:bidi w:val="0"/>
                    <w:adjustRightInd w:val="0"/>
                    <w:snapToGrid w:val="0"/>
                    <w:spacing w:before="0" w:beforeAutospacing="0" w:after="0" w:afterAutospacing="0" w:line="250" w:lineRule="exact"/>
                    <w:ind w:left="0" w:right="0"/>
                    <w:jc w:val="center"/>
                    <w:textAlignment w:val="auto"/>
                    <w:rPr>
                      <w:rFonts w:hint="default" w:ascii="Times New Roman" w:hAnsi="Times New Roman" w:cs="Times New Roman"/>
                      <w:b/>
                      <w:bCs/>
                      <w:color w:val="000000" w:themeColor="text1"/>
                      <w:kern w:val="2"/>
                      <w:sz w:val="21"/>
                      <w:szCs w:val="22"/>
                      <w:highlight w:val="none"/>
                      <w:lang w:val="en-US" w:eastAsia="zh-CN" w:bidi="ar"/>
                      <w14:textFill>
                        <w14:solidFill>
                          <w14:schemeClr w14:val="tx1"/>
                        </w14:solidFill>
                      </w14:textFill>
                    </w:rPr>
                  </w:pPr>
                  <w:r>
                    <w:rPr>
                      <w:rFonts w:hint="eastAsia" w:cs="Times New Roman"/>
                      <w:b/>
                      <w:bCs/>
                      <w:color w:val="000000" w:themeColor="text1"/>
                      <w:kern w:val="2"/>
                      <w:sz w:val="21"/>
                      <w:szCs w:val="22"/>
                      <w:highlight w:val="none"/>
                      <w:lang w:val="en-US" w:eastAsia="zh-CN" w:bidi="ar"/>
                      <w14:textFill>
                        <w14:solidFill>
                          <w14:schemeClr w14:val="tx1"/>
                        </w14:solidFill>
                      </w14:textFill>
                    </w:rPr>
                    <w:t>143.5</w:t>
                  </w:r>
                </w:p>
              </w:tc>
            </w:tr>
            <w:bookmarkEnd w:id="6"/>
            <w:bookmarkEnd w:id="7"/>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default" w:ascii="Times New Roman" w:hAnsi="Times New Roman" w:cs="Times New Roman"/>
                <w:color w:val="FF0000"/>
                <w:kern w:val="0"/>
                <w:sz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69" w:hRule="atLeast"/>
          <w:jc w:val="center"/>
        </w:trPr>
        <w:tc>
          <w:tcPr>
            <w:tcW w:w="75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FF0000"/>
                <w:szCs w:val="22"/>
                <w:highlight w:val="none"/>
                <w:lang w:eastAsia="zh-CN"/>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p>
        </w:tc>
        <w:tc>
          <w:tcPr>
            <w:tcW w:w="860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FF0000"/>
                <w:kern w:val="0"/>
                <w:sz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33" w:hRule="atLeast"/>
          <w:jc w:val="center"/>
        </w:trPr>
        <w:tc>
          <w:tcPr>
            <w:tcW w:w="75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p>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建设内容</w:t>
            </w: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FF0000"/>
                <w:szCs w:val="22"/>
                <w:highlight w:val="none"/>
                <w:lang w:val="en-US" w:eastAsia="zh-CN"/>
              </w:rPr>
            </w:pPr>
            <w:r>
              <w:rPr>
                <w:rFonts w:hint="default" w:ascii="Times New Roman" w:hAnsi="Times New Roman" w:cs="Times New Roman"/>
                <w:b/>
                <w:bCs/>
                <w:color w:val="FF0000"/>
                <w:kern w:val="2"/>
                <w:sz w:val="24"/>
                <w:szCs w:val="24"/>
                <w:highlight w:val="none"/>
                <w:lang w:val="en-US" w:eastAsia="zh-CN" w:bidi="ar-SA"/>
              </w:rPr>
              <w:t xml:space="preserve"> </w:t>
            </w:r>
          </w:p>
        </w:tc>
        <w:tc>
          <w:tcPr>
            <w:tcW w:w="8602" w:type="dxa"/>
            <w:vMerge w:val="continue"/>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0" w:firstLineChars="0"/>
              <w:textAlignment w:val="auto"/>
              <w:rPr>
                <w:rFonts w:hint="default" w:ascii="Times New Roman" w:hAnsi="Times New Roman" w:cs="Times New Roman"/>
                <w:color w:val="FF000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99" w:hRule="atLeast"/>
          <w:jc w:val="center"/>
        </w:trPr>
        <w:tc>
          <w:tcPr>
            <w:tcW w:w="75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工艺流程和产排污环节</w:t>
            </w:r>
          </w:p>
        </w:tc>
        <w:tc>
          <w:tcPr>
            <w:tcW w:w="8602" w:type="dxa"/>
            <w:vMerge w:val="restart"/>
            <w:vAlign w:val="center"/>
          </w:tcPr>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仿宋_GB2312" w:cs="Times New Roman"/>
                <w:color w:val="auto"/>
                <w:szCs w:val="22"/>
                <w:highlight w:val="none"/>
              </w:rPr>
            </w:pPr>
            <w:r>
              <w:rPr>
                <w:rFonts w:hint="default" w:ascii="Times New Roman" w:hAnsi="Times New Roman" w:eastAsia="仿宋_GB2312" w:cs="Times New Roman"/>
                <w:b/>
                <w:bCs w:val="0"/>
                <w:color w:val="auto"/>
                <w:kern w:val="2"/>
                <w:sz w:val="24"/>
                <w:szCs w:val="20"/>
                <w:highlight w:val="none"/>
                <w:lang w:val="en-US" w:eastAsia="zh-CN" w:bidi="ar"/>
              </w:rPr>
              <w:t>1.施工期工艺流程及产排污情况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eastAsia="仿宋_GB2312"/>
                <w:color w:val="auto"/>
                <w:sz w:val="24"/>
                <w:szCs w:val="24"/>
                <w:highlight w:val="none"/>
              </w:rPr>
            </w:pPr>
            <w:r>
              <w:rPr>
                <w:rFonts w:hint="default" w:eastAsia="仿宋_GB2312"/>
                <w:color w:val="auto"/>
                <w:sz w:val="24"/>
                <w:szCs w:val="24"/>
                <w:highlight w:val="none"/>
              </w:rPr>
              <w:t>项目建设过程分为前期准备、建筑施工、设备调试和建成运行四个阶段。施工阶段主要为工程方案设计、基础工程施工、主体工程施工、设备安装调试、竣工验收等。建设工期拟定为12个月</w:t>
            </w:r>
            <w:r>
              <w:rPr>
                <w:rFonts w:hint="eastAsia" w:eastAsia="仿宋_GB2312"/>
                <w:color w:val="auto"/>
                <w:sz w:val="24"/>
                <w:szCs w:val="24"/>
                <w:highlight w:val="none"/>
                <w:lang w:eastAsia="zh-CN"/>
              </w:rPr>
              <w:t>。</w:t>
            </w:r>
            <w:r>
              <w:rPr>
                <w:rFonts w:hint="default" w:eastAsia="仿宋_GB2312"/>
                <w:color w:val="auto"/>
                <w:sz w:val="24"/>
                <w:szCs w:val="24"/>
                <w:highlight w:val="none"/>
              </w:rPr>
              <w:t>在建设期间各种施工活动会对环境造成一定的影响，施工期工艺流程及产污环节示意图见图2-3。</w:t>
            </w:r>
          </w:p>
          <w:p>
            <w:pPr>
              <w:pStyle w:val="34"/>
              <w:keepNext w:val="0"/>
              <w:keepLines w:val="0"/>
              <w:suppressLineNumbers w:val="0"/>
              <w:overflowPunct w:val="0"/>
              <w:adjustRightInd w:val="0"/>
              <w:spacing w:line="360" w:lineRule="auto"/>
              <w:ind w:left="0" w:right="0"/>
              <w:jc w:val="center"/>
              <w:rPr>
                <w:rFonts w:hint="default" w:ascii="Times New Roman" w:hAnsi="Times New Roman" w:eastAsia="宋体" w:cs="Times New Roman"/>
                <w:color w:val="000000" w:themeColor="text1"/>
                <w:kern w:val="16"/>
                <w:highlight w:val="none"/>
                <w:lang w:bidi="ar"/>
                <w14:textFill>
                  <w14:solidFill>
                    <w14:schemeClr w14:val="tx1"/>
                  </w14:solidFill>
                </w14:textFill>
              </w:rPr>
            </w:pPr>
            <w:r>
              <w:rPr>
                <w:rFonts w:hint="default" w:ascii="Times New Roman" w:hAnsi="Times New Roman" w:eastAsia="宋体" w:cs="Times New Roman"/>
                <w:color w:val="000000" w:themeColor="text1"/>
                <w:kern w:val="16"/>
                <w:highlight w:val="none"/>
                <w:lang w:bidi="ar"/>
                <w14:textFill>
                  <w14:solidFill>
                    <w14:schemeClr w14:val="tx1"/>
                  </w14:solidFill>
                </w14:textFill>
              </w:rPr>
              <w:object>
                <v:shape id="_x0000_i1026" o:spt="75" type="#_x0000_t75" style="height:316.25pt;width:331.1pt;" o:ole="t" filled="f" o:preferrelative="t" stroked="f" coordsize="21600,21600">
                  <v:path/>
                  <v:fill on="f" focussize="0,0"/>
                  <v:stroke on="f"/>
                  <v:imagedata r:id="rId17" o:title=""/>
                  <o:lock v:ext="edit" aspectratio="f"/>
                  <w10:wrap type="none"/>
                  <w10:anchorlock/>
                </v:shape>
                <o:OLEObject Type="Embed" ProgID="Visio.Drawing.15" ShapeID="_x0000_i1026" DrawAspect="Content" ObjectID="_1468075726" r:id="rId16">
                  <o:LockedField>false</o:LockedField>
                </o:OLEObject>
              </w:object>
            </w:r>
          </w:p>
          <w:p>
            <w:pPr>
              <w:pStyle w:val="34"/>
              <w:keepNext w:val="0"/>
              <w:keepLines w:val="0"/>
              <w:suppressLineNumbers w:val="0"/>
              <w:overflowPunct w:val="0"/>
              <w:adjustRightInd w:val="0"/>
              <w:spacing w:line="360" w:lineRule="auto"/>
              <w:ind w:left="0" w:right="0"/>
              <w:jc w:val="center"/>
              <w:rPr>
                <w:rFonts w:hint="default" w:ascii="Times New Roman" w:hAnsi="Times New Roman" w:eastAsia="宋体" w:cs="Times New Roman"/>
                <w:b/>
                <w:bCs/>
                <w:color w:val="000000" w:themeColor="text1"/>
                <w:kern w:val="16"/>
                <w:highlight w:val="none"/>
                <w:lang w:bidi="ar"/>
                <w14:textFill>
                  <w14:solidFill>
                    <w14:schemeClr w14:val="tx1"/>
                  </w14:solidFill>
                </w14:textFill>
              </w:rPr>
            </w:pPr>
            <w:r>
              <w:rPr>
                <w:rFonts w:hint="default" w:ascii="Times New Roman" w:hAnsi="Times New Roman" w:eastAsia="宋体" w:cs="Times New Roman"/>
                <w:color w:val="000000" w:themeColor="text1"/>
                <w:kern w:val="16"/>
                <w:highlight w:val="none"/>
                <w:lang w:bidi="ar"/>
                <w14:textFill>
                  <w14:solidFill>
                    <w14:schemeClr w14:val="tx1"/>
                  </w14:solidFill>
                </w14:textFill>
              </w:rPr>
              <w:t xml:space="preserve">图2-3  </w:t>
            </w:r>
            <w:r>
              <w:rPr>
                <w:rFonts w:hint="eastAsia" w:ascii="Times New Roman" w:hAnsi="Times New Roman" w:eastAsia="宋体" w:cs="Times New Roman"/>
                <w:color w:val="000000" w:themeColor="text1"/>
                <w:kern w:val="16"/>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kern w:val="16"/>
                <w:highlight w:val="none"/>
                <w:lang w:bidi="ar"/>
                <w14:textFill>
                  <w14:solidFill>
                    <w14:schemeClr w14:val="tx1"/>
                  </w14:solidFill>
                </w14:textFill>
              </w:rPr>
              <w:t>施工期工艺流程及产污环节示意图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本项目施工期产污环节如下：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⑴</w:t>
            </w:r>
            <w:r>
              <w:rPr>
                <w:rFonts w:hint="eastAsia" w:eastAsia="仿宋_GB2312" w:cs="Times New Roman"/>
                <w:color w:val="auto"/>
                <w:sz w:val="24"/>
                <w:szCs w:val="24"/>
                <w:highlight w:val="none"/>
                <w:lang w:val="en-US" w:eastAsia="zh-CN"/>
              </w:rPr>
              <w:t>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eastAsia="仿宋_GB2312" w:cs="Times New Roman"/>
                <w:color w:val="auto"/>
                <w:sz w:val="24"/>
                <w:szCs w:val="24"/>
                <w:highlight w:val="none"/>
                <w:lang w:val="en-US" w:eastAsia="zh-CN"/>
              </w:rPr>
            </w:pPr>
            <w:r>
              <w:rPr>
                <w:rFonts w:hint="default" w:eastAsia="仿宋_GB2312" w:cs="Times New Roman"/>
                <w:color w:val="auto"/>
                <w:sz w:val="24"/>
                <w:szCs w:val="24"/>
                <w:highlight w:val="none"/>
                <w:lang w:val="en-US" w:eastAsia="zh-CN"/>
              </w:rPr>
              <w:t>项目施工期的大气环境问题主要为扬尘、施工机械及运输车辆尾气。扬尘主要产生于土石方开挖、粉状建筑材料运输、堆放等过程，包括道路运输扬尘、堆场扬尘、施工场内施工扬尘。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⑵</w:t>
            </w:r>
            <w:r>
              <w:rPr>
                <w:rFonts w:hint="eastAsia" w:eastAsia="仿宋_GB2312" w:cs="Times New Roman"/>
                <w:color w:val="auto"/>
                <w:sz w:val="24"/>
                <w:szCs w:val="24"/>
                <w:highlight w:val="none"/>
                <w:lang w:val="en-US" w:eastAsia="zh-CN"/>
              </w:rPr>
              <w:t>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eastAsia="仿宋_GB2312" w:cs="Times New Roman"/>
                <w:color w:val="auto"/>
                <w:sz w:val="24"/>
                <w:szCs w:val="24"/>
                <w:highlight w:val="none"/>
                <w:lang w:val="en-US" w:eastAsia="zh-CN"/>
              </w:rPr>
            </w:pPr>
            <w:r>
              <w:rPr>
                <w:rFonts w:hint="default" w:eastAsia="仿宋_GB2312" w:cs="Times New Roman"/>
                <w:color w:val="auto"/>
                <w:sz w:val="24"/>
                <w:szCs w:val="24"/>
                <w:highlight w:val="none"/>
                <w:lang w:val="en-US" w:eastAsia="zh-CN"/>
              </w:rPr>
              <w:t>施工期产生的废水主要为建筑施工废水和施工人员日常生活污水。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⑶</w:t>
            </w:r>
            <w:r>
              <w:rPr>
                <w:rFonts w:hint="eastAsia" w:eastAsia="仿宋_GB2312" w:cs="Times New Roman"/>
                <w:color w:val="auto"/>
                <w:sz w:val="24"/>
                <w:szCs w:val="24"/>
                <w:highlight w:val="none"/>
                <w:lang w:val="en-US" w:eastAsia="zh-CN"/>
              </w:rPr>
              <w:t>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eastAsia="仿宋_GB2312" w:cs="Times New Roman"/>
                <w:color w:val="auto"/>
                <w:sz w:val="24"/>
                <w:szCs w:val="24"/>
                <w:highlight w:val="none"/>
                <w:lang w:val="en-US" w:eastAsia="zh-CN"/>
              </w:rPr>
            </w:pPr>
            <w:r>
              <w:rPr>
                <w:rFonts w:hint="default" w:eastAsia="仿宋_GB2312" w:cs="Times New Roman"/>
                <w:color w:val="auto"/>
                <w:sz w:val="24"/>
                <w:szCs w:val="24"/>
                <w:highlight w:val="none"/>
                <w:lang w:val="en-US" w:eastAsia="zh-CN"/>
              </w:rPr>
              <w:t>施工期的噪声主要为机械噪声、施工作业噪声和施工车辆噪声。机械噪声主要由施工机械所造成，如挖土机械、打桩机械、混凝土搅拌机、升降机等，多为点声源；施工作业噪声主要指一些零星的敲打声、装卸车辆的撞击声、吆喝声、拆装模板的撞击声等，多为瞬间噪声；施工车辆的噪声属于交通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⑷</w:t>
            </w:r>
            <w:r>
              <w:rPr>
                <w:rFonts w:hint="eastAsia" w:eastAsia="仿宋_GB2312" w:cs="Times New Roman"/>
                <w:color w:val="auto"/>
                <w:sz w:val="24"/>
                <w:szCs w:val="24"/>
                <w:highlight w:val="none"/>
                <w:lang w:val="en-US" w:eastAsia="zh-CN"/>
              </w:rPr>
              <w:t>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eastAsia="仿宋_GB2312" w:cs="Times New Roman"/>
                <w:color w:val="auto"/>
                <w:sz w:val="24"/>
                <w:szCs w:val="24"/>
                <w:highlight w:val="none"/>
                <w:lang w:val="en-US" w:eastAsia="zh-CN"/>
              </w:rPr>
            </w:pPr>
            <w:r>
              <w:rPr>
                <w:rFonts w:hint="default" w:eastAsia="仿宋_GB2312" w:cs="Times New Roman"/>
                <w:color w:val="auto"/>
                <w:sz w:val="24"/>
                <w:szCs w:val="24"/>
                <w:highlight w:val="none"/>
                <w:lang w:val="en-US" w:eastAsia="zh-CN"/>
              </w:rPr>
              <w:t>本项目施工期固体废物为建筑施工产生的建筑垃圾、施工人员产生的生活垃圾。</w:t>
            </w:r>
          </w:p>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2" w:firstLineChars="200"/>
              <w:jc w:val="both"/>
              <w:textAlignment w:val="auto"/>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2.运营期工艺流程及产排污情况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⑴建筑、装修垃圾处置总体工艺流程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cs="Times New Roman"/>
                <w:color w:val="000000" w:themeColor="text1"/>
                <w:szCs w:val="2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①</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本项目建筑垃圾</w:t>
            </w:r>
            <w:r>
              <w:rPr>
                <w:rFonts w:hint="eastAsia" w:eastAsia="仿宋_GB2312" w:cs="Times New Roman"/>
                <w:color w:val="000000" w:themeColor="text1"/>
                <w:sz w:val="24"/>
                <w:szCs w:val="24"/>
                <w:highlight w:val="none"/>
                <w:lang w:val="en-US" w:eastAsia="zh-CN"/>
                <w14:textFill>
                  <w14:solidFill>
                    <w14:schemeClr w14:val="tx1"/>
                  </w14:solidFill>
                </w14:textFill>
              </w:rPr>
              <w:t>再生线</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总体工艺路线</w:t>
            </w:r>
            <w:r>
              <w:rPr>
                <w:rFonts w:hint="eastAsia" w:eastAsia="仿宋_GB2312" w:cs="Times New Roman"/>
                <w:color w:val="000000" w:themeColor="text1"/>
                <w:sz w:val="24"/>
                <w:szCs w:val="24"/>
                <w:highlight w:val="none"/>
                <w:lang w:val="en-US" w:eastAsia="zh-CN"/>
                <w14:textFill>
                  <w14:solidFill>
                    <w14:schemeClr w14:val="tx1"/>
                  </w14:solidFill>
                </w14:textFill>
              </w:rPr>
              <w:t>及</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产排污流程如图2-</w:t>
            </w:r>
            <w:r>
              <w:rPr>
                <w:rFonts w:hint="eastAsia" w:eastAsia="仿宋_GB2312"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suppressLineNumbers w:val="0"/>
              <w:spacing w:before="0" w:beforeAutospacing="0" w:after="0" w:afterAutospacing="0" w:line="348" w:lineRule="auto"/>
              <w:ind w:left="0" w:right="0" w:firstLine="0" w:firstLineChars="0"/>
              <w:jc w:val="center"/>
              <w:rPr>
                <w:rFonts w:hint="default" w:ascii="Times New Roman" w:hAnsi="Times New Roman" w:eastAsia="仿宋_GB2312" w:cs="Times New Roman"/>
                <w:color w:val="FF0000"/>
                <w:sz w:val="24"/>
                <w:szCs w:val="24"/>
                <w:highlight w:val="none"/>
                <w:lang w:val="en-US" w:eastAsia="zh-CN"/>
              </w:rPr>
            </w:pPr>
            <w:r>
              <w:rPr>
                <w:rFonts w:hint="default" w:ascii="Times New Roman" w:hAnsi="Times New Roman" w:eastAsia="仿宋_GB2312" w:cs="Times New Roman"/>
                <w:color w:val="FF0000"/>
                <w:sz w:val="24"/>
                <w:szCs w:val="24"/>
                <w:highlight w:val="none"/>
                <w:lang w:val="en-US" w:eastAsia="zh-CN"/>
              </w:rPr>
              <w:object>
                <v:shape id="_x0000_i1027" o:spt="75" type="#_x0000_t75" style="height:638.35pt;width:305.3pt;" o:ole="t" filled="f" o:preferrelative="t" stroked="f" coordsize="21600,21600">
                  <v:path/>
                  <v:fill on="f" focussize="0,0"/>
                  <v:stroke on="f"/>
                  <v:imagedata r:id="rId19" o:title=""/>
                  <o:lock v:ext="edit" aspectratio="f"/>
                  <w10:wrap type="none"/>
                  <w10:anchorlock/>
                </v:shape>
                <o:OLEObject Type="Embed" ProgID="Visio.Drawing.15" ShapeID="_x0000_i1027" DrawAspect="Content" ObjectID="_1468075727" r:id="rId18">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0" w:firstLineChars="0"/>
              <w:jc w:val="center"/>
              <w:textAlignment w:val="auto"/>
              <w:rPr>
                <w:rFonts w:hint="default" w:ascii="Times New Roman" w:hAnsi="Times New Roman" w:cs="Times New Roman"/>
                <w:b/>
                <w:bCs w:val="0"/>
                <w:color w:val="000000" w:themeColor="text1"/>
                <w:sz w:val="24"/>
                <w:szCs w:val="20"/>
                <w:highlight w:val="none"/>
                <w:lang w:val="en-US"/>
                <w14:textFill>
                  <w14:solidFill>
                    <w14:schemeClr w14:val="tx1"/>
                  </w14:solidFill>
                </w14:textFill>
              </w:rPr>
            </w:pPr>
            <w:r>
              <w:rPr>
                <w:rFonts w:hint="default" w:ascii="Times New Roman" w:hAnsi="Times New Roman" w:eastAsia="宋体" w:cs="Times New Roman"/>
                <w:b w:val="0"/>
                <w:bCs/>
                <w:color w:val="000000" w:themeColor="text1"/>
                <w:kern w:val="2"/>
                <w:sz w:val="24"/>
                <w:szCs w:val="20"/>
                <w:highlight w:val="none"/>
                <w:lang w:val="en-US" w:eastAsia="zh-CN" w:bidi="ar"/>
                <w14:textFill>
                  <w14:solidFill>
                    <w14:schemeClr w14:val="tx1"/>
                  </w14:solidFill>
                </w14:textFill>
              </w:rPr>
              <w:t>图</w:t>
            </w:r>
            <w:r>
              <w:rPr>
                <w:rFonts w:hint="default" w:ascii="Times New Roman" w:hAnsi="Times New Roman" w:cs="Times New Roman"/>
                <w:b w:val="0"/>
                <w:bCs/>
                <w:color w:val="000000" w:themeColor="text1"/>
                <w:kern w:val="2"/>
                <w:sz w:val="24"/>
                <w:szCs w:val="20"/>
                <w:highlight w:val="none"/>
                <w:lang w:val="en-US" w:eastAsia="zh-CN" w:bidi="ar"/>
                <w14:textFill>
                  <w14:solidFill>
                    <w14:schemeClr w14:val="tx1"/>
                  </w14:solidFill>
                </w14:textFill>
              </w:rPr>
              <w:t>2-</w:t>
            </w:r>
            <w:r>
              <w:rPr>
                <w:rFonts w:hint="eastAsia" w:cs="Times New Roman"/>
                <w:b w:val="0"/>
                <w:bCs/>
                <w:color w:val="000000" w:themeColor="text1"/>
                <w:kern w:val="2"/>
                <w:sz w:val="24"/>
                <w:szCs w:val="20"/>
                <w:highlight w:val="none"/>
                <w:lang w:val="en-US" w:eastAsia="zh-CN" w:bidi="ar"/>
                <w14:textFill>
                  <w14:solidFill>
                    <w14:schemeClr w14:val="tx1"/>
                  </w14:solidFill>
                </w14:textFill>
              </w:rPr>
              <w:t>4</w:t>
            </w:r>
            <w:r>
              <w:rPr>
                <w:rFonts w:hint="default" w:ascii="Times New Roman" w:hAnsi="Times New Roman" w:eastAsia="宋体" w:cs="Times New Roman"/>
                <w:b/>
                <w:bCs w:val="0"/>
                <w:color w:val="000000" w:themeColor="text1"/>
                <w:kern w:val="2"/>
                <w:sz w:val="24"/>
                <w:szCs w:val="20"/>
                <w:highlight w:val="none"/>
                <w:lang w:val="en-US" w:eastAsia="zh-CN" w:bidi="ar"/>
                <w14:textFill>
                  <w14:solidFill>
                    <w14:schemeClr w14:val="tx1"/>
                  </w14:solidFill>
                </w14:textFill>
              </w:rPr>
              <w:t xml:space="preserve">   </w:t>
            </w:r>
            <w:r>
              <w:rPr>
                <w:rFonts w:hint="default"/>
                <w:b/>
                <w:color w:val="000000" w:themeColor="text1"/>
                <w:sz w:val="24"/>
                <w:szCs w:val="22"/>
                <w:highlight w:val="none"/>
                <w:lang w:bidi="ar"/>
                <w14:textFill>
                  <w14:solidFill>
                    <w14:schemeClr w14:val="tx1"/>
                  </w14:solidFill>
                </w14:textFill>
              </w:rPr>
              <w:t>建筑垃圾再生线</w:t>
            </w:r>
            <w:r>
              <w:rPr>
                <w:rFonts w:hint="default" w:ascii="Times New Roman" w:hAnsi="Times New Roman" w:cs="Times New Roman"/>
                <w:b/>
                <w:bCs w:val="0"/>
                <w:color w:val="000000" w:themeColor="text1"/>
                <w:kern w:val="2"/>
                <w:sz w:val="24"/>
                <w:szCs w:val="20"/>
                <w:highlight w:val="none"/>
                <w:lang w:val="en-US" w:eastAsia="zh-CN" w:bidi="ar"/>
                <w14:textFill>
                  <w14:solidFill>
                    <w14:schemeClr w14:val="tx1"/>
                  </w14:solidFill>
                </w14:textFill>
              </w:rPr>
              <w:t>总体工艺路线及产排污流程图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②</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工艺流程简述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建筑、装饰垃圾</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原料由封闭型环保运输车辆运至厂区原料堆场</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在堆场内由工程机械或人工将粒度较大的块状物料，大型门窗，金属制品，生活垃圾，棉被织物等进行粗分拣</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分质处理：</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渣土含量较多的建筑垃圾进入移动式重型筛分机先进行除土处理再进入一次破碎</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（颚式破碎机）；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混凝土为主的建筑垃圾进入重型振动给料机和颚式破碎机进行一次除土和一次破碎</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（颚式破碎机）。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人工分选平台：</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经过人工分拣平台除去大块轻物质，金属等杂质</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随后进入</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履带</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移动式反击破碎机进行二次破碎</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二次除土：经二次破碎后的物料通过磁选机后，</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先进入二次除土筛降低再生骨料含泥（土）量，再进入风选机除去小块轻物质</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暂存</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经过上述处理后的较为洁净的建筑垃圾再生骨料进入骨料暂存仓或进行成品分级筛分再转运至暂存仓</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000000" w:themeColor="text1"/>
                <w:sz w:val="24"/>
                <w:szCs w:val="24"/>
                <w:highlight w:val="none"/>
                <w:lang w:val="en-US" w:eastAsia="zh-CN"/>
                <w14:textFill>
                  <w14:solidFill>
                    <w14:schemeClr w14:val="tx1"/>
                  </w14:solidFill>
                </w14:textFill>
              </w:rPr>
              <w:t>7）</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下游产品生产：</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水稳料和再生混凝土制品资源化生产</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auto"/>
                <w:sz w:val="24"/>
                <w:szCs w:val="24"/>
                <w:highlight w:val="none"/>
                <w:lang w:val="en-US" w:eastAsia="zh-CN"/>
              </w:rPr>
              <w:t>⑵</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再生混凝土制品生产线总体工艺流程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①</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本项目再生混凝土制品生产线总体工艺路线</w:t>
            </w:r>
            <w:r>
              <w:rPr>
                <w:rFonts w:hint="eastAsia" w:eastAsia="仿宋_GB2312" w:cs="Times New Roman"/>
                <w:color w:val="000000" w:themeColor="text1"/>
                <w:sz w:val="24"/>
                <w:szCs w:val="24"/>
                <w:highlight w:val="none"/>
                <w:lang w:val="en-US" w:eastAsia="zh-CN"/>
                <w14:textFill>
                  <w14:solidFill>
                    <w14:schemeClr w14:val="tx1"/>
                  </w14:solidFill>
                </w14:textFill>
              </w:rPr>
              <w:t>及</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产排污流程如图2-</w:t>
            </w:r>
            <w:r>
              <w:rPr>
                <w:rFonts w:hint="eastAsia" w:eastAsia="仿宋_GB2312"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pStyle w:val="28"/>
              <w:keepNext w:val="0"/>
              <w:keepLines w:val="0"/>
              <w:suppressLineNumbers w:val="0"/>
              <w:spacing w:before="0" w:beforeAutospacing="0" w:after="0" w:afterAutospacing="0"/>
              <w:ind w:left="0" w:right="0"/>
              <w:rPr>
                <w:rFonts w:hint="default"/>
                <w:lang w:val="en-US" w:eastAsia="zh-CN"/>
              </w:rPr>
            </w:pPr>
            <w:r>
              <w:rPr>
                <w:rFonts w:hint="default"/>
                <w:lang w:val="en-US" w:eastAsia="zh-CN"/>
              </w:rPr>
              <w:object>
                <v:shape id="_x0000_i1028" o:spt="75" type="#_x0000_t75" style="height:638.35pt;width:418.8pt;" o:ole="t" filled="f" o:preferrelative="t" stroked="f" coordsize="21600,21600">
                  <v:path/>
                  <v:fill on="f" focussize="0,0"/>
                  <v:stroke on="f"/>
                  <v:imagedata r:id="rId21" o:title=""/>
                  <o:lock v:ext="edit" aspectratio="f"/>
                  <w10:wrap type="none"/>
                  <w10:anchorlock/>
                </v:shape>
                <o:OLEObject Type="Embed" ProgID="Visio.Drawing.15" ShapeID="_x0000_i1028" DrawAspect="Content" ObjectID="_1468075728" r:id="rId20">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0" w:firstLineChars="0"/>
              <w:jc w:val="center"/>
              <w:textAlignment w:val="auto"/>
              <w:rPr>
                <w:rFonts w:hint="default" w:ascii="Times New Roman" w:hAnsi="Times New Roman" w:eastAsia="仿宋_GB2312" w:cs="Times New Roman"/>
                <w:b/>
                <w:bCs w:val="0"/>
                <w:color w:val="000000" w:themeColor="text1"/>
                <w:kern w:val="2"/>
                <w:sz w:val="24"/>
                <w:szCs w:val="20"/>
                <w:highlight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2"/>
                <w:sz w:val="24"/>
                <w:szCs w:val="20"/>
                <w:highlight w:val="none"/>
                <w:lang w:val="en-US" w:eastAsia="zh-CN" w:bidi="ar"/>
                <w14:textFill>
                  <w14:solidFill>
                    <w14:schemeClr w14:val="tx1"/>
                  </w14:solidFill>
                </w14:textFill>
              </w:rPr>
              <w:t>图</w:t>
            </w:r>
            <w:r>
              <w:rPr>
                <w:rFonts w:hint="default" w:ascii="Times New Roman" w:hAnsi="Times New Roman" w:cs="Times New Roman"/>
                <w:b w:val="0"/>
                <w:bCs/>
                <w:color w:val="000000" w:themeColor="text1"/>
                <w:kern w:val="2"/>
                <w:sz w:val="24"/>
                <w:szCs w:val="20"/>
                <w:highlight w:val="none"/>
                <w:lang w:val="en-US" w:eastAsia="zh-CN" w:bidi="ar"/>
                <w14:textFill>
                  <w14:solidFill>
                    <w14:schemeClr w14:val="tx1"/>
                  </w14:solidFill>
                </w14:textFill>
              </w:rPr>
              <w:t>2-</w:t>
            </w:r>
            <w:r>
              <w:rPr>
                <w:rFonts w:hint="eastAsia" w:cs="Times New Roman"/>
                <w:b w:val="0"/>
                <w:bCs/>
                <w:color w:val="000000" w:themeColor="text1"/>
                <w:kern w:val="2"/>
                <w:sz w:val="24"/>
                <w:szCs w:val="20"/>
                <w:highlight w:val="none"/>
                <w:lang w:val="en-US" w:eastAsia="zh-CN" w:bidi="ar"/>
                <w14:textFill>
                  <w14:solidFill>
                    <w14:schemeClr w14:val="tx1"/>
                  </w14:solidFill>
                </w14:textFill>
              </w:rPr>
              <w:t>5</w:t>
            </w:r>
            <w:r>
              <w:rPr>
                <w:rFonts w:hint="default" w:ascii="Times New Roman" w:hAnsi="Times New Roman" w:eastAsia="宋体" w:cs="Times New Roman"/>
                <w:b/>
                <w:bCs w:val="0"/>
                <w:color w:val="000000" w:themeColor="text1"/>
                <w:kern w:val="2"/>
                <w:sz w:val="24"/>
                <w:szCs w:val="20"/>
                <w:highlight w:val="none"/>
                <w:lang w:val="en-US" w:eastAsia="zh-CN" w:bidi="ar"/>
                <w14:textFill>
                  <w14:solidFill>
                    <w14:schemeClr w14:val="tx1"/>
                  </w14:solidFill>
                </w14:textFill>
              </w:rPr>
              <w:t xml:space="preserve">   </w:t>
            </w:r>
            <w:r>
              <w:rPr>
                <w:rFonts w:hint="default" w:ascii="Times New Roman" w:hAnsi="Times New Roman" w:cs="Times New Roman"/>
                <w:b/>
                <w:bCs w:val="0"/>
                <w:color w:val="000000" w:themeColor="text1"/>
                <w:kern w:val="2"/>
                <w:sz w:val="24"/>
                <w:szCs w:val="20"/>
                <w:highlight w:val="none"/>
                <w:lang w:val="en-US" w:eastAsia="zh-CN" w:bidi="ar"/>
                <w14:textFill>
                  <w14:solidFill>
                    <w14:schemeClr w14:val="tx1"/>
                  </w14:solidFill>
                </w14:textFill>
              </w:rPr>
              <w:t>再生混凝土制品生产线总体工艺路线及产排污流程</w:t>
            </w:r>
            <w:r>
              <w:rPr>
                <w:rFonts w:hint="eastAsia" w:cs="Times New Roman"/>
                <w:b/>
                <w:bCs w:val="0"/>
                <w:color w:val="000000" w:themeColor="text1"/>
                <w:kern w:val="2"/>
                <w:sz w:val="24"/>
                <w:szCs w:val="20"/>
                <w:highlight w:val="none"/>
                <w:lang w:val="en-US" w:eastAsia="zh-CN" w:bidi="ar"/>
                <w14:textFill>
                  <w14:solidFill>
                    <w14:schemeClr w14:val="tx1"/>
                  </w14:solidFill>
                </w14:textFill>
              </w:rPr>
              <w:t>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②</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工艺流程简述</w:t>
            </w:r>
          </w:p>
          <w:p>
            <w:pPr>
              <w:keepNext w:val="0"/>
              <w:keepLines w:val="0"/>
              <w:suppressLineNumbers w:val="0"/>
              <w:adjustRightInd w:val="0"/>
              <w:snapToGrid w:val="0"/>
              <w:spacing w:before="0" w:beforeAutospacing="0" w:after="0" w:afterAutospacing="0" w:line="336" w:lineRule="auto"/>
              <w:ind w:left="0" w:right="0" w:firstLine="480" w:firstLineChars="200"/>
              <w:rPr>
                <w:rFonts w:hint="default"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1）储存在粉料筒仓罐里的粉料（水泥或粉煤灰）通过管式螺旋输送机将水泥或粉煤灰输送至搅拌机内。</w:t>
            </w:r>
          </w:p>
          <w:p>
            <w:pPr>
              <w:keepNext w:val="0"/>
              <w:keepLines w:val="0"/>
              <w:suppressLineNumbers w:val="0"/>
              <w:adjustRightInd w:val="0"/>
              <w:snapToGrid w:val="0"/>
              <w:spacing w:before="0" w:beforeAutospacing="0" w:after="0" w:afterAutospacing="0" w:line="336" w:lineRule="auto"/>
              <w:ind w:left="0" w:right="0" w:firstLine="480" w:firstLineChars="200"/>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2）在集料的堆棚里用装载机将原材料骨料（如：建筑垃圾再生骨料，砂子，石子、炉渣、矿渣等）运输至混凝土制品车间的三级配料仓，通过计量，送到强制式搅拌机的提升斗里加入水，提升至搅拌机里进行搅拌。</w:t>
            </w:r>
          </w:p>
          <w:p>
            <w:pPr>
              <w:pStyle w:val="28"/>
              <w:keepNext w:val="0"/>
              <w:keepLines w:val="0"/>
              <w:suppressLineNumbers w:val="0"/>
              <w:spacing w:before="0" w:beforeAutospacing="0" w:after="0" w:afterAutospacing="0" w:line="360" w:lineRule="auto"/>
              <w:ind w:left="0" w:right="0" w:firstLine="480" w:firstLineChars="200"/>
              <w:rPr>
                <w:rFonts w:hint="eastAsia"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3）搅拌好的混合料用皮带输送机送至混凝土砌块成型机的储料斗里，再通过送料小车把混合料送至模腔内，通过振压成型（生产市政道路广场砖需要进行二次布面料）</w:t>
            </w:r>
            <w:r>
              <w:rPr>
                <w:rFonts w:hint="eastAsia" w:eastAsia="仿宋_GB2312" w:cs="Times New Roman"/>
                <w:color w:val="auto"/>
                <w:kern w:val="2"/>
                <w:sz w:val="24"/>
                <w:szCs w:val="24"/>
                <w:highlight w:val="none"/>
                <w:lang w:val="en-US" w:eastAsia="zh-CN" w:bidi="ar-SA"/>
              </w:rPr>
              <w:t>。</w:t>
            </w:r>
          </w:p>
          <w:p>
            <w:pPr>
              <w:keepNext w:val="0"/>
              <w:keepLines w:val="0"/>
              <w:suppressLineNumbers w:val="0"/>
              <w:spacing w:before="0" w:beforeAutospacing="0" w:after="0" w:afterAutospacing="0" w:line="360" w:lineRule="auto"/>
              <w:ind w:left="0" w:right="0" w:firstLine="480" w:firstLineChars="200"/>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4）成型好的湿砖坯（砖在托板上）用湿产品输送机输送至叠板机（标砖可一次性叠5-6层、可按厂地面积设计单垛或多垛设置）。</w:t>
            </w:r>
          </w:p>
          <w:p>
            <w:pPr>
              <w:pStyle w:val="28"/>
              <w:keepNext w:val="0"/>
              <w:keepLines w:val="0"/>
              <w:suppressLineNumbers w:val="0"/>
              <w:spacing w:before="0" w:beforeAutospacing="0" w:after="0" w:afterAutospacing="0" w:line="360" w:lineRule="auto"/>
              <w:ind w:left="0" w:right="0" w:firstLine="480" w:firstLineChars="200"/>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5）然后用叉车（或手动液压小推车）将叠板机上的砖（带板）送至车间内养护场地，经过8-12小时室内养护，砖坯达到一定强度后再用叉车送到堆场进行养护（采用简单的自然养护即可，需定时浇水），按国际标准养护28天后产品经过检验合格后出厂，售卖。</w:t>
            </w:r>
          </w:p>
          <w:p>
            <w:pPr>
              <w:keepNext w:val="0"/>
              <w:keepLines w:val="0"/>
              <w:suppressLineNumbers w:val="0"/>
              <w:spacing w:before="0" w:beforeAutospacing="0" w:after="0" w:afterAutospacing="0" w:line="360" w:lineRule="auto"/>
              <w:ind w:left="0" w:right="0" w:firstLine="480" w:firstLineChars="200"/>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6）养护堆场中人工砖板分离后的托板用叉车运回车间，由自动供板机（或人工送板）将砖机托板通过送板机送到主机振动台上（模具下面）等待接送成型好的湿产品砖。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auto"/>
                <w:kern w:val="2"/>
                <w:sz w:val="24"/>
                <w:szCs w:val="24"/>
                <w:highlight w:val="none"/>
                <w:lang w:val="en-US" w:eastAsia="zh-CN" w:bidi="ar-SA"/>
              </w:rPr>
              <w:t>⑶</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水泥稳定再生骨料无机混合料生产线总体工艺流程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①</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本项目水泥稳定再生骨料无机混合料生产线总体工艺路线</w:t>
            </w:r>
            <w:r>
              <w:rPr>
                <w:rFonts w:hint="eastAsia" w:eastAsia="仿宋_GB2312" w:cs="Times New Roman"/>
                <w:color w:val="000000" w:themeColor="text1"/>
                <w:sz w:val="24"/>
                <w:szCs w:val="24"/>
                <w:highlight w:val="none"/>
                <w:lang w:val="en-US" w:eastAsia="zh-CN"/>
                <w14:textFill>
                  <w14:solidFill>
                    <w14:schemeClr w14:val="tx1"/>
                  </w14:solidFill>
                </w14:textFill>
              </w:rPr>
              <w:t>及</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产排污流程如图2-</w:t>
            </w:r>
            <w:r>
              <w:rPr>
                <w:rFonts w:hint="eastAsia" w:eastAsia="仿宋_GB2312"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0" w:firstLineChars="0"/>
              <w:jc w:val="center"/>
              <w:textAlignment w:val="auto"/>
              <w:rPr>
                <w:rFonts w:hint="default" w:ascii="Times New Roman" w:hAnsi="Times New Roman" w:eastAsia="宋体" w:cs="Times New Roman"/>
                <w:b w:val="0"/>
                <w:bCs/>
                <w:color w:val="000000" w:themeColor="text1"/>
                <w:kern w:val="2"/>
                <w:sz w:val="24"/>
                <w:szCs w:val="20"/>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object>
                <v:shape id="_x0000_i1029" o:spt="75" type="#_x0000_t75" style="height:431.25pt;width:419.05pt;" o:ole="t" filled="f" o:preferrelative="t" stroked="f" coordsize="21600,21600">
                  <v:path/>
                  <v:fill on="f" focussize="0,0"/>
                  <v:stroke on="f"/>
                  <v:imagedata r:id="rId23" o:title=""/>
                  <o:lock v:ext="edit" aspectratio="f"/>
                  <w10:wrap type="none"/>
                  <w10:anchorlock/>
                </v:shape>
                <o:OLEObject Type="Embed" ProgID="Visio.Drawing.15" ShapeID="_x0000_i1029" DrawAspect="Content" ObjectID="_1468075729" r:id="rId22">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0" w:firstLineChars="0"/>
              <w:jc w:val="center"/>
              <w:textAlignment w:val="auto"/>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0"/>
                <w:highlight w:val="none"/>
                <w:lang w:val="en-US" w:eastAsia="zh-CN" w:bidi="ar"/>
                <w14:textFill>
                  <w14:solidFill>
                    <w14:schemeClr w14:val="tx1"/>
                  </w14:solidFill>
                </w14:textFill>
              </w:rPr>
              <w:t>图</w:t>
            </w:r>
            <w:r>
              <w:rPr>
                <w:rFonts w:hint="default" w:ascii="Times New Roman" w:hAnsi="Times New Roman" w:cs="Times New Roman"/>
                <w:b w:val="0"/>
                <w:bCs/>
                <w:color w:val="000000" w:themeColor="text1"/>
                <w:kern w:val="2"/>
                <w:sz w:val="24"/>
                <w:szCs w:val="20"/>
                <w:highlight w:val="none"/>
                <w:lang w:val="en-US" w:eastAsia="zh-CN" w:bidi="ar"/>
                <w14:textFill>
                  <w14:solidFill>
                    <w14:schemeClr w14:val="tx1"/>
                  </w14:solidFill>
                </w14:textFill>
              </w:rPr>
              <w:t>2-</w:t>
            </w:r>
            <w:r>
              <w:rPr>
                <w:rFonts w:hint="eastAsia" w:cs="Times New Roman"/>
                <w:b w:val="0"/>
                <w:bCs/>
                <w:color w:val="000000" w:themeColor="text1"/>
                <w:kern w:val="2"/>
                <w:sz w:val="24"/>
                <w:szCs w:val="20"/>
                <w:highlight w:val="none"/>
                <w:lang w:val="en-US" w:eastAsia="zh-CN" w:bidi="ar"/>
                <w14:textFill>
                  <w14:solidFill>
                    <w14:schemeClr w14:val="tx1"/>
                  </w14:solidFill>
                </w14:textFill>
              </w:rPr>
              <w:t>6</w:t>
            </w:r>
            <w:r>
              <w:rPr>
                <w:rFonts w:hint="default" w:ascii="Times New Roman" w:hAnsi="Times New Roman" w:eastAsia="宋体" w:cs="Times New Roman"/>
                <w:b/>
                <w:bCs w:val="0"/>
                <w:color w:val="000000" w:themeColor="text1"/>
                <w:kern w:val="2"/>
                <w:sz w:val="24"/>
                <w:szCs w:val="20"/>
                <w:highlight w:val="none"/>
                <w:lang w:val="en-US" w:eastAsia="zh-CN" w:bidi="ar"/>
                <w14:textFill>
                  <w14:solidFill>
                    <w14:schemeClr w14:val="tx1"/>
                  </w14:solidFill>
                </w14:textFill>
              </w:rPr>
              <w:t xml:space="preserve">   </w:t>
            </w:r>
            <w:r>
              <w:rPr>
                <w:rFonts w:hint="default" w:ascii="Times New Roman" w:hAnsi="Times New Roman" w:cs="Times New Roman"/>
                <w:b/>
                <w:bCs w:val="0"/>
                <w:color w:val="000000" w:themeColor="text1"/>
                <w:kern w:val="2"/>
                <w:sz w:val="24"/>
                <w:szCs w:val="20"/>
                <w:highlight w:val="none"/>
                <w:lang w:val="en-US" w:eastAsia="zh-CN" w:bidi="ar"/>
                <w14:textFill>
                  <w14:solidFill>
                    <w14:schemeClr w14:val="tx1"/>
                  </w14:solidFill>
                </w14:textFill>
              </w:rPr>
              <w:t>水泥稳定再生骨料无机混合料生产线总体工艺路线及产排污流程</w:t>
            </w:r>
            <w:r>
              <w:rPr>
                <w:rFonts w:hint="eastAsia" w:cs="Times New Roman"/>
                <w:b/>
                <w:bCs w:val="0"/>
                <w:color w:val="000000" w:themeColor="text1"/>
                <w:kern w:val="2"/>
                <w:sz w:val="24"/>
                <w:szCs w:val="20"/>
                <w:highlight w:val="none"/>
                <w:lang w:val="en-US" w:eastAsia="zh-CN" w:bidi="ar"/>
                <w14:textFill>
                  <w14:solidFill>
                    <w14:schemeClr w14:val="tx1"/>
                  </w14:solidFill>
                </w14:textFill>
              </w:rPr>
              <w:t>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②</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工艺流程简述</w:t>
            </w:r>
          </w:p>
          <w:p>
            <w:pPr>
              <w:pStyle w:val="28"/>
              <w:keepNext w:val="0"/>
              <w:keepLines w:val="0"/>
              <w:suppressLineNumbers w:val="0"/>
              <w:spacing w:before="0" w:beforeAutospacing="0" w:after="0" w:afterAutospacing="0" w:line="360" w:lineRule="auto"/>
              <w:ind w:left="0" w:right="0" w:firstLine="480" w:firstLineChars="200"/>
              <w:rPr>
                <w:rFonts w:hint="default"/>
                <w:lang w:val="en-US" w:eastAsia="zh-CN"/>
              </w:rPr>
            </w:pPr>
            <w:r>
              <w:rPr>
                <w:rFonts w:hint="eastAsia" w:eastAsia="仿宋_GB2312" w:cs="Times New Roman"/>
                <w:color w:val="auto"/>
                <w:sz w:val="24"/>
                <w:szCs w:val="24"/>
                <w:highlight w:val="none"/>
                <w:lang w:val="en-US" w:eastAsia="zh-CN"/>
              </w:rPr>
              <w:t>1）原料准备</w:t>
            </w:r>
          </w:p>
          <w:p>
            <w:pPr>
              <w:keepNext w:val="0"/>
              <w:keepLines w:val="0"/>
              <w:suppressLineNumbers w:val="0"/>
              <w:spacing w:before="0" w:beforeAutospacing="0" w:after="0" w:afterAutospacing="0" w:line="360" w:lineRule="auto"/>
              <w:ind w:left="0" w:right="0" w:firstLine="480" w:firstLineChars="200"/>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本项目水泥按需购买，由车辆运送至车间粉料筒仓罐内暂存，天然细骨料、天然粗骨料、再生细骨料、再生粗骨料分类暂存于混合骨料暂存间中。</w:t>
            </w:r>
          </w:p>
          <w:p>
            <w:pPr>
              <w:pStyle w:val="28"/>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2)投料</w:t>
            </w:r>
          </w:p>
          <w:p>
            <w:pPr>
              <w:pStyle w:val="28"/>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水泥、骨料</w:t>
            </w:r>
            <w:r>
              <w:rPr>
                <w:rFonts w:hint="eastAsia" w:ascii="Times New Roman" w:hAnsi="Times New Roman" w:eastAsia="仿宋_GB2312" w:cs="Times New Roman"/>
                <w:color w:val="auto"/>
                <w:kern w:val="2"/>
                <w:sz w:val="24"/>
                <w:szCs w:val="24"/>
                <w:highlight w:val="none"/>
                <w:lang w:val="en-US" w:eastAsia="zh-CN" w:bidi="ar-SA"/>
              </w:rPr>
              <w:t>存放于相应料仓中，经计量后</w:t>
            </w:r>
            <w:r>
              <w:rPr>
                <w:rFonts w:hint="eastAsia" w:eastAsia="仿宋_GB2312" w:cs="Times New Roman"/>
                <w:color w:val="auto"/>
                <w:kern w:val="2"/>
                <w:sz w:val="24"/>
                <w:szCs w:val="24"/>
                <w:highlight w:val="none"/>
                <w:lang w:val="en-US" w:eastAsia="zh-CN" w:bidi="ar-SA"/>
              </w:rPr>
              <w:t>骨料</w:t>
            </w:r>
            <w:r>
              <w:rPr>
                <w:rFonts w:hint="eastAsia" w:ascii="Times New Roman" w:hAnsi="Times New Roman" w:eastAsia="仿宋_GB2312" w:cs="Times New Roman"/>
                <w:color w:val="auto"/>
                <w:kern w:val="2"/>
                <w:sz w:val="24"/>
                <w:szCs w:val="24"/>
                <w:highlight w:val="none"/>
                <w:lang w:val="en-US" w:eastAsia="zh-CN" w:bidi="ar-SA"/>
              </w:rPr>
              <w:t>运输至混凝土制品车间的三级配料仓，通过计量，送到强制式搅拌机的提升斗里，提升至搅拌机里进行搅拌。水泥通过</w:t>
            </w:r>
            <w:r>
              <w:rPr>
                <w:rFonts w:hint="eastAsia" w:eastAsia="仿宋_GB2312" w:cs="Times New Roman"/>
                <w:color w:val="auto"/>
                <w:kern w:val="2"/>
                <w:sz w:val="24"/>
                <w:szCs w:val="24"/>
                <w:highlight w:val="none"/>
                <w:lang w:val="en-US" w:eastAsia="zh-CN" w:bidi="ar-SA"/>
              </w:rPr>
              <w:t>管式</w:t>
            </w:r>
            <w:r>
              <w:rPr>
                <w:rFonts w:hint="eastAsia" w:ascii="Times New Roman" w:hAnsi="Times New Roman" w:eastAsia="仿宋_GB2312" w:cs="Times New Roman"/>
                <w:color w:val="auto"/>
                <w:kern w:val="2"/>
                <w:sz w:val="24"/>
                <w:szCs w:val="24"/>
                <w:highlight w:val="none"/>
                <w:lang w:val="en-US" w:eastAsia="zh-CN" w:bidi="ar-SA"/>
              </w:rPr>
              <w:t>螺旋输送机输送至搅拌机内；水由水泵抽入供给，所有原辅料称量后一起送至搅拌机内。</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3）配料</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生产过程由电脑控制，按照水泥稳定再生骨料无机混合料所需的原料配比，对原材料进行正确称量。技术人员在计算机的帮助下，按先进、合理、经济的配方进行配料。</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4）搅拌、卸料</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投入搅拌机中的原料经过充分的搅拌，使水泥和砂石的亲和力达到最大。搅拌到程序设定时间，主机自动开门卸料。整个生产过程由计算机控制，生产出的水泥稳定再生骨料无机混合料贮存在再生产</w:t>
            </w:r>
            <w:r>
              <w:rPr>
                <w:rFonts w:hint="eastAsia" w:eastAsia="仿宋_GB2312" w:cs="Times New Roman"/>
                <w:color w:val="auto"/>
                <w:kern w:val="2"/>
                <w:sz w:val="24"/>
                <w:szCs w:val="24"/>
                <w:highlight w:val="none"/>
                <w:lang w:val="en-US" w:eastAsia="zh-CN" w:bidi="ar-SA"/>
              </w:rPr>
              <w:t>堆场</w:t>
            </w:r>
            <w:r>
              <w:rPr>
                <w:rFonts w:hint="eastAsia" w:ascii="Times New Roman" w:hAnsi="Times New Roman" w:eastAsia="仿宋_GB2312" w:cs="Times New Roman"/>
                <w:color w:val="auto"/>
                <w:kern w:val="2"/>
                <w:sz w:val="24"/>
                <w:szCs w:val="24"/>
                <w:highlight w:val="none"/>
                <w:lang w:val="en-US" w:eastAsia="zh-CN" w:bidi="ar-SA"/>
              </w:rPr>
              <w:t>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jc w:val="both"/>
              <w:textAlignment w:val="auto"/>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kern w:val="2"/>
                <w:sz w:val="24"/>
                <w:szCs w:val="24"/>
                <w:highlight w:val="none"/>
                <w:lang w:val="en-US" w:eastAsia="zh-CN" w:bidi="ar-SA"/>
              </w:rPr>
              <w:t>⑷</w:t>
            </w:r>
            <w:r>
              <w:rPr>
                <w:rFonts w:hint="default" w:ascii="Times New Roman" w:hAnsi="Times New Roman" w:eastAsia="仿宋_GB2312" w:cs="Times New Roman"/>
                <w:color w:val="auto"/>
                <w:sz w:val="24"/>
                <w:szCs w:val="24"/>
                <w:highlight w:val="none"/>
                <w:lang w:val="en-US" w:eastAsia="zh-CN"/>
              </w:rPr>
              <w:t>产污环节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jc w:val="both"/>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lang w:val="en-US" w:eastAsia="zh-CN"/>
              </w:rPr>
              <w:t>废水：本项目废水主要包括</w:t>
            </w:r>
            <w:r>
              <w:rPr>
                <w:rFonts w:hint="eastAsia" w:eastAsia="仿宋_GB2312" w:cs="Times New Roman"/>
                <w:color w:val="auto"/>
                <w:sz w:val="24"/>
                <w:szCs w:val="24"/>
                <w:highlight w:val="none"/>
                <w:lang w:val="en-US" w:eastAsia="zh-CN"/>
              </w:rPr>
              <w:t>生产废水、厂区道路抑尘废水、厂房抑尘废水、车辆冲洗废水</w:t>
            </w:r>
            <w:r>
              <w:rPr>
                <w:rFonts w:hint="default" w:ascii="Times New Roman" w:hAnsi="Times New Roman" w:eastAsia="仿宋_GB2312" w:cs="Times New Roman"/>
                <w:color w:val="auto"/>
                <w:sz w:val="24"/>
                <w:szCs w:val="24"/>
                <w:highlight w:val="none"/>
                <w:lang w:val="en-US" w:eastAsia="zh-CN"/>
              </w:rPr>
              <w:t>、生活污水</w:t>
            </w:r>
            <w:r>
              <w:rPr>
                <w:rFonts w:hint="eastAsia" w:eastAsia="仿宋_GB2312" w:cs="Times New Roman"/>
                <w:color w:val="auto"/>
                <w:sz w:val="24"/>
                <w:szCs w:val="24"/>
                <w:highlight w:val="none"/>
                <w:lang w:val="en-US" w:eastAsia="zh-CN"/>
              </w:rPr>
              <w:t>和绿化用水</w:t>
            </w:r>
            <w:r>
              <w:rPr>
                <w:rFonts w:hint="default" w:ascii="Times New Roman" w:hAnsi="Times New Roman" w:eastAsia="仿宋_GB2312" w:cs="Times New Roman"/>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jc w:val="both"/>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lang w:val="en-US" w:eastAsia="zh-CN"/>
              </w:rPr>
              <w:t>废气：本项目废气主要包括建筑垃圾运输、破碎、筛分、转运</w:t>
            </w:r>
            <w:r>
              <w:rPr>
                <w:rFonts w:hint="eastAsia" w:ascii="Times New Roman" w:hAnsi="Times New Roman" w:eastAsia="仿宋_GB2312" w:cs="Times New Roman"/>
                <w:color w:val="auto"/>
                <w:sz w:val="24"/>
                <w:szCs w:val="24"/>
                <w:highlight w:val="none"/>
                <w:lang w:val="en-US" w:eastAsia="zh-CN"/>
              </w:rPr>
              <w:t>以及搅拌</w:t>
            </w:r>
            <w:r>
              <w:rPr>
                <w:rFonts w:hint="default" w:ascii="Times New Roman" w:hAnsi="Times New Roman" w:eastAsia="仿宋_GB2312" w:cs="Times New Roman"/>
                <w:color w:val="auto"/>
                <w:sz w:val="24"/>
                <w:szCs w:val="24"/>
                <w:highlight w:val="none"/>
                <w:lang w:val="en-US" w:eastAsia="zh-CN"/>
              </w:rPr>
              <w:t>过程中产生的粉尘等。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jc w:val="both"/>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lang w:val="en-US" w:eastAsia="zh-CN"/>
              </w:rPr>
              <w:t>噪声：本项目噪声主要为工艺设备运行时产生的噪声。</w:t>
            </w:r>
          </w:p>
          <w:p>
            <w:pPr>
              <w:keepNext w:val="0"/>
              <w:keepLines w:val="0"/>
              <w:suppressLineNumbers w:val="0"/>
              <w:adjustRightInd w:val="0"/>
              <w:snapToGrid w:val="0"/>
              <w:spacing w:before="0" w:beforeAutospacing="0" w:after="0" w:afterAutospacing="0" w:line="336" w:lineRule="auto"/>
              <w:ind w:left="0" w:right="0" w:firstLine="480" w:firstLineChars="200"/>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4）</w:t>
            </w:r>
            <w:r>
              <w:rPr>
                <w:rFonts w:hint="default" w:ascii="Times New Roman" w:hAnsi="Times New Roman" w:eastAsia="仿宋_GB2312" w:cs="Times New Roman"/>
                <w:color w:val="auto"/>
                <w:sz w:val="24"/>
                <w:szCs w:val="24"/>
                <w:highlight w:val="none"/>
                <w:lang w:val="en-US" w:eastAsia="zh-CN"/>
              </w:rPr>
              <w:t>固体废物：</w:t>
            </w:r>
          </w:p>
          <w:p>
            <w:pPr>
              <w:keepNext w:val="0"/>
              <w:keepLines w:val="0"/>
              <w:suppressLineNumbers w:val="0"/>
              <w:adjustRightInd w:val="0"/>
              <w:snapToGrid w:val="0"/>
              <w:spacing w:before="0" w:beforeAutospacing="0" w:after="0" w:afterAutospacing="0" w:line="336" w:lineRule="auto"/>
              <w:ind w:left="0" w:right="0" w:firstLine="480" w:firstLineChars="200"/>
              <w:rPr>
                <w:rFonts w:hint="eastAsia"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建筑固废中其他组成：项目设计中主要利用建筑固废中混凝土、砂石等组分，其他组分如沥青、玻璃、金属、塑料、竹木料等；建筑固废中的品质较差骨料和渣土类；生产线废水沉淀泥浆；各类型收尘器集灰系统产生的灰和其他各类废料；生活垃圾；废润滑油等危险废物。</w:t>
            </w:r>
          </w:p>
          <w:p>
            <w:pPr>
              <w:keepNext w:val="0"/>
              <w:keepLines w:val="0"/>
              <w:suppressLineNumbers w:val="0"/>
              <w:adjustRightInd w:val="0"/>
              <w:snapToGrid w:val="0"/>
              <w:spacing w:before="0" w:beforeAutospacing="0" w:after="0" w:afterAutospacing="0" w:line="336" w:lineRule="auto"/>
              <w:ind w:left="0" w:right="0" w:firstLine="480" w:firstLineChars="200"/>
              <w:rPr>
                <w:rFonts w:hint="eastAsia" w:eastAsia="仿宋_GB2312" w:cs="Times New Roman"/>
                <w:snapToGrid/>
                <w:color w:val="auto"/>
                <w:sz w:val="24"/>
                <w:szCs w:val="24"/>
                <w:highlight w:val="none"/>
              </w:rPr>
            </w:pPr>
            <w:r>
              <w:rPr>
                <w:rFonts w:hint="eastAsia" w:eastAsia="仿宋_GB2312" w:cs="Times New Roman"/>
                <w:bCs w:val="0"/>
                <w:snapToGrid/>
                <w:color w:val="auto"/>
                <w:sz w:val="24"/>
                <w:szCs w:val="24"/>
                <w:highlight w:val="none"/>
              </w:rPr>
              <w:t>本项目产污环节汇总见下表。</w:t>
            </w:r>
          </w:p>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
                <w:bCs/>
                <w:snapToGrid/>
                <w:color w:val="auto"/>
                <w:sz w:val="24"/>
                <w:szCs w:val="22"/>
                <w:highlight w:val="none"/>
                <w:lang w:bidi="ar"/>
              </w:rPr>
            </w:pPr>
            <w:r>
              <w:rPr>
                <w:rFonts w:ascii="Times New Roman" w:hAnsi="Times New Roman" w:eastAsia="宋体" w:cs="Times New Roman"/>
                <w:snapToGrid/>
                <w:color w:val="auto"/>
                <w:sz w:val="21"/>
                <w:szCs w:val="21"/>
                <w:highlight w:val="none"/>
                <w:lang w:bidi="ar"/>
              </w:rPr>
              <w:t>表2-</w:t>
            </w:r>
            <w:r>
              <w:rPr>
                <w:rFonts w:hint="eastAsia" w:ascii="Times New Roman" w:hAnsi="Times New Roman" w:eastAsia="宋体" w:cs="Times New Roman"/>
                <w:snapToGrid/>
                <w:color w:val="auto"/>
                <w:sz w:val="21"/>
                <w:szCs w:val="21"/>
                <w:highlight w:val="none"/>
                <w:lang w:eastAsia="zh-CN" w:bidi="ar"/>
              </w:rPr>
              <w:t>1</w:t>
            </w:r>
            <w:r>
              <w:rPr>
                <w:rFonts w:hint="eastAsia" w:ascii="Times New Roman" w:hAnsi="Times New Roman" w:eastAsia="宋体" w:cs="Times New Roman"/>
                <w:snapToGrid/>
                <w:color w:val="auto"/>
                <w:sz w:val="21"/>
                <w:szCs w:val="21"/>
                <w:highlight w:val="none"/>
                <w:lang w:val="en-US" w:eastAsia="zh-CN" w:bidi="ar"/>
              </w:rPr>
              <w:t>1</w:t>
            </w:r>
            <w:r>
              <w:rPr>
                <w:rFonts w:hint="eastAsia" w:eastAsia="黑体" w:cs="Times New Roman"/>
                <w:snapToGrid/>
                <w:sz w:val="24"/>
                <w:szCs w:val="24"/>
              </w:rPr>
              <w:t xml:space="preserve">  </w:t>
            </w:r>
            <w:r>
              <w:rPr>
                <w:rFonts w:hint="eastAsia" w:eastAsia="黑体" w:cs="Times New Roman"/>
                <w:snapToGrid/>
                <w:sz w:val="24"/>
                <w:szCs w:val="24"/>
                <w:lang w:val="en-US" w:eastAsia="zh-CN"/>
              </w:rPr>
              <w:t xml:space="preserve"> </w:t>
            </w:r>
            <w:r>
              <w:rPr>
                <w:rFonts w:hint="default" w:ascii="Times New Roman" w:hAnsi="Times New Roman" w:eastAsia="宋体" w:cs="Times New Roman"/>
                <w:b/>
                <w:bCs/>
                <w:snapToGrid/>
                <w:color w:val="auto"/>
                <w:sz w:val="24"/>
                <w:szCs w:val="22"/>
                <w:highlight w:val="none"/>
                <w:lang w:bidi="ar"/>
              </w:rPr>
              <w:t>污染物</w:t>
            </w:r>
            <w:r>
              <w:rPr>
                <w:rFonts w:ascii="Times New Roman" w:hAnsi="Times New Roman" w:eastAsia="宋体" w:cs="Times New Roman"/>
                <w:b/>
                <w:bCs/>
                <w:snapToGrid/>
                <w:color w:val="auto"/>
                <w:sz w:val="24"/>
                <w:szCs w:val="22"/>
                <w:highlight w:val="none"/>
                <w:lang w:bidi="ar"/>
              </w:rPr>
              <w:t>汇总表</w:t>
            </w:r>
          </w:p>
          <w:tbl>
            <w:tblPr>
              <w:tblStyle w:val="38"/>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2933"/>
              <w:gridCol w:w="2489"/>
              <w:gridCol w:w="163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类别</w:t>
                  </w: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污染源名称</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产污环节编号</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污染物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废气</w:t>
                  </w: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eastAsia" w:cs="Times New Roman" w:eastAsiaTheme="minorEastAsia"/>
                      <w:snapToGrid/>
                      <w:szCs w:val="20"/>
                    </w:rPr>
                    <w:t>车辆运输粉尘</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default" w:cs="Times New Roman" w:eastAsiaTheme="minorEastAsia"/>
                      <w:snapToGrid/>
                      <w:szCs w:val="20"/>
                    </w:rPr>
                    <w:t>G1</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default" w:cs="Times New Roman" w:eastAsiaTheme="minorEastAsia"/>
                      <w:snapToGrid/>
                      <w:szCs w:val="20"/>
                    </w:rPr>
                    <w:t>颗粒物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eastAsia" w:eastAsiaTheme="minorEastAsia"/>
                      <w:szCs w:val="20"/>
                    </w:rPr>
                    <w:t>建筑垃圾原料堆场</w:t>
                  </w:r>
                  <w:r>
                    <w:rPr>
                      <w:rFonts w:hint="eastAsia" w:cs="Times New Roman" w:eastAsiaTheme="minorEastAsia"/>
                      <w:snapToGrid/>
                      <w:kern w:val="2"/>
                      <w:szCs w:val="20"/>
                    </w:rPr>
                    <w:t>装卸粉尘</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default" w:cs="Times New Roman" w:eastAsiaTheme="minorEastAsia"/>
                      <w:snapToGrid/>
                      <w:szCs w:val="20"/>
                    </w:rPr>
                    <w:t>G2</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default" w:cs="Times New Roman" w:eastAsiaTheme="minorEastAsia"/>
                      <w:snapToGrid/>
                      <w:szCs w:val="20"/>
                    </w:rPr>
                    <w:t>颗粒物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eastAsia" w:eastAsiaTheme="minorEastAsia"/>
                      <w:szCs w:val="20"/>
                    </w:rPr>
                  </w:pPr>
                  <w:r>
                    <w:rPr>
                      <w:rFonts w:hint="eastAsia" w:eastAsiaTheme="minorEastAsia"/>
                      <w:szCs w:val="20"/>
                    </w:rPr>
                    <w:t>再生产品堆场装卸粉尘</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eastAsia="zh-CN"/>
                    </w:rPr>
                  </w:pPr>
                  <w:r>
                    <w:rPr>
                      <w:rFonts w:hint="default" w:cs="Times New Roman" w:eastAsiaTheme="minorEastAsia"/>
                      <w:snapToGrid/>
                      <w:szCs w:val="20"/>
                    </w:rPr>
                    <w:t>G</w:t>
                  </w:r>
                  <w:r>
                    <w:rPr>
                      <w:rFonts w:hint="eastAsia" w:cs="Times New Roman" w:eastAsiaTheme="minorEastAsia"/>
                      <w:snapToGrid/>
                      <w:szCs w:val="20"/>
                      <w:lang w:val="en-US" w:eastAsia="zh-CN"/>
                    </w:rPr>
                    <w:t>3</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颗粒物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cs="Times New Roman" w:eastAsiaTheme="minorEastAsia"/>
                      <w:snapToGrid/>
                      <w:szCs w:val="20"/>
                      <w:lang w:val="en-US" w:eastAsia="zh-CN"/>
                    </w:rPr>
                    <w:t>粉料筒仓罐</w:t>
                  </w:r>
                  <w:r>
                    <w:rPr>
                      <w:rFonts w:hint="eastAsia" w:cs="Times New Roman" w:eastAsiaTheme="minorEastAsia"/>
                      <w:snapToGrid/>
                      <w:szCs w:val="20"/>
                    </w:rPr>
                    <w:t>输送储存粉尘</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val="en-US" w:eastAsia="zh-CN"/>
                    </w:rPr>
                  </w:pPr>
                  <w:r>
                    <w:rPr>
                      <w:rFonts w:hint="default" w:cs="Times New Roman" w:eastAsiaTheme="minorEastAsia"/>
                      <w:snapToGrid/>
                      <w:szCs w:val="20"/>
                    </w:rPr>
                    <w:t>G</w:t>
                  </w:r>
                  <w:r>
                    <w:rPr>
                      <w:rFonts w:hint="eastAsia" w:cs="Times New Roman" w:eastAsiaTheme="minorEastAsia"/>
                      <w:snapToGrid/>
                      <w:szCs w:val="20"/>
                      <w:lang w:val="en-US" w:eastAsia="zh-CN"/>
                    </w:rPr>
                    <w:t>4</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颗粒物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cs="Times New Roman" w:eastAsiaTheme="minorEastAsia"/>
                      <w:snapToGrid/>
                      <w:szCs w:val="20"/>
                    </w:rPr>
                    <w:t>搅拌机</w:t>
                  </w:r>
                  <w:r>
                    <w:rPr>
                      <w:rFonts w:hint="eastAsia" w:eastAsiaTheme="minorEastAsia"/>
                      <w:szCs w:val="20"/>
                    </w:rPr>
                    <w:t>逸散</w:t>
                  </w:r>
                  <w:r>
                    <w:rPr>
                      <w:rFonts w:hint="eastAsia" w:cs="Times New Roman" w:eastAsiaTheme="minorEastAsia"/>
                      <w:snapToGrid/>
                      <w:szCs w:val="20"/>
                    </w:rPr>
                    <w:t>粉尘</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val="en-US" w:eastAsia="zh-CN"/>
                    </w:rPr>
                  </w:pPr>
                  <w:r>
                    <w:rPr>
                      <w:rFonts w:hint="eastAsia" w:cs="Times New Roman" w:eastAsiaTheme="minorEastAsia"/>
                      <w:snapToGrid/>
                      <w:szCs w:val="20"/>
                    </w:rPr>
                    <w:t>G</w:t>
                  </w:r>
                  <w:r>
                    <w:rPr>
                      <w:rFonts w:hint="eastAsia" w:cs="Times New Roman" w:eastAsiaTheme="minorEastAsia"/>
                      <w:snapToGrid/>
                      <w:szCs w:val="20"/>
                      <w:lang w:val="en-US" w:eastAsia="zh-CN"/>
                    </w:rPr>
                    <w:t>5</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颗粒物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cs="Times New Roman" w:eastAsiaTheme="minorEastAsia"/>
                      <w:snapToGrid/>
                      <w:szCs w:val="20"/>
                      <w:lang w:val="en-US" w:eastAsia="zh-CN"/>
                    </w:rPr>
                    <w:t>颚式破碎机</w:t>
                  </w:r>
                  <w:r>
                    <w:rPr>
                      <w:rFonts w:hint="eastAsia" w:cs="Times New Roman" w:eastAsiaTheme="minorEastAsia"/>
                      <w:snapToGrid/>
                      <w:szCs w:val="20"/>
                    </w:rPr>
                    <w:t>粉尘</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eastAsia="zh-CN"/>
                    </w:rPr>
                  </w:pPr>
                  <w:r>
                    <w:rPr>
                      <w:rFonts w:hint="eastAsia" w:cs="Times New Roman" w:eastAsiaTheme="minorEastAsia"/>
                      <w:snapToGrid/>
                      <w:szCs w:val="20"/>
                    </w:rPr>
                    <w:t>G</w:t>
                  </w:r>
                  <w:r>
                    <w:rPr>
                      <w:rFonts w:hint="eastAsia" w:cs="Times New Roman" w:eastAsiaTheme="minorEastAsia"/>
                      <w:snapToGrid/>
                      <w:szCs w:val="20"/>
                      <w:lang w:val="en-US" w:eastAsia="zh-CN"/>
                    </w:rPr>
                    <w:t>6</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颗粒物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val="en-US" w:eastAsia="zh-CN"/>
                    </w:rPr>
                  </w:pPr>
                  <w:r>
                    <w:rPr>
                      <w:rFonts w:hint="eastAsia" w:eastAsiaTheme="minorEastAsia"/>
                      <w:szCs w:val="20"/>
                    </w:rPr>
                    <w:t>风选机风选阶段粉尘</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eastAsia="zh-CN"/>
                    </w:rPr>
                  </w:pPr>
                  <w:r>
                    <w:rPr>
                      <w:rFonts w:hint="eastAsia" w:cs="Times New Roman" w:eastAsiaTheme="minorEastAsia"/>
                      <w:snapToGrid/>
                      <w:szCs w:val="20"/>
                    </w:rPr>
                    <w:t>G</w:t>
                  </w:r>
                  <w:r>
                    <w:rPr>
                      <w:rFonts w:hint="eastAsia" w:cs="Times New Roman" w:eastAsiaTheme="minorEastAsia"/>
                      <w:snapToGrid/>
                      <w:szCs w:val="20"/>
                      <w:lang w:val="en-US" w:eastAsia="zh-CN"/>
                    </w:rPr>
                    <w:t>7</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rPr>
                  </w:pPr>
                  <w:r>
                    <w:rPr>
                      <w:rFonts w:hint="default" w:cs="Times New Roman" w:eastAsiaTheme="minorEastAsia"/>
                      <w:snapToGrid/>
                      <w:szCs w:val="20"/>
                    </w:rPr>
                    <w:t>颗粒物</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废水</w:t>
                  </w: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车辆冲洗废水</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W1</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SS</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固废</w:t>
                  </w: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eastAsia" w:eastAsiaTheme="minorEastAsia"/>
                      <w:szCs w:val="20"/>
                    </w:rPr>
                    <w:t>建筑固废中其他组成</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default" w:cs="Times New Roman" w:eastAsiaTheme="minorEastAsia"/>
                      <w:snapToGrid/>
                      <w:szCs w:val="20"/>
                    </w:rPr>
                    <w:t>S1</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kern w:val="2"/>
                      <w:szCs w:val="20"/>
                    </w:rPr>
                  </w:pPr>
                  <w:r>
                    <w:rPr>
                      <w:rFonts w:hint="default" w:cs="Times New Roman" w:eastAsiaTheme="minorEastAsia"/>
                      <w:snapToGrid/>
                      <w:szCs w:val="20"/>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eastAsiaTheme="minorEastAsia"/>
                      <w:szCs w:val="20"/>
                    </w:rPr>
                    <w:t>建筑固废中的品质较差骨料和渣土类</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S2</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eastAsiaTheme="minorEastAsia"/>
                      <w:szCs w:val="20"/>
                    </w:rPr>
                    <w:t>生产线废水沉淀泥浆</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val="en-US" w:eastAsia="zh-CN"/>
                    </w:rPr>
                  </w:pPr>
                  <w:r>
                    <w:rPr>
                      <w:rFonts w:hint="default" w:cs="Times New Roman" w:eastAsiaTheme="minorEastAsia"/>
                      <w:snapToGrid/>
                      <w:szCs w:val="20"/>
                    </w:rPr>
                    <w:t>S</w:t>
                  </w:r>
                  <w:r>
                    <w:rPr>
                      <w:rFonts w:hint="eastAsia" w:cs="Times New Roman" w:eastAsiaTheme="minorEastAsia"/>
                      <w:snapToGrid/>
                      <w:szCs w:val="20"/>
                      <w:lang w:val="en-US" w:eastAsia="zh-CN"/>
                    </w:rPr>
                    <w:t>3</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eastAsiaTheme="minorEastAsia"/>
                      <w:szCs w:val="20"/>
                    </w:rPr>
                    <w:t>各类型收尘器集灰系统</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val="en-US" w:eastAsia="zh-CN"/>
                    </w:rPr>
                  </w:pPr>
                  <w:r>
                    <w:rPr>
                      <w:rFonts w:hint="default" w:cs="Times New Roman" w:eastAsiaTheme="minorEastAsia"/>
                      <w:snapToGrid/>
                      <w:szCs w:val="20"/>
                    </w:rPr>
                    <w:t>S</w:t>
                  </w:r>
                  <w:r>
                    <w:rPr>
                      <w:rFonts w:hint="eastAsia" w:cs="Times New Roman" w:eastAsiaTheme="minorEastAsia"/>
                      <w:snapToGrid/>
                      <w:szCs w:val="20"/>
                      <w:lang w:val="en-US" w:eastAsia="zh-CN"/>
                    </w:rPr>
                    <w:t>4</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eastAsiaTheme="minorEastAsia"/>
                      <w:szCs w:val="20"/>
                    </w:rPr>
                    <w:t>生活垃圾</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val="en-US" w:eastAsia="zh-CN"/>
                    </w:rPr>
                  </w:pPr>
                  <w:r>
                    <w:rPr>
                      <w:rFonts w:hint="default" w:cs="Times New Roman" w:eastAsiaTheme="minorEastAsia"/>
                      <w:snapToGrid/>
                      <w:szCs w:val="20"/>
                    </w:rPr>
                    <w:t>S</w:t>
                  </w:r>
                  <w:r>
                    <w:rPr>
                      <w:rFonts w:hint="eastAsia" w:cs="Times New Roman" w:eastAsiaTheme="minorEastAsia"/>
                      <w:snapToGrid/>
                      <w:szCs w:val="20"/>
                      <w:lang w:val="en-US" w:eastAsia="zh-CN"/>
                    </w:rPr>
                    <w:t>5</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eastAsiaTheme="minorEastAsia"/>
                      <w:szCs w:val="20"/>
                    </w:rPr>
                    <w:t>废润滑油等</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snapToGrid/>
                      <w:szCs w:val="20"/>
                      <w:lang w:val="en-US" w:eastAsia="zh-CN"/>
                    </w:rPr>
                  </w:pPr>
                  <w:r>
                    <w:rPr>
                      <w:rFonts w:hint="default" w:cs="Times New Roman" w:eastAsiaTheme="minorEastAsia"/>
                      <w:snapToGrid/>
                      <w:szCs w:val="20"/>
                    </w:rPr>
                    <w:t>S</w:t>
                  </w:r>
                  <w:r>
                    <w:rPr>
                      <w:rFonts w:hint="eastAsia" w:cs="Times New Roman" w:eastAsiaTheme="minorEastAsia"/>
                      <w:snapToGrid/>
                      <w:szCs w:val="20"/>
                      <w:lang w:val="en-US" w:eastAsia="zh-CN"/>
                    </w:rPr>
                    <w:t>6</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bCs/>
                      <w:snapToGrid/>
                      <w:szCs w:val="20"/>
                    </w:rPr>
                  </w:pPr>
                  <w:r>
                    <w:rPr>
                      <w:rFonts w:hint="default" w:cs="Times New Roman" w:eastAsiaTheme="minorEastAsia"/>
                      <w:b/>
                      <w:bCs/>
                      <w:snapToGrid/>
                      <w:szCs w:val="20"/>
                    </w:rPr>
                    <w:t>噪声</w:t>
                  </w:r>
                </w:p>
              </w:tc>
              <w:tc>
                <w:tcPr>
                  <w:tcW w:w="2933"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eastAsia" w:eastAsiaTheme="minorEastAsia"/>
                      <w:szCs w:val="20"/>
                      <w:lang w:val="en-US" w:eastAsia="zh-CN"/>
                    </w:rPr>
                    <w:t>各</w:t>
                  </w:r>
                  <w:r>
                    <w:rPr>
                      <w:rFonts w:hint="eastAsia" w:eastAsiaTheme="minorEastAsia"/>
                      <w:szCs w:val="20"/>
                    </w:rPr>
                    <w:t>设备运行噪声</w:t>
                  </w:r>
                </w:p>
              </w:tc>
              <w:tc>
                <w:tcPr>
                  <w:tcW w:w="2489"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N1</w:t>
                  </w:r>
                </w:p>
              </w:tc>
              <w:tc>
                <w:tcPr>
                  <w:tcW w:w="1637" w:type="dxa"/>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snapToGrid/>
                      <w:szCs w:val="20"/>
                    </w:rPr>
                  </w:pPr>
                  <w:r>
                    <w:rPr>
                      <w:rFonts w:hint="default" w:cs="Times New Roman" w:eastAsiaTheme="minorEastAsia"/>
                      <w:snapToGrid/>
                      <w:szCs w:val="20"/>
                    </w:rPr>
                    <w:t>噪声</w:t>
                  </w:r>
                </w:p>
              </w:tc>
            </w:tr>
          </w:tbl>
          <w:p>
            <w:pPr>
              <w:keepNext w:val="0"/>
              <w:keepLines w:val="0"/>
              <w:suppressLineNumbers w:val="0"/>
              <w:adjustRightInd w:val="0"/>
              <w:snapToGrid w:val="0"/>
              <w:spacing w:before="0" w:beforeAutospacing="0" w:after="0" w:afterAutospacing="0" w:line="336" w:lineRule="auto"/>
              <w:ind w:left="0" w:right="0" w:firstLine="480" w:firstLineChars="200"/>
              <w:rPr>
                <w:rFonts w:hint="default" w:eastAsia="仿宋_GB2312"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30" w:hRule="atLeast"/>
          <w:jc w:val="center"/>
        </w:trPr>
        <w:tc>
          <w:tcPr>
            <w:tcW w:w="75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工艺流程和产排污环节</w:t>
            </w:r>
          </w:p>
        </w:tc>
        <w:tc>
          <w:tcPr>
            <w:tcW w:w="8602" w:type="dxa"/>
            <w:vMerge w:val="continue"/>
            <w:vAlign w:val="center"/>
          </w:tcPr>
          <w:p>
            <w:pPr>
              <w:keepNext w:val="0"/>
              <w:keepLines w:val="0"/>
              <w:pageBreakBefore w:val="0"/>
              <w:suppressLineNumbers w:val="0"/>
              <w:tabs>
                <w:tab w:val="right" w:pos="0"/>
              </w:tabs>
              <w:kinsoku/>
              <w:wordWrap/>
              <w:topLinePunct w:val="0"/>
              <w:bidi w:val="0"/>
              <w:adjustRightInd w:val="0"/>
              <w:snapToGrid w:val="0"/>
              <w:spacing w:before="0" w:beforeAutospacing="0" w:after="0" w:afterAutospacing="0" w:line="360" w:lineRule="auto"/>
              <w:ind w:left="0" w:right="0"/>
              <w:rPr>
                <w:rFonts w:hint="default" w:ascii="Times New Roman" w:hAnsi="Times New Roman" w:eastAsia="宋体" w:cs="Times New Roman"/>
                <w:b/>
                <w:bCs/>
                <w:color w:val="FF0000"/>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76" w:hRule="atLeast"/>
          <w:jc w:val="center"/>
        </w:trPr>
        <w:tc>
          <w:tcPr>
            <w:tcW w:w="752" w:type="dxa"/>
            <w:vAlign w:val="center"/>
          </w:tcPr>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color w:val="FF0000"/>
                <w:kern w:val="2"/>
                <w:sz w:val="24"/>
                <w:szCs w:val="24"/>
                <w:highlight w:val="none"/>
                <w:lang w:val="en-US" w:eastAsia="zh-CN" w:bidi="ar-SA"/>
              </w:rPr>
            </w:pPr>
          </w:p>
          <w:p>
            <w:pPr>
              <w:pStyle w:val="28"/>
              <w:keepNext w:val="0"/>
              <w:keepLines w:val="0"/>
              <w:suppressLineNumbers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与项目有关的原有环境污染问题</w:t>
            </w: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28"/>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tc>
        <w:tc>
          <w:tcPr>
            <w:tcW w:w="8602" w:type="dxa"/>
            <w:vAlign w:val="center"/>
          </w:tcPr>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rPr>
                <w:rFonts w:hint="default" w:ascii="Times New Roman" w:hAnsi="Times New Roman" w:cs="Times New Roman"/>
                <w:b/>
                <w:bCs/>
                <w:color w:val="FF0000"/>
                <w:highlight w:val="none"/>
                <w:lang w:val="en-US" w:eastAsia="zh-CN"/>
              </w:rPr>
            </w:pPr>
            <w:r>
              <w:rPr>
                <w:rFonts w:hint="eastAsia" w:cs="Times New Roman"/>
                <w:b w:val="0"/>
                <w:bCs w:val="0"/>
                <w:color w:val="auto"/>
                <w:highlight w:val="none"/>
                <w:lang w:val="en-US" w:eastAsia="zh-CN"/>
              </w:rPr>
              <w:t>本项目为新建项目，不属于改建、扩建及技改项目，厂区所处位置为空地，无与本项目有关的原有污染源。</w:t>
            </w:r>
          </w:p>
        </w:tc>
      </w:tr>
    </w:tbl>
    <w:p>
      <w:pPr>
        <w:pStyle w:val="4"/>
        <w:pageBreakBefore w:val="0"/>
        <w:kinsoku/>
        <w:wordWrap/>
        <w:topLinePunct w:val="0"/>
        <w:bidi w:val="0"/>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三、区域环境质量现状、环境保护目标及评价标准</w:t>
      </w:r>
    </w:p>
    <w:tbl>
      <w:tblPr>
        <w:tblStyle w:val="37"/>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6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36" w:hRule="atLeast"/>
          <w:jc w:val="center"/>
        </w:trPr>
        <w:tc>
          <w:tcPr>
            <w:tcW w:w="719" w:type="dxa"/>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区域环境质量现状</w:t>
            </w:r>
          </w:p>
        </w:tc>
        <w:tc>
          <w:tcPr>
            <w:tcW w:w="8635" w:type="dxa"/>
            <w:vMerge w:val="restart"/>
            <w:tcBorders>
              <w:tl2br w:val="nil"/>
              <w:tr2bl w:val="nil"/>
            </w:tcBorders>
            <w:vAlign w:val="center"/>
          </w:tcPr>
          <w:p>
            <w:pPr>
              <w:pStyle w:val="103"/>
              <w:keepNext w:val="0"/>
              <w:keepLines w:val="0"/>
              <w:pageBreakBefore w:val="0"/>
              <w:suppressLineNumbers w:val="0"/>
              <w:kinsoku/>
              <w:wordWrap/>
              <w:topLinePunct w:val="0"/>
              <w:bidi w:val="0"/>
              <w:adjustRightInd w:val="0"/>
              <w:snapToGrid w:val="0"/>
              <w:spacing w:beforeAutospacing="0" w:afterAutospacing="0" w:line="360" w:lineRule="auto"/>
              <w:ind w:left="0" w:right="0"/>
              <w:rPr>
                <w:rFonts w:hint="default" w:ascii="Times New Roman" w:hAnsi="Times New Roman" w:eastAsia="仿宋_GB2312" w:cs="Times New Roman"/>
                <w:color w:val="auto"/>
                <w:szCs w:val="22"/>
                <w:highlight w:val="none"/>
                <w:lang w:eastAsia="zh-CN"/>
              </w:rPr>
            </w:pPr>
            <w:r>
              <w:rPr>
                <w:rFonts w:hint="default" w:ascii="Times New Roman" w:hAnsi="Times New Roman" w:eastAsia="仿宋_GB2312" w:cs="Times New Roman"/>
                <w:color w:val="auto"/>
                <w:szCs w:val="22"/>
                <w:highlight w:val="none"/>
              </w:rPr>
              <w:t>1.</w:t>
            </w:r>
            <w:r>
              <w:rPr>
                <w:rFonts w:hint="default" w:ascii="Times New Roman" w:hAnsi="Times New Roman" w:eastAsia="仿宋_GB2312" w:cs="Times New Roman"/>
                <w:color w:val="auto"/>
                <w:szCs w:val="22"/>
                <w:highlight w:val="none"/>
                <w:lang w:eastAsia="zh-CN"/>
              </w:rPr>
              <w:t>大气环境</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rPr>
                <w:rFonts w:hint="default" w:ascii="Times New Roman" w:hAnsi="Times New Roman" w:eastAsia="仿宋_GB2312" w:cs="Times New Roman"/>
                <w:color w:val="auto"/>
                <w:kern w:val="16"/>
                <w:sz w:val="24"/>
                <w:szCs w:val="24"/>
                <w:highlight w:val="none"/>
                <w:lang w:val="en-US" w:eastAsia="zh-CN" w:bidi="ar-SA"/>
              </w:rPr>
            </w:pPr>
            <w:r>
              <w:rPr>
                <w:rFonts w:hint="eastAsia" w:ascii="Times New Roman" w:hAnsi="Times New Roman" w:eastAsia="仿宋_GB2312" w:cs="Times New Roman"/>
                <w:color w:val="auto"/>
                <w:kern w:val="16"/>
                <w:sz w:val="24"/>
                <w:szCs w:val="24"/>
                <w:highlight w:val="none"/>
                <w:lang w:val="en-US" w:eastAsia="zh-CN" w:bidi="ar-SA"/>
              </w:rPr>
              <w:t>⑴</w:t>
            </w:r>
            <w:r>
              <w:rPr>
                <w:rFonts w:hint="eastAsia" w:cs="Times New Roman"/>
                <w:color w:val="auto"/>
                <w:kern w:val="16"/>
                <w:sz w:val="24"/>
                <w:szCs w:val="24"/>
                <w:highlight w:val="none"/>
                <w:lang w:val="en-US" w:eastAsia="zh-CN" w:bidi="ar-SA"/>
              </w:rPr>
              <w:t>基本污染物</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rPr>
                <w:rFonts w:hint="default" w:ascii="Times New Roman" w:hAnsi="Times New Roman" w:cs="Times New Roman"/>
                <w:color w:val="FF0000"/>
                <w:highlight w:val="none"/>
              </w:rPr>
            </w:pPr>
            <w:r>
              <w:rPr>
                <w:rFonts w:hint="eastAsia" w:eastAsia="仿宋_GB2312" w:cs="Times New Roman"/>
                <w:b w:val="0"/>
                <w:color w:val="auto"/>
                <w:kern w:val="16"/>
                <w:sz w:val="24"/>
                <w:szCs w:val="24"/>
                <w:highlight w:val="none"/>
                <w:lang w:val="en-US" w:eastAsia="zh-CN" w:bidi="ar-SA"/>
              </w:rPr>
              <w:t>本项目位于</w:t>
            </w:r>
            <w:r>
              <w:rPr>
                <w:rFonts w:hint="default" w:eastAsia="仿宋_GB2312" w:cs="Times New Roman"/>
                <w:b w:val="0"/>
                <w:color w:val="auto"/>
                <w:kern w:val="16"/>
                <w:sz w:val="24"/>
                <w:szCs w:val="24"/>
                <w:highlight w:val="none"/>
                <w:lang w:val="en-US" w:eastAsia="zh-CN" w:bidi="ar-SA"/>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cs="Times New Roman"/>
                <w:color w:val="auto"/>
                <w:highlight w:val="none"/>
              </w:rPr>
              <w:t>根据项目所在行政区划位置，项目区域</w:t>
            </w:r>
            <w:r>
              <w:rPr>
                <w:rFonts w:hint="default" w:ascii="Times New Roman" w:hAnsi="Times New Roman" w:cs="Times New Roman"/>
                <w:color w:val="auto"/>
                <w:highlight w:val="none"/>
                <w:lang w:eastAsia="zh-CN"/>
              </w:rPr>
              <w:t>常规污染物</w:t>
            </w:r>
            <w:r>
              <w:rPr>
                <w:rFonts w:hint="default" w:ascii="Times New Roman" w:hAnsi="Times New Roman" w:cs="Times New Roman"/>
                <w:color w:val="auto"/>
                <w:highlight w:val="none"/>
              </w:rPr>
              <w:t>环境空气质量现状引用</w:t>
            </w:r>
            <w:r>
              <w:rPr>
                <w:rFonts w:hint="default" w:ascii="Times New Roman" w:hAnsi="Times New Roman" w:eastAsia="仿宋_GB2312" w:cs="Times New Roman"/>
                <w:color w:val="auto"/>
                <w:sz w:val="24"/>
                <w:szCs w:val="22"/>
                <w:highlight w:val="none"/>
                <w:lang w:val="en-US" w:eastAsia="zh-CN"/>
              </w:rPr>
              <w:t>宁夏回族自治区生态环境厅公开发布的《202</w:t>
            </w:r>
            <w:r>
              <w:rPr>
                <w:rFonts w:hint="default" w:ascii="Times New Roman" w:hAnsi="Times New Roman" w:cs="Times New Roman"/>
                <w:color w:val="auto"/>
                <w:sz w:val="24"/>
                <w:szCs w:val="22"/>
                <w:highlight w:val="none"/>
                <w:lang w:val="en-US" w:eastAsia="zh-CN"/>
              </w:rPr>
              <w:t>4</w:t>
            </w:r>
            <w:r>
              <w:rPr>
                <w:rFonts w:hint="default" w:ascii="Times New Roman" w:hAnsi="Times New Roman" w:eastAsia="仿宋_GB2312" w:cs="Times New Roman"/>
                <w:color w:val="auto"/>
                <w:sz w:val="24"/>
                <w:szCs w:val="22"/>
                <w:highlight w:val="none"/>
                <w:lang w:val="en-US" w:eastAsia="zh-CN"/>
              </w:rPr>
              <w:t>年宁夏生态环境质量状况》中</w:t>
            </w:r>
            <w:r>
              <w:rPr>
                <w:rFonts w:hint="eastAsia" w:cs="Times New Roman"/>
                <w:color w:val="auto"/>
                <w:sz w:val="24"/>
                <w:szCs w:val="22"/>
                <w:highlight w:val="none"/>
                <w:lang w:val="en-US" w:eastAsia="zh-CN"/>
              </w:rPr>
              <w:t>固原</w:t>
            </w:r>
            <w:r>
              <w:rPr>
                <w:rFonts w:hint="default" w:ascii="Times New Roman" w:hAnsi="Times New Roman" w:eastAsia="仿宋_GB2312" w:cs="Times New Roman"/>
                <w:color w:val="auto"/>
                <w:sz w:val="24"/>
                <w:szCs w:val="22"/>
                <w:highlight w:val="none"/>
                <w:lang w:val="en-US" w:eastAsia="zh-CN"/>
              </w:rPr>
              <w:t>市202</w:t>
            </w:r>
            <w:r>
              <w:rPr>
                <w:rFonts w:hint="default" w:ascii="Times New Roman" w:hAnsi="Times New Roman" w:cs="Times New Roman"/>
                <w:color w:val="auto"/>
                <w:sz w:val="24"/>
                <w:szCs w:val="22"/>
                <w:highlight w:val="none"/>
                <w:lang w:val="en-US" w:eastAsia="zh-CN"/>
              </w:rPr>
              <w:t>4</w:t>
            </w:r>
            <w:r>
              <w:rPr>
                <w:rFonts w:hint="default" w:ascii="Times New Roman" w:hAnsi="Times New Roman" w:eastAsia="仿宋_GB2312" w:cs="Times New Roman"/>
                <w:color w:val="auto"/>
                <w:sz w:val="24"/>
                <w:szCs w:val="22"/>
                <w:highlight w:val="none"/>
                <w:lang w:val="en-US" w:eastAsia="zh-CN"/>
              </w:rPr>
              <w:t>年环境空气监测数据和结论</w:t>
            </w:r>
            <w:r>
              <w:rPr>
                <w:rFonts w:hint="default" w:ascii="Times New Roman" w:hAnsi="Times New Roman" w:cs="Times New Roman"/>
                <w:color w:val="auto"/>
                <w:sz w:val="24"/>
                <w:szCs w:val="22"/>
                <w:highlight w:val="none"/>
                <w:lang w:val="en-US" w:eastAsia="zh-CN"/>
              </w:rPr>
              <w:t>（</w:t>
            </w:r>
            <w:r>
              <w:rPr>
                <w:rFonts w:hint="default" w:ascii="Times New Roman" w:hAnsi="Times New Roman" w:eastAsia="仿宋_GB2312" w:cs="Times New Roman"/>
                <w:color w:val="auto"/>
                <w:sz w:val="24"/>
                <w:szCs w:val="22"/>
                <w:highlight w:val="none"/>
                <w:lang w:val="en-US" w:eastAsia="zh-CN"/>
              </w:rPr>
              <w:t>剔除沙尘天气</w:t>
            </w:r>
            <w:r>
              <w:rPr>
                <w:rFonts w:hint="default" w:ascii="Times New Roman" w:hAnsi="Times New Roman" w:cs="Times New Roman"/>
                <w:color w:val="auto"/>
                <w:sz w:val="24"/>
                <w:szCs w:val="22"/>
                <w:highlight w:val="none"/>
                <w:lang w:val="en-US" w:eastAsia="zh-CN"/>
              </w:rPr>
              <w:t>）</w:t>
            </w:r>
            <w:r>
              <w:rPr>
                <w:rFonts w:hint="default" w:ascii="Times New Roman" w:hAnsi="Times New Roman" w:eastAsia="仿宋_GB2312" w:cs="Times New Roman"/>
                <w:color w:val="auto"/>
                <w:sz w:val="24"/>
                <w:szCs w:val="22"/>
                <w:highlight w:val="none"/>
                <w:lang w:val="en-US" w:eastAsia="zh-CN"/>
              </w:rPr>
              <w:t>作为本次评价依据</w:t>
            </w:r>
            <w:r>
              <w:rPr>
                <w:rFonts w:hint="default" w:ascii="Times New Roman" w:hAnsi="Times New Roman" w:eastAsia="仿宋_GB2312" w:cs="Times New Roman"/>
                <w:color w:val="auto"/>
                <w:kern w:val="0"/>
                <w:sz w:val="24"/>
                <w:szCs w:val="24"/>
                <w:highlight w:val="none"/>
              </w:rPr>
              <w:t>，并对监测数据进行分析，说明区域环境空气质量达标情况</w:t>
            </w:r>
            <w:r>
              <w:rPr>
                <w:rFonts w:hint="default" w:ascii="Times New Roman" w:hAnsi="Times New Roman" w:cs="Times New Roman"/>
                <w:color w:val="auto"/>
                <w:highlight w:val="none"/>
              </w:rPr>
              <w:t>。所在区域公布的环境空气质量现状评价具体见</w:t>
            </w:r>
            <w:r>
              <w:rPr>
                <w:rFonts w:hint="default" w:ascii="Times New Roman" w:hAnsi="Times New Roman" w:cs="Times New Roman"/>
                <w:color w:val="auto"/>
                <w:highlight w:val="none"/>
                <w:lang w:eastAsia="zh-CN"/>
              </w:rPr>
              <w:t>下表</w:t>
            </w:r>
            <w:r>
              <w:rPr>
                <w:rFonts w:hint="default" w:ascii="Times New Roman" w:hAnsi="Times New Roman" w:cs="Times New Roman"/>
                <w:color w:val="auto"/>
                <w:highlight w:val="none"/>
              </w:rPr>
              <w:t>。</w:t>
            </w:r>
          </w:p>
          <w:p>
            <w:pPr>
              <w:pStyle w:val="81"/>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eastAsia="黑体" w:cs="Times New Roman"/>
                <w:b w:val="0"/>
                <w:bCs/>
                <w:color w:val="auto"/>
                <w:sz w:val="24"/>
                <w:szCs w:val="24"/>
                <w:highlight w:val="none"/>
              </w:rPr>
            </w:pPr>
            <w:r>
              <w:rPr>
                <w:rFonts w:hint="default" w:ascii="Times New Roman" w:hAnsi="Times New Roman" w:eastAsia="宋体" w:cs="Times New Roman"/>
                <w:b w:val="0"/>
                <w:bCs w:val="0"/>
                <w:color w:val="auto"/>
                <w:kern w:val="2"/>
                <w:sz w:val="21"/>
                <w:szCs w:val="21"/>
                <w:highlight w:val="none"/>
                <w:lang w:val="en-US" w:eastAsia="zh-CN" w:bidi="ar"/>
              </w:rPr>
              <w:t>表</w:t>
            </w:r>
            <w:r>
              <w:rPr>
                <w:rFonts w:hint="default" w:ascii="Times New Roman" w:hAnsi="Times New Roman" w:cs="Times New Roman"/>
                <w:b w:val="0"/>
                <w:bCs w:val="0"/>
                <w:color w:val="auto"/>
                <w:kern w:val="2"/>
                <w:sz w:val="21"/>
                <w:szCs w:val="21"/>
                <w:highlight w:val="none"/>
                <w:lang w:val="en-US" w:eastAsia="zh-CN" w:bidi="ar"/>
              </w:rPr>
              <w:t>3-1</w:t>
            </w:r>
            <w:r>
              <w:rPr>
                <w:rFonts w:hint="default" w:ascii="Times New Roman" w:hAnsi="Times New Roman" w:cs="Times New Roman"/>
                <w:b/>
                <w:bCs/>
                <w:color w:val="auto"/>
                <w:kern w:val="2"/>
                <w:sz w:val="24"/>
                <w:szCs w:val="22"/>
                <w:highlight w:val="none"/>
                <w:lang w:val="en-US" w:eastAsia="zh-CN" w:bidi="ar"/>
              </w:rPr>
              <w:t xml:space="preserve">  </w:t>
            </w:r>
            <w:r>
              <w:rPr>
                <w:rFonts w:hint="default" w:ascii="Times New Roman" w:hAnsi="Times New Roman" w:eastAsia="宋体" w:cs="Times New Roman"/>
                <w:b/>
                <w:bCs/>
                <w:color w:val="auto"/>
                <w:kern w:val="2"/>
                <w:sz w:val="24"/>
                <w:szCs w:val="22"/>
                <w:highlight w:val="none"/>
                <w:lang w:val="en-US" w:eastAsia="zh-CN" w:bidi="ar"/>
              </w:rPr>
              <w:t xml:space="preserve"> 项目所在区域环境现状监测数据统计表</w:t>
            </w:r>
          </w:p>
          <w:tbl>
            <w:tblPr>
              <w:tblStyle w:val="37"/>
              <w:tblW w:w="83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18"/>
              <w:gridCol w:w="2250"/>
              <w:gridCol w:w="1153"/>
              <w:gridCol w:w="1542"/>
              <w:gridCol w:w="1158"/>
              <w:gridCol w:w="10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18" w:type="dxa"/>
                  <w:tcBorders>
                    <w:top w:val="single" w:color="auto" w:sz="12" w:space="0"/>
                    <w:left w:val="single" w:color="auto" w:sz="12"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napToGrid w:val="0"/>
                      <w:color w:val="auto"/>
                      <w:kern w:val="0"/>
                      <w:szCs w:val="21"/>
                      <w:highlight w:val="none"/>
                    </w:rPr>
                  </w:pPr>
                  <w:r>
                    <w:rPr>
                      <w:rFonts w:hint="default" w:ascii="Times New Roman" w:hAnsi="Times New Roman" w:cs="Times New Roman"/>
                      <w:b/>
                      <w:bCs/>
                      <w:snapToGrid w:val="0"/>
                      <w:color w:val="auto"/>
                      <w:kern w:val="0"/>
                      <w:szCs w:val="21"/>
                      <w:highlight w:val="none"/>
                    </w:rPr>
                    <w:t>污染物</w:t>
                  </w:r>
                </w:p>
              </w:tc>
              <w:tc>
                <w:tcPr>
                  <w:tcW w:w="2250" w:type="dxa"/>
                  <w:tcBorders>
                    <w:top w:val="single" w:color="auto" w:sz="12"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napToGrid w:val="0"/>
                      <w:color w:val="auto"/>
                      <w:kern w:val="0"/>
                      <w:szCs w:val="21"/>
                      <w:highlight w:val="none"/>
                    </w:rPr>
                  </w:pPr>
                  <w:r>
                    <w:rPr>
                      <w:rFonts w:hint="default" w:ascii="Times New Roman" w:hAnsi="Times New Roman" w:cs="Times New Roman"/>
                      <w:b/>
                      <w:bCs/>
                      <w:snapToGrid w:val="0"/>
                      <w:color w:val="auto"/>
                      <w:kern w:val="0"/>
                      <w:szCs w:val="21"/>
                      <w:highlight w:val="none"/>
                    </w:rPr>
                    <w:t>年评价指标</w:t>
                  </w:r>
                </w:p>
              </w:tc>
              <w:tc>
                <w:tcPr>
                  <w:tcW w:w="1153" w:type="dxa"/>
                  <w:tcBorders>
                    <w:top w:val="single" w:color="auto" w:sz="12"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napToGrid w:val="0"/>
                      <w:color w:val="auto"/>
                      <w:kern w:val="0"/>
                      <w:szCs w:val="21"/>
                      <w:highlight w:val="none"/>
                      <w:lang w:eastAsia="zh-CN"/>
                    </w:rPr>
                  </w:pPr>
                  <w:r>
                    <w:rPr>
                      <w:rFonts w:hint="default" w:ascii="Times New Roman" w:hAnsi="Times New Roman" w:cs="Times New Roman"/>
                      <w:b/>
                      <w:bCs/>
                      <w:snapToGrid w:val="0"/>
                      <w:color w:val="auto"/>
                      <w:kern w:val="0"/>
                      <w:szCs w:val="21"/>
                      <w:highlight w:val="none"/>
                    </w:rPr>
                    <w:t>现状浓度</w:t>
                  </w:r>
                  <w:r>
                    <w:rPr>
                      <w:rFonts w:hint="default" w:ascii="Times New Roman" w:hAnsi="Times New Roman" w:cs="Times New Roman"/>
                      <w:b/>
                      <w:bCs/>
                      <w:snapToGrid w:val="0"/>
                      <w:color w:val="auto"/>
                      <w:kern w:val="0"/>
                      <w:szCs w:val="21"/>
                      <w:highlight w:val="none"/>
                      <w:lang w:eastAsia="zh-CN"/>
                    </w:rPr>
                    <w:t>(</w:t>
                  </w:r>
                  <w:r>
                    <w:rPr>
                      <w:rFonts w:hint="default" w:ascii="Times New Roman" w:hAnsi="Times New Roman" w:cs="Times New Roman"/>
                      <w:b/>
                      <w:bCs/>
                      <w:snapToGrid w:val="0"/>
                      <w:color w:val="auto"/>
                      <w:kern w:val="0"/>
                      <w:szCs w:val="21"/>
                      <w:highlight w:val="none"/>
                    </w:rPr>
                    <w:t>μg/m</w:t>
                  </w:r>
                  <w:r>
                    <w:rPr>
                      <w:rFonts w:hint="default" w:ascii="Times New Roman" w:hAnsi="Times New Roman" w:cs="Times New Roman"/>
                      <w:b/>
                      <w:bCs/>
                      <w:snapToGrid w:val="0"/>
                      <w:color w:val="auto"/>
                      <w:kern w:val="0"/>
                      <w:szCs w:val="21"/>
                      <w:highlight w:val="none"/>
                      <w:vertAlign w:val="superscript"/>
                    </w:rPr>
                    <w:t>3</w:t>
                  </w:r>
                  <w:r>
                    <w:rPr>
                      <w:rFonts w:hint="default" w:ascii="Times New Roman" w:hAnsi="Times New Roman" w:cs="Times New Roman"/>
                      <w:b/>
                      <w:bCs/>
                      <w:snapToGrid w:val="0"/>
                      <w:color w:val="auto"/>
                      <w:kern w:val="0"/>
                      <w:szCs w:val="21"/>
                      <w:highlight w:val="none"/>
                      <w:lang w:eastAsia="zh-CN"/>
                    </w:rPr>
                    <w:t>)</w:t>
                  </w:r>
                </w:p>
              </w:tc>
              <w:tc>
                <w:tcPr>
                  <w:tcW w:w="1542" w:type="dxa"/>
                  <w:tcBorders>
                    <w:top w:val="single" w:color="auto" w:sz="12"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napToGrid w:val="0"/>
                      <w:color w:val="auto"/>
                      <w:kern w:val="0"/>
                      <w:szCs w:val="21"/>
                      <w:highlight w:val="none"/>
                      <w:lang w:eastAsia="zh-CN"/>
                    </w:rPr>
                  </w:pPr>
                  <w:r>
                    <w:rPr>
                      <w:rFonts w:hint="default" w:ascii="Times New Roman" w:hAnsi="Times New Roman" w:cs="Times New Roman"/>
                      <w:b/>
                      <w:bCs/>
                      <w:snapToGrid w:val="0"/>
                      <w:color w:val="auto"/>
                      <w:kern w:val="0"/>
                      <w:szCs w:val="21"/>
                      <w:highlight w:val="none"/>
                    </w:rPr>
                    <w:t>标准值</w:t>
                  </w:r>
                  <w:r>
                    <w:rPr>
                      <w:rFonts w:hint="default" w:ascii="Times New Roman" w:hAnsi="Times New Roman" w:cs="Times New Roman"/>
                      <w:b/>
                      <w:bCs/>
                      <w:snapToGrid w:val="0"/>
                      <w:color w:val="auto"/>
                      <w:kern w:val="0"/>
                      <w:szCs w:val="21"/>
                      <w:highlight w:val="none"/>
                      <w:lang w:eastAsia="zh-CN"/>
                    </w:rPr>
                    <w:t>(</w:t>
                  </w:r>
                  <w:r>
                    <w:rPr>
                      <w:rFonts w:hint="default" w:ascii="Times New Roman" w:hAnsi="Times New Roman" w:cs="Times New Roman"/>
                      <w:b/>
                      <w:bCs/>
                      <w:snapToGrid w:val="0"/>
                      <w:color w:val="auto"/>
                      <w:kern w:val="0"/>
                      <w:szCs w:val="21"/>
                      <w:highlight w:val="none"/>
                    </w:rPr>
                    <w:t>μg/m</w:t>
                  </w:r>
                  <w:r>
                    <w:rPr>
                      <w:rFonts w:hint="default" w:ascii="Times New Roman" w:hAnsi="Times New Roman" w:cs="Times New Roman"/>
                      <w:b/>
                      <w:bCs/>
                      <w:snapToGrid w:val="0"/>
                      <w:color w:val="auto"/>
                      <w:kern w:val="0"/>
                      <w:szCs w:val="21"/>
                      <w:highlight w:val="none"/>
                      <w:vertAlign w:val="superscript"/>
                    </w:rPr>
                    <w:t>3</w:t>
                  </w:r>
                  <w:r>
                    <w:rPr>
                      <w:rFonts w:hint="default" w:ascii="Times New Roman" w:hAnsi="Times New Roman" w:cs="Times New Roman"/>
                      <w:b/>
                      <w:bCs/>
                      <w:snapToGrid w:val="0"/>
                      <w:color w:val="auto"/>
                      <w:kern w:val="0"/>
                      <w:szCs w:val="21"/>
                      <w:highlight w:val="none"/>
                      <w:lang w:eastAsia="zh-CN"/>
                    </w:rPr>
                    <w:t>)</w:t>
                  </w:r>
                </w:p>
              </w:tc>
              <w:tc>
                <w:tcPr>
                  <w:tcW w:w="1158" w:type="dxa"/>
                  <w:tcBorders>
                    <w:top w:val="single" w:color="auto" w:sz="12" w:space="0"/>
                    <w:left w:val="single" w:color="auto" w:sz="6" w:space="0"/>
                    <w:bottom w:val="single" w:color="auto" w:sz="6" w:space="0"/>
                    <w:right w:val="single" w:color="auto" w:sz="6"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napToGrid w:val="0"/>
                      <w:color w:val="auto"/>
                      <w:kern w:val="0"/>
                      <w:szCs w:val="21"/>
                      <w:highlight w:val="none"/>
                    </w:rPr>
                  </w:pPr>
                  <w:r>
                    <w:rPr>
                      <w:rFonts w:hint="default" w:ascii="Times New Roman" w:hAnsi="Times New Roman" w:cs="Times New Roman"/>
                      <w:b/>
                      <w:bCs/>
                      <w:snapToGrid w:val="0"/>
                      <w:color w:val="auto"/>
                      <w:kern w:val="0"/>
                      <w:szCs w:val="21"/>
                      <w:highlight w:val="none"/>
                    </w:rPr>
                    <w:t>占标率/%</w:t>
                  </w:r>
                </w:p>
              </w:tc>
              <w:tc>
                <w:tcPr>
                  <w:tcW w:w="1069" w:type="dxa"/>
                  <w:tcBorders>
                    <w:top w:val="single" w:color="auto" w:sz="12" w:space="0"/>
                    <w:left w:val="single" w:color="auto" w:sz="6" w:space="0"/>
                    <w:bottom w:val="single" w:color="auto" w:sz="6" w:space="0"/>
                    <w:right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snapToGrid w:val="0"/>
                      <w:color w:val="auto"/>
                      <w:kern w:val="0"/>
                      <w:szCs w:val="21"/>
                      <w:highlight w:val="none"/>
                    </w:rPr>
                  </w:pPr>
                  <w:r>
                    <w:rPr>
                      <w:rFonts w:hint="default" w:ascii="Times New Roman" w:hAnsi="Times New Roman" w:cs="Times New Roman"/>
                      <w:b/>
                      <w:bCs/>
                      <w:snapToGrid w:val="0"/>
                      <w:color w:val="auto"/>
                      <w:kern w:val="0"/>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18"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auto"/>
                      <w:kern w:val="0"/>
                      <w:szCs w:val="21"/>
                      <w:highlight w:val="none"/>
                      <w:lang w:eastAsia="zh-CN"/>
                    </w:rPr>
                  </w:pPr>
                  <w:r>
                    <w:rPr>
                      <w:rFonts w:hint="default" w:ascii="Times New Roman" w:hAnsi="Times New Roman" w:eastAsia="宋体" w:cs="Times New Roman"/>
                      <w:b/>
                      <w:color w:val="auto"/>
                      <w:szCs w:val="21"/>
                      <w:highlight w:val="none"/>
                    </w:rPr>
                    <w:t>PM</w:t>
                  </w:r>
                  <w:r>
                    <w:rPr>
                      <w:rFonts w:hint="default" w:ascii="Times New Roman" w:hAnsi="Times New Roman" w:eastAsia="宋体" w:cs="Times New Roman"/>
                      <w:b/>
                      <w:color w:val="auto"/>
                      <w:szCs w:val="21"/>
                      <w:highlight w:val="none"/>
                      <w:vertAlign w:val="subscript"/>
                    </w:rPr>
                    <w:t>10</w:t>
                  </w:r>
                </w:p>
              </w:tc>
              <w:tc>
                <w:tcPr>
                  <w:tcW w:w="22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年平均浓度</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default" w:ascii="Times New Roman" w:hAnsi="Times New Roman" w:cs="Times New Roman"/>
                      <w:b w:val="0"/>
                      <w:bCs/>
                      <w:color w:val="auto"/>
                      <w:sz w:val="21"/>
                      <w:szCs w:val="21"/>
                      <w:highlight w:val="none"/>
                      <w:lang w:val="en-US" w:eastAsia="zh-CN"/>
                    </w:rPr>
                    <w:t>6</w:t>
                  </w:r>
                  <w:r>
                    <w:rPr>
                      <w:rFonts w:hint="eastAsia" w:cs="Times New Roman"/>
                      <w:b w:val="0"/>
                      <w:bCs/>
                      <w:color w:val="auto"/>
                      <w:sz w:val="21"/>
                      <w:szCs w:val="21"/>
                      <w:highlight w:val="none"/>
                      <w:lang w:val="en-US" w:eastAsia="zh-CN"/>
                    </w:rPr>
                    <w:t>1</w:t>
                  </w:r>
                </w:p>
              </w:tc>
              <w:tc>
                <w:tcPr>
                  <w:tcW w:w="154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b w:val="0"/>
                      <w:bCs/>
                      <w:color w:val="auto"/>
                      <w:sz w:val="21"/>
                      <w:szCs w:val="21"/>
                      <w:highlight w:val="none"/>
                      <w:lang w:val="en-US" w:eastAsia="zh-CN"/>
                    </w:rPr>
                    <w:t>70</w:t>
                  </w:r>
                </w:p>
              </w:tc>
              <w:tc>
                <w:tcPr>
                  <w:tcW w:w="115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87.1</w:t>
                  </w:r>
                </w:p>
              </w:tc>
              <w:tc>
                <w:tcPr>
                  <w:tcW w:w="1069" w:type="dxa"/>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18"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auto"/>
                      <w:kern w:val="0"/>
                      <w:szCs w:val="21"/>
                      <w:highlight w:val="none"/>
                      <w:lang w:eastAsia="zh-CN"/>
                    </w:rPr>
                  </w:pPr>
                  <w:r>
                    <w:rPr>
                      <w:rFonts w:hint="default" w:ascii="Times New Roman" w:hAnsi="Times New Roman" w:eastAsia="宋体" w:cs="Times New Roman"/>
                      <w:b/>
                      <w:color w:val="auto"/>
                      <w:szCs w:val="21"/>
                      <w:highlight w:val="none"/>
                    </w:rPr>
                    <w:t>PM</w:t>
                  </w:r>
                  <w:r>
                    <w:rPr>
                      <w:rFonts w:hint="default" w:ascii="Times New Roman" w:hAnsi="Times New Roman" w:eastAsia="宋体" w:cs="Times New Roman"/>
                      <w:b/>
                      <w:color w:val="auto"/>
                      <w:szCs w:val="21"/>
                      <w:highlight w:val="none"/>
                      <w:vertAlign w:val="subscript"/>
                    </w:rPr>
                    <w:t>2.5</w:t>
                  </w:r>
                </w:p>
              </w:tc>
              <w:tc>
                <w:tcPr>
                  <w:tcW w:w="22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年平均浓度</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b w:val="0"/>
                      <w:bCs/>
                      <w:color w:val="auto"/>
                      <w:sz w:val="21"/>
                      <w:szCs w:val="21"/>
                      <w:highlight w:val="none"/>
                      <w:lang w:val="en-US" w:eastAsia="zh-CN"/>
                    </w:rPr>
                    <w:t>2</w:t>
                  </w:r>
                  <w:r>
                    <w:rPr>
                      <w:rFonts w:hint="default" w:ascii="Times New Roman" w:hAnsi="Times New Roman" w:cs="Times New Roman"/>
                      <w:b w:val="0"/>
                      <w:bCs/>
                      <w:color w:val="auto"/>
                      <w:sz w:val="21"/>
                      <w:szCs w:val="21"/>
                      <w:highlight w:val="none"/>
                      <w:lang w:val="en-US" w:eastAsia="zh-CN"/>
                    </w:rPr>
                    <w:t>6</w:t>
                  </w:r>
                </w:p>
              </w:tc>
              <w:tc>
                <w:tcPr>
                  <w:tcW w:w="154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35</w:t>
                  </w:r>
                </w:p>
              </w:tc>
              <w:tc>
                <w:tcPr>
                  <w:tcW w:w="115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74.3</w:t>
                  </w:r>
                </w:p>
              </w:tc>
              <w:tc>
                <w:tcPr>
                  <w:tcW w:w="1069" w:type="dxa"/>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18"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b/>
                      <w:color w:val="auto"/>
                      <w:szCs w:val="21"/>
                      <w:highlight w:val="none"/>
                    </w:rPr>
                    <w:t>SO</w:t>
                  </w:r>
                  <w:r>
                    <w:rPr>
                      <w:rFonts w:hint="default" w:ascii="Times New Roman" w:hAnsi="Times New Roman" w:eastAsia="宋体" w:cs="Times New Roman"/>
                      <w:b/>
                      <w:color w:val="auto"/>
                      <w:szCs w:val="21"/>
                      <w:highlight w:val="none"/>
                      <w:vertAlign w:val="subscript"/>
                    </w:rPr>
                    <w:t>2</w:t>
                  </w:r>
                </w:p>
              </w:tc>
              <w:tc>
                <w:tcPr>
                  <w:tcW w:w="22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年平均浓度</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b w:val="0"/>
                      <w:bCs/>
                      <w:color w:val="auto"/>
                      <w:sz w:val="21"/>
                      <w:szCs w:val="21"/>
                      <w:highlight w:val="none"/>
                      <w:lang w:val="en-US" w:eastAsia="zh-CN"/>
                    </w:rPr>
                    <w:t>6</w:t>
                  </w:r>
                </w:p>
              </w:tc>
              <w:tc>
                <w:tcPr>
                  <w:tcW w:w="154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60</w:t>
                  </w:r>
                </w:p>
              </w:tc>
              <w:tc>
                <w:tcPr>
                  <w:tcW w:w="115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0.1</w:t>
                  </w:r>
                </w:p>
              </w:tc>
              <w:tc>
                <w:tcPr>
                  <w:tcW w:w="1069" w:type="dxa"/>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18"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b/>
                      <w:color w:val="auto"/>
                      <w:szCs w:val="21"/>
                      <w:highlight w:val="none"/>
                    </w:rPr>
                    <w:t>NO</w:t>
                  </w:r>
                  <w:r>
                    <w:rPr>
                      <w:rFonts w:hint="default" w:ascii="Times New Roman" w:hAnsi="Times New Roman" w:eastAsia="宋体" w:cs="Times New Roman"/>
                      <w:b/>
                      <w:color w:val="auto"/>
                      <w:szCs w:val="21"/>
                      <w:highlight w:val="none"/>
                      <w:vertAlign w:val="subscript"/>
                    </w:rPr>
                    <w:t>2</w:t>
                  </w:r>
                </w:p>
              </w:tc>
              <w:tc>
                <w:tcPr>
                  <w:tcW w:w="22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年平均浓度</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b w:val="0"/>
                      <w:bCs/>
                      <w:color w:val="auto"/>
                      <w:sz w:val="21"/>
                      <w:szCs w:val="21"/>
                      <w:highlight w:val="none"/>
                      <w:lang w:val="en-US" w:eastAsia="zh-CN"/>
                    </w:rPr>
                    <w:t>17</w:t>
                  </w:r>
                </w:p>
              </w:tc>
              <w:tc>
                <w:tcPr>
                  <w:tcW w:w="154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40</w:t>
                  </w:r>
                </w:p>
              </w:tc>
              <w:tc>
                <w:tcPr>
                  <w:tcW w:w="115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42.5</w:t>
                  </w:r>
                </w:p>
              </w:tc>
              <w:tc>
                <w:tcPr>
                  <w:tcW w:w="1069" w:type="dxa"/>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18" w:type="dxa"/>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b/>
                      <w:color w:val="auto"/>
                      <w:szCs w:val="21"/>
                      <w:highlight w:val="none"/>
                    </w:rPr>
                    <w:t>CO</w:t>
                  </w:r>
                </w:p>
              </w:tc>
              <w:tc>
                <w:tcPr>
                  <w:tcW w:w="22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auto"/>
                      <w:kern w:val="0"/>
                      <w:szCs w:val="21"/>
                      <w:highlight w:val="none"/>
                      <w:lang w:eastAsia="zh-CN"/>
                    </w:rPr>
                  </w:pPr>
                  <w:r>
                    <w:rPr>
                      <w:rFonts w:hint="default" w:ascii="Times New Roman" w:hAnsi="Times New Roman" w:eastAsia="宋体" w:cs="Times New Roman"/>
                      <w:color w:val="auto"/>
                      <w:szCs w:val="22"/>
                      <w:highlight w:val="none"/>
                    </w:rPr>
                    <w:t>24小时平均第95百分位数</w:t>
                  </w:r>
                  <w:r>
                    <w:rPr>
                      <w:rFonts w:hint="default" w:ascii="Times New Roman" w:hAnsi="Times New Roman" w:eastAsia="宋体" w:cs="Times New Roman"/>
                      <w:color w:val="auto"/>
                      <w:spacing w:val="-20"/>
                      <w:szCs w:val="21"/>
                      <w:highlight w:val="none"/>
                      <w:lang w:eastAsia="zh-CN"/>
                    </w:rPr>
                    <w:t>(</w:t>
                  </w:r>
                  <w:r>
                    <w:rPr>
                      <w:rFonts w:hint="default" w:ascii="Times New Roman" w:hAnsi="Times New Roman" w:eastAsia="宋体" w:cs="Times New Roman"/>
                      <w:color w:val="auto"/>
                      <w:spacing w:val="-20"/>
                      <w:szCs w:val="21"/>
                      <w:highlight w:val="none"/>
                    </w:rPr>
                    <w:t>mg /m</w:t>
                  </w:r>
                  <w:r>
                    <w:rPr>
                      <w:rFonts w:hint="default" w:ascii="Times New Roman" w:hAnsi="Times New Roman" w:eastAsia="宋体" w:cs="Times New Roman"/>
                      <w:color w:val="auto"/>
                      <w:spacing w:val="-20"/>
                      <w:szCs w:val="21"/>
                      <w:highlight w:val="none"/>
                      <w:vertAlign w:val="superscript"/>
                    </w:rPr>
                    <w:t>3</w:t>
                  </w:r>
                  <w:r>
                    <w:rPr>
                      <w:rFonts w:hint="default" w:ascii="Times New Roman" w:hAnsi="Times New Roman" w:eastAsia="宋体" w:cs="Times New Roman"/>
                      <w:color w:val="auto"/>
                      <w:spacing w:val="-20"/>
                      <w:szCs w:val="21"/>
                      <w:highlight w:val="none"/>
                      <w:lang w:eastAsia="zh-CN"/>
                    </w:rPr>
                    <w:t>)</w:t>
                  </w:r>
                </w:p>
              </w:tc>
              <w:tc>
                <w:tcPr>
                  <w:tcW w:w="115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0</w:t>
                  </w:r>
                </w:p>
              </w:tc>
              <w:tc>
                <w:tcPr>
                  <w:tcW w:w="154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b w:val="0"/>
                      <w:bCs/>
                      <w:color w:val="auto"/>
                      <w:sz w:val="21"/>
                      <w:szCs w:val="21"/>
                      <w:highlight w:val="none"/>
                    </w:rPr>
                    <w:t>4.0</w:t>
                  </w:r>
                </w:p>
              </w:tc>
              <w:tc>
                <w:tcPr>
                  <w:tcW w:w="115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b w:val="0"/>
                      <w:bCs/>
                      <w:color w:val="auto"/>
                      <w:sz w:val="21"/>
                      <w:szCs w:val="21"/>
                      <w:highlight w:val="none"/>
                      <w:lang w:val="en-US" w:eastAsia="zh-CN"/>
                    </w:rPr>
                    <w:t>25.0</w:t>
                  </w:r>
                </w:p>
              </w:tc>
              <w:tc>
                <w:tcPr>
                  <w:tcW w:w="1069" w:type="dxa"/>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18" w:type="dxa"/>
                  <w:tcBorders>
                    <w:top w:val="single" w:color="auto" w:sz="6" w:space="0"/>
                    <w:left w:val="single" w:color="auto" w:sz="12" w:space="0"/>
                    <w:bottom w:val="single" w:color="auto" w:sz="12"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b/>
                      <w:color w:val="auto"/>
                      <w:szCs w:val="21"/>
                      <w:highlight w:val="none"/>
                    </w:rPr>
                    <w:t>O</w:t>
                  </w:r>
                  <w:r>
                    <w:rPr>
                      <w:rFonts w:hint="default" w:ascii="Times New Roman" w:hAnsi="Times New Roman" w:eastAsia="宋体" w:cs="Times New Roman"/>
                      <w:b/>
                      <w:color w:val="auto"/>
                      <w:szCs w:val="21"/>
                      <w:highlight w:val="none"/>
                      <w:vertAlign w:val="subscript"/>
                    </w:rPr>
                    <w:t>3</w:t>
                  </w:r>
                </w:p>
              </w:tc>
              <w:tc>
                <w:tcPr>
                  <w:tcW w:w="2250"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color w:val="auto"/>
                      <w:szCs w:val="22"/>
                      <w:highlight w:val="none"/>
                    </w:rPr>
                    <w:t>日最大8小时滑动平均值的第90百分位数</w:t>
                  </w:r>
                </w:p>
              </w:tc>
              <w:tc>
                <w:tcPr>
                  <w:tcW w:w="1153"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r>
                    <w:rPr>
                      <w:rFonts w:hint="eastAsia" w:cs="Times New Roman"/>
                      <w:b w:val="0"/>
                      <w:bCs/>
                      <w:color w:val="auto"/>
                      <w:sz w:val="21"/>
                      <w:szCs w:val="21"/>
                      <w:highlight w:val="none"/>
                      <w:lang w:val="en-US" w:eastAsia="zh-CN"/>
                    </w:rPr>
                    <w:t>36</w:t>
                  </w:r>
                </w:p>
              </w:tc>
              <w:tc>
                <w:tcPr>
                  <w:tcW w:w="1542"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b w:val="0"/>
                      <w:bCs/>
                      <w:color w:val="auto"/>
                      <w:sz w:val="21"/>
                      <w:szCs w:val="21"/>
                      <w:highlight w:val="none"/>
                    </w:rPr>
                    <w:t>160</w:t>
                  </w:r>
                </w:p>
              </w:tc>
              <w:tc>
                <w:tcPr>
                  <w:tcW w:w="1158"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b w:val="0"/>
                      <w:bCs/>
                      <w:color w:val="auto"/>
                      <w:sz w:val="21"/>
                      <w:szCs w:val="21"/>
                      <w:highlight w:val="none"/>
                      <w:lang w:val="en-US" w:eastAsia="zh-CN"/>
                    </w:rPr>
                    <w:t>85.0</w:t>
                  </w:r>
                </w:p>
              </w:tc>
              <w:tc>
                <w:tcPr>
                  <w:tcW w:w="1069" w:type="dxa"/>
                  <w:tcBorders>
                    <w:top w:val="single" w:color="auto" w:sz="6" w:space="0"/>
                    <w:left w:val="single" w:color="auto" w:sz="6" w:space="0"/>
                    <w:bottom w:val="single" w:color="auto" w:sz="12" w:space="0"/>
                    <w:right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color w:val="auto"/>
                      <w:szCs w:val="21"/>
                      <w:highlight w:val="none"/>
                      <w:lang w:eastAsia="zh-CN"/>
                    </w:rPr>
                    <w:t>达</w:t>
                  </w:r>
                  <w:r>
                    <w:rPr>
                      <w:rFonts w:hint="default" w:ascii="Times New Roman" w:hAnsi="Times New Roman" w:eastAsia="宋体" w:cs="Times New Roman"/>
                      <w:color w:val="auto"/>
                      <w:szCs w:val="21"/>
                      <w:highlight w:val="none"/>
                    </w:rPr>
                    <w:t>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仿宋_GB2312" w:cs="Times New Roman"/>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en-US" w:eastAsia="zh-CN" w:bidi="ar-SA"/>
              </w:rPr>
              <w:t>根据《2024年宁夏生态环境质量状况》</w:t>
            </w:r>
            <w:r>
              <w:rPr>
                <w:rFonts w:hint="eastAsia" w:eastAsia="仿宋_GB2312" w:cs="Times New Roman"/>
                <w:color w:val="auto"/>
                <w:kern w:val="16"/>
                <w:sz w:val="24"/>
                <w:szCs w:val="24"/>
                <w:highlight w:val="none"/>
                <w:lang w:val="en-US" w:eastAsia="zh-CN" w:bidi="ar-SA"/>
              </w:rPr>
              <w:t>固原</w:t>
            </w:r>
            <w:r>
              <w:rPr>
                <w:rFonts w:hint="default" w:ascii="Times New Roman" w:hAnsi="Times New Roman" w:eastAsia="仿宋_GB2312" w:cs="Times New Roman"/>
                <w:color w:val="auto"/>
                <w:kern w:val="16"/>
                <w:sz w:val="24"/>
                <w:szCs w:val="24"/>
                <w:highlight w:val="none"/>
                <w:lang w:val="en-US" w:eastAsia="zh-CN" w:bidi="ar-SA"/>
              </w:rPr>
              <w:t>市环境空气质量数据可以看出PM</w:t>
            </w:r>
            <w:r>
              <w:rPr>
                <w:rFonts w:hint="default" w:ascii="Times New Roman" w:hAnsi="Times New Roman" w:eastAsia="仿宋_GB2312" w:cs="Times New Roman"/>
                <w:color w:val="auto"/>
                <w:kern w:val="16"/>
                <w:sz w:val="24"/>
                <w:szCs w:val="24"/>
                <w:highlight w:val="none"/>
                <w:vertAlign w:val="subscript"/>
                <w:lang w:val="en-US" w:eastAsia="zh-CN" w:bidi="ar-SA"/>
              </w:rPr>
              <w:t>10</w:t>
            </w:r>
            <w:r>
              <w:rPr>
                <w:rFonts w:hint="default" w:ascii="Times New Roman" w:hAnsi="Times New Roman" w:eastAsia="仿宋_GB2312" w:cs="Times New Roman"/>
                <w:color w:val="auto"/>
                <w:kern w:val="16"/>
                <w:sz w:val="24"/>
                <w:szCs w:val="24"/>
                <w:highlight w:val="none"/>
                <w:lang w:val="en-US" w:eastAsia="zh-CN" w:bidi="ar-SA"/>
              </w:rPr>
              <w:t>、PM</w:t>
            </w:r>
            <w:r>
              <w:rPr>
                <w:rFonts w:hint="eastAsia" w:eastAsia="仿宋_GB2312" w:cs="Times New Roman"/>
                <w:color w:val="auto"/>
                <w:kern w:val="16"/>
                <w:sz w:val="24"/>
                <w:szCs w:val="24"/>
                <w:highlight w:val="none"/>
                <w:vertAlign w:val="subscript"/>
                <w:lang w:val="en-US" w:eastAsia="zh-CN" w:bidi="ar-SA"/>
              </w:rPr>
              <w:t>2.5</w:t>
            </w:r>
            <w:r>
              <w:rPr>
                <w:rFonts w:hint="default" w:ascii="Times New Roman" w:hAnsi="Times New Roman" w:eastAsia="仿宋_GB2312" w:cs="Times New Roman"/>
                <w:color w:val="auto"/>
                <w:kern w:val="16"/>
                <w:sz w:val="24"/>
                <w:szCs w:val="24"/>
                <w:highlight w:val="none"/>
                <w:lang w:val="en-US" w:eastAsia="zh-CN" w:bidi="ar-SA"/>
              </w:rPr>
              <w:t>、SO</w:t>
            </w:r>
            <w:r>
              <w:rPr>
                <w:rFonts w:hint="default" w:ascii="Times New Roman" w:hAnsi="Times New Roman" w:eastAsia="仿宋_GB2312" w:cs="Times New Roman"/>
                <w:color w:val="auto"/>
                <w:kern w:val="16"/>
                <w:sz w:val="24"/>
                <w:szCs w:val="24"/>
                <w:highlight w:val="none"/>
                <w:vertAlign w:val="subscript"/>
                <w:lang w:val="en-US" w:eastAsia="zh-CN" w:bidi="ar-SA"/>
              </w:rPr>
              <w:t>2</w:t>
            </w:r>
            <w:r>
              <w:rPr>
                <w:rFonts w:hint="default" w:ascii="Times New Roman" w:hAnsi="Times New Roman" w:eastAsia="仿宋_GB2312" w:cs="Times New Roman"/>
                <w:color w:val="auto"/>
                <w:kern w:val="16"/>
                <w:sz w:val="24"/>
                <w:szCs w:val="24"/>
                <w:highlight w:val="none"/>
                <w:lang w:val="en-US" w:eastAsia="zh-CN" w:bidi="ar-SA"/>
              </w:rPr>
              <w:t>、NO</w:t>
            </w:r>
            <w:r>
              <w:rPr>
                <w:rFonts w:hint="default" w:ascii="Times New Roman" w:hAnsi="Times New Roman" w:eastAsia="仿宋_GB2312" w:cs="Times New Roman"/>
                <w:color w:val="auto"/>
                <w:kern w:val="16"/>
                <w:sz w:val="24"/>
                <w:szCs w:val="24"/>
                <w:highlight w:val="none"/>
                <w:vertAlign w:val="subscript"/>
                <w:lang w:val="en-US" w:eastAsia="zh-CN" w:bidi="ar-SA"/>
              </w:rPr>
              <w:t>2</w:t>
            </w:r>
            <w:r>
              <w:rPr>
                <w:rFonts w:hint="default" w:ascii="Times New Roman" w:hAnsi="Times New Roman" w:eastAsia="仿宋_GB2312" w:cs="Times New Roman"/>
                <w:color w:val="auto"/>
                <w:kern w:val="16"/>
                <w:sz w:val="24"/>
                <w:szCs w:val="24"/>
                <w:highlight w:val="none"/>
                <w:lang w:val="en-US" w:eastAsia="zh-CN" w:bidi="ar-SA"/>
              </w:rPr>
              <w:t>年平均质量浓度、CO 24h平均第95百分位数浓度以及O</w:t>
            </w:r>
            <w:r>
              <w:rPr>
                <w:rFonts w:hint="default" w:ascii="Times New Roman" w:hAnsi="Times New Roman" w:eastAsia="仿宋_GB2312" w:cs="Times New Roman"/>
                <w:color w:val="auto"/>
                <w:kern w:val="16"/>
                <w:sz w:val="24"/>
                <w:szCs w:val="24"/>
                <w:highlight w:val="none"/>
                <w:vertAlign w:val="subscript"/>
                <w:lang w:val="en-US" w:eastAsia="zh-CN" w:bidi="ar-SA"/>
              </w:rPr>
              <w:t>3</w:t>
            </w:r>
            <w:r>
              <w:rPr>
                <w:rFonts w:hint="default" w:ascii="Times New Roman" w:hAnsi="Times New Roman" w:eastAsia="仿宋_GB2312" w:cs="Times New Roman"/>
                <w:color w:val="auto"/>
                <w:kern w:val="16"/>
                <w:sz w:val="24"/>
                <w:szCs w:val="24"/>
                <w:highlight w:val="none"/>
                <w:lang w:val="en-US" w:eastAsia="zh-CN" w:bidi="ar-SA"/>
              </w:rPr>
              <w:t>的8h平均百分位数浓度均满足《环境空气质量标准》(GB3095-20</w:t>
            </w:r>
            <w:r>
              <w:rPr>
                <w:rFonts w:hint="eastAsia" w:eastAsia="仿宋_GB2312" w:cs="Times New Roman"/>
                <w:color w:val="auto"/>
                <w:kern w:val="16"/>
                <w:sz w:val="24"/>
                <w:szCs w:val="24"/>
                <w:highlight w:val="none"/>
                <w:lang w:val="en-US" w:eastAsia="zh-CN" w:bidi="ar-SA"/>
              </w:rPr>
              <w:t>12</w:t>
            </w:r>
            <w:r>
              <w:rPr>
                <w:rFonts w:hint="default" w:ascii="Times New Roman" w:hAnsi="Times New Roman" w:eastAsia="仿宋_GB2312" w:cs="Times New Roman"/>
                <w:color w:val="auto"/>
                <w:kern w:val="16"/>
                <w:sz w:val="24"/>
                <w:szCs w:val="24"/>
                <w:highlight w:val="none"/>
                <w:lang w:val="en-US" w:eastAsia="zh-CN" w:bidi="ar-SA"/>
              </w:rPr>
              <w:t>)中二级浓度限值。因此，</w:t>
            </w:r>
            <w:r>
              <w:rPr>
                <w:rFonts w:hint="eastAsia" w:eastAsia="仿宋_GB2312" w:cs="Times New Roman"/>
                <w:color w:val="auto"/>
                <w:kern w:val="16"/>
                <w:sz w:val="24"/>
                <w:szCs w:val="24"/>
                <w:highlight w:val="none"/>
                <w:lang w:val="en-US" w:eastAsia="zh-CN" w:bidi="ar-SA"/>
              </w:rPr>
              <w:t>固原</w:t>
            </w:r>
            <w:r>
              <w:rPr>
                <w:rFonts w:hint="default" w:ascii="Times New Roman" w:hAnsi="Times New Roman" w:eastAsia="仿宋_GB2312" w:cs="Times New Roman"/>
                <w:color w:val="auto"/>
                <w:kern w:val="16"/>
                <w:sz w:val="24"/>
                <w:szCs w:val="24"/>
                <w:highlight w:val="none"/>
                <w:lang w:val="en-US" w:eastAsia="zh-CN" w:bidi="ar-SA"/>
              </w:rPr>
              <w:t>市环境空气质量属于达标区。</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rPr>
                <w:rFonts w:hint="default" w:ascii="Times New Roman" w:hAnsi="Times New Roman" w:eastAsia="仿宋_GB2312" w:cs="Times New Roman"/>
                <w:color w:val="auto"/>
                <w:kern w:val="16"/>
                <w:sz w:val="24"/>
                <w:szCs w:val="24"/>
                <w:highlight w:val="none"/>
                <w:lang w:val="en-US" w:eastAsia="zh-CN" w:bidi="ar-SA"/>
              </w:rPr>
            </w:pPr>
            <w:r>
              <w:rPr>
                <w:rFonts w:hint="eastAsia" w:ascii="Times New Roman" w:hAnsi="Times New Roman" w:eastAsia="仿宋_GB2312" w:cs="Times New Roman"/>
                <w:color w:val="auto"/>
                <w:kern w:val="16"/>
                <w:sz w:val="24"/>
                <w:szCs w:val="24"/>
                <w:highlight w:val="none"/>
                <w:lang w:val="sq-AL" w:eastAsia="zh-CN" w:bidi="ar-SA"/>
              </w:rPr>
              <w:t>⑵</w:t>
            </w:r>
            <w:r>
              <w:rPr>
                <w:rFonts w:hint="eastAsia" w:cs="Times New Roman"/>
                <w:color w:val="auto"/>
                <w:kern w:val="16"/>
                <w:sz w:val="24"/>
                <w:szCs w:val="24"/>
                <w:highlight w:val="none"/>
                <w:lang w:val="en-US" w:eastAsia="zh-CN" w:bidi="ar-SA"/>
              </w:rPr>
              <w:t>特征污染物</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rPr>
                <w:rFonts w:hint="default" w:ascii="Times New Roman" w:hAnsi="Times New Roman" w:eastAsia="仿宋_GB2312" w:cs="Times New Roman"/>
                <w:color w:val="auto"/>
                <w:kern w:val="16"/>
                <w:sz w:val="24"/>
                <w:szCs w:val="24"/>
                <w:highlight w:val="none"/>
                <w:lang w:val="sq-AL" w:eastAsia="zh-CN" w:bidi="ar-SA"/>
              </w:rPr>
            </w:pPr>
            <w:r>
              <w:rPr>
                <w:rFonts w:hint="default"/>
                <w:color w:val="auto"/>
                <w:highlight w:val="none"/>
                <w:lang w:val="sq-AL"/>
              </w:rPr>
              <w:t>根据《建设项目环境影响报告表编制技术指南(污染影响类)(试行)》可知“排放国家、地方环境空气质量标准中有标准限值要求的特征污染物时，引用建设项目周边5千米范围内近3年的现有监测数据，无相关数据的选择当季主导风向下风向1个点位补充不少于3天的监测数据。”</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80" w:firstLineChars="200"/>
              <w:rPr>
                <w:rFonts w:hint="eastAsia" w:cs="Times New Roman"/>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sq-AL" w:eastAsia="zh-CN" w:bidi="ar-SA"/>
              </w:rPr>
              <w:t>本项目特征污染物TSP引用彭阳县</w:t>
            </w:r>
            <w:r>
              <w:rPr>
                <w:rFonts w:hint="eastAsia" w:cs="Times New Roman"/>
                <w:color w:val="auto"/>
                <w:kern w:val="16"/>
                <w:sz w:val="24"/>
                <w:szCs w:val="24"/>
                <w:highlight w:val="none"/>
                <w:lang w:val="en-US" w:eastAsia="zh-CN" w:bidi="ar-SA"/>
              </w:rPr>
              <w:t>城区集中供热四号供热站（西热源厂）项目（1X58MW）（重新报批）</w:t>
            </w:r>
            <w:r>
              <w:rPr>
                <w:rFonts w:hint="default" w:ascii="Times New Roman" w:hAnsi="Times New Roman" w:eastAsia="仿宋_GB2312" w:cs="Times New Roman"/>
                <w:color w:val="auto"/>
                <w:kern w:val="16"/>
                <w:sz w:val="24"/>
                <w:szCs w:val="24"/>
                <w:highlight w:val="none"/>
                <w:lang w:val="sq-AL" w:eastAsia="zh-CN" w:bidi="ar-SA"/>
              </w:rPr>
              <w:t>中的监测数据，由宁夏</w:t>
            </w:r>
            <w:r>
              <w:rPr>
                <w:rFonts w:hint="eastAsia" w:cs="Times New Roman"/>
                <w:color w:val="auto"/>
                <w:kern w:val="16"/>
                <w:sz w:val="24"/>
                <w:szCs w:val="24"/>
                <w:highlight w:val="none"/>
                <w:lang w:val="en-US" w:eastAsia="zh-CN" w:bidi="ar-SA"/>
              </w:rPr>
              <w:t>环境科学研究院（有限责任公司）检测中心</w:t>
            </w:r>
            <w:r>
              <w:rPr>
                <w:rFonts w:hint="default" w:ascii="Times New Roman" w:hAnsi="Times New Roman" w:eastAsia="仿宋_GB2312" w:cs="Times New Roman"/>
                <w:color w:val="auto"/>
                <w:kern w:val="16"/>
                <w:sz w:val="24"/>
                <w:szCs w:val="24"/>
                <w:highlight w:val="none"/>
                <w:lang w:val="sq-AL" w:eastAsia="zh-CN" w:bidi="ar-SA"/>
              </w:rPr>
              <w:t>于202</w:t>
            </w:r>
            <w:r>
              <w:rPr>
                <w:rFonts w:hint="eastAsia" w:cs="Times New Roman"/>
                <w:color w:val="auto"/>
                <w:kern w:val="16"/>
                <w:sz w:val="24"/>
                <w:szCs w:val="24"/>
                <w:highlight w:val="none"/>
                <w:lang w:val="en-US" w:eastAsia="zh-CN" w:bidi="ar-SA"/>
              </w:rPr>
              <w:t>3</w:t>
            </w:r>
            <w:r>
              <w:rPr>
                <w:rFonts w:hint="default" w:ascii="Times New Roman" w:hAnsi="Times New Roman" w:eastAsia="仿宋_GB2312" w:cs="Times New Roman"/>
                <w:color w:val="auto"/>
                <w:kern w:val="16"/>
                <w:sz w:val="24"/>
                <w:szCs w:val="24"/>
                <w:highlight w:val="none"/>
                <w:lang w:val="sq-AL" w:eastAsia="zh-CN" w:bidi="ar-SA"/>
              </w:rPr>
              <w:t>年</w:t>
            </w:r>
            <w:r>
              <w:rPr>
                <w:rFonts w:hint="eastAsia" w:cs="Times New Roman"/>
                <w:color w:val="auto"/>
                <w:kern w:val="16"/>
                <w:sz w:val="24"/>
                <w:szCs w:val="24"/>
                <w:highlight w:val="none"/>
                <w:lang w:val="en-US" w:eastAsia="zh-CN" w:bidi="ar-SA"/>
              </w:rPr>
              <w:t>12</w:t>
            </w:r>
            <w:r>
              <w:rPr>
                <w:rFonts w:hint="default" w:ascii="Times New Roman" w:hAnsi="Times New Roman" w:eastAsia="仿宋_GB2312" w:cs="Times New Roman"/>
                <w:color w:val="auto"/>
                <w:kern w:val="16"/>
                <w:sz w:val="24"/>
                <w:szCs w:val="24"/>
                <w:highlight w:val="none"/>
                <w:lang w:val="sq-AL" w:eastAsia="zh-CN" w:bidi="ar-SA"/>
              </w:rPr>
              <w:t>月2</w:t>
            </w:r>
            <w:r>
              <w:rPr>
                <w:rFonts w:hint="eastAsia" w:cs="Times New Roman"/>
                <w:color w:val="auto"/>
                <w:kern w:val="16"/>
                <w:sz w:val="24"/>
                <w:szCs w:val="24"/>
                <w:highlight w:val="none"/>
                <w:lang w:val="en-US" w:eastAsia="zh-CN" w:bidi="ar-SA"/>
              </w:rPr>
              <w:t>5</w:t>
            </w:r>
            <w:r>
              <w:rPr>
                <w:rFonts w:hint="default" w:ascii="Times New Roman" w:hAnsi="Times New Roman" w:eastAsia="仿宋_GB2312" w:cs="Times New Roman"/>
                <w:color w:val="auto"/>
                <w:kern w:val="16"/>
                <w:sz w:val="24"/>
                <w:szCs w:val="24"/>
                <w:highlight w:val="none"/>
                <w:lang w:val="sq-AL" w:eastAsia="zh-CN" w:bidi="ar-SA"/>
              </w:rPr>
              <w:t>日~</w:t>
            </w:r>
            <w:r>
              <w:rPr>
                <w:rFonts w:hint="eastAsia" w:cs="Times New Roman"/>
                <w:color w:val="auto"/>
                <w:kern w:val="16"/>
                <w:sz w:val="24"/>
                <w:szCs w:val="24"/>
                <w:highlight w:val="none"/>
                <w:lang w:val="en-US" w:eastAsia="zh-CN" w:bidi="ar-SA"/>
              </w:rPr>
              <w:t>2024年1</w:t>
            </w:r>
            <w:r>
              <w:rPr>
                <w:rFonts w:hint="default" w:ascii="Times New Roman" w:hAnsi="Times New Roman" w:eastAsia="仿宋_GB2312" w:cs="Times New Roman"/>
                <w:color w:val="auto"/>
                <w:kern w:val="16"/>
                <w:sz w:val="24"/>
                <w:szCs w:val="24"/>
                <w:highlight w:val="none"/>
                <w:lang w:val="sq-AL" w:eastAsia="zh-CN" w:bidi="ar-SA"/>
              </w:rPr>
              <w:t>月</w:t>
            </w:r>
            <w:r>
              <w:rPr>
                <w:rFonts w:hint="eastAsia" w:cs="Times New Roman"/>
                <w:color w:val="auto"/>
                <w:kern w:val="16"/>
                <w:sz w:val="24"/>
                <w:szCs w:val="24"/>
                <w:highlight w:val="none"/>
                <w:lang w:val="en-US" w:eastAsia="zh-CN" w:bidi="ar-SA"/>
              </w:rPr>
              <w:t>5</w:t>
            </w:r>
            <w:r>
              <w:rPr>
                <w:rFonts w:hint="default" w:ascii="Times New Roman" w:hAnsi="Times New Roman" w:eastAsia="仿宋_GB2312" w:cs="Times New Roman"/>
                <w:color w:val="auto"/>
                <w:kern w:val="16"/>
                <w:sz w:val="24"/>
                <w:szCs w:val="24"/>
                <w:highlight w:val="none"/>
                <w:lang w:val="sq-AL" w:eastAsia="zh-CN" w:bidi="ar-SA"/>
              </w:rPr>
              <w:t>日现场监测。彭阳县</w:t>
            </w:r>
            <w:r>
              <w:rPr>
                <w:rFonts w:hint="eastAsia" w:cs="Times New Roman"/>
                <w:color w:val="auto"/>
                <w:kern w:val="16"/>
                <w:sz w:val="24"/>
                <w:szCs w:val="24"/>
                <w:highlight w:val="none"/>
                <w:lang w:val="en-US" w:eastAsia="zh-CN" w:bidi="ar-SA"/>
              </w:rPr>
              <w:t>城区集中供热四号供热站（西热源厂）中的监测点位位于本项目厂区东北侧2.8km处，处于本项目5km范围内；监测时间为2023.12.25~2023.12.31，时间在近三年以内。因此，</w:t>
            </w:r>
            <w:r>
              <w:rPr>
                <w:rFonts w:hint="eastAsia"/>
                <w:color w:val="auto"/>
                <w:highlight w:val="none"/>
              </w:rPr>
              <w:t>符合《建设项目环境影响报告表编制技术指南</w:t>
            </w:r>
            <w:r>
              <w:rPr>
                <w:rFonts w:hint="eastAsia"/>
                <w:color w:val="auto"/>
                <w:highlight w:val="none"/>
                <w:lang w:eastAsia="zh-CN"/>
              </w:rPr>
              <w:t>（</w:t>
            </w:r>
            <w:r>
              <w:rPr>
                <w:rFonts w:hint="eastAsia"/>
                <w:color w:val="auto"/>
                <w:highlight w:val="none"/>
              </w:rPr>
              <w:t>污染影响类</w:t>
            </w:r>
            <w:r>
              <w:rPr>
                <w:rFonts w:hint="eastAsia"/>
                <w:color w:val="auto"/>
                <w:highlight w:val="none"/>
                <w:lang w:eastAsia="zh-CN"/>
              </w:rPr>
              <w:t>）（</w:t>
            </w:r>
            <w:r>
              <w:rPr>
                <w:rFonts w:hint="eastAsia"/>
                <w:color w:val="auto"/>
                <w:highlight w:val="none"/>
              </w:rPr>
              <w:t>试行</w:t>
            </w:r>
            <w:r>
              <w:rPr>
                <w:rFonts w:hint="eastAsia"/>
                <w:color w:val="auto"/>
                <w:highlight w:val="none"/>
                <w:lang w:eastAsia="zh-CN"/>
              </w:rPr>
              <w:t>）</w:t>
            </w:r>
            <w:r>
              <w:rPr>
                <w:rFonts w:hint="eastAsia"/>
                <w:color w:val="auto"/>
                <w:highlight w:val="none"/>
              </w:rPr>
              <w:t>》要求，引用该项目TSP现状数据可行。</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80" w:firstLineChars="200"/>
              <w:rPr>
                <w:rFonts w:hint="eastAsia" w:cs="Times New Roman"/>
                <w:color w:val="auto"/>
                <w:kern w:val="16"/>
                <w:sz w:val="24"/>
                <w:szCs w:val="24"/>
                <w:highlight w:val="none"/>
                <w:lang w:val="en-US" w:eastAsia="zh-CN" w:bidi="ar-SA"/>
              </w:rPr>
            </w:pPr>
            <w:r>
              <w:rPr>
                <w:rFonts w:hint="eastAsia" w:ascii="Times New Roman" w:hAnsi="Times New Roman" w:eastAsia="仿宋_GB2312" w:cs="Times New Roman"/>
                <w:color w:val="auto"/>
                <w:kern w:val="16"/>
                <w:sz w:val="24"/>
                <w:szCs w:val="24"/>
                <w:highlight w:val="none"/>
                <w:lang w:val="en-US" w:eastAsia="zh-CN" w:bidi="ar-SA"/>
              </w:rPr>
              <w:t>①</w:t>
            </w:r>
            <w:r>
              <w:rPr>
                <w:rFonts w:hint="eastAsia" w:cs="Times New Roman"/>
                <w:color w:val="auto"/>
                <w:kern w:val="16"/>
                <w:sz w:val="24"/>
                <w:szCs w:val="24"/>
                <w:highlight w:val="none"/>
                <w:lang w:val="en-US" w:eastAsia="zh-CN" w:bidi="ar-SA"/>
              </w:rPr>
              <w:t>监测点位布置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eastAsia="仿宋_GB2312" w:cs="Times New Roman"/>
                <w:snapToGrid w:val="0"/>
                <w:color w:val="000000" w:themeColor="text1"/>
                <w:sz w:val="24"/>
                <w:szCs w:val="24"/>
                <w:highlight w:val="none"/>
                <w:lang w:val="de-DE"/>
                <w14:textFill>
                  <w14:solidFill>
                    <w14:schemeClr w14:val="tx1"/>
                  </w14:solidFill>
                </w14:textFill>
              </w:rPr>
              <w:t>本次评价引用环境空气质量现状监测点具体见表3-2。</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Cs w:val="22"/>
                <w14:textFill>
                  <w14:solidFill>
                    <w14:schemeClr w14:val="tx1"/>
                  </w14:solidFill>
                </w14:textFill>
              </w:rPr>
            </w:pPr>
            <w:r>
              <w:rPr>
                <w:rFonts w:hint="default" w:ascii="Times New Roman" w:hAnsi="Times New Roman" w:eastAsia="宋体" w:cs="Times New Roman"/>
                <w:b w:val="0"/>
                <w:bCs w:val="0"/>
                <w:color w:val="auto"/>
                <w:kern w:val="2"/>
                <w:sz w:val="21"/>
                <w:szCs w:val="21"/>
                <w:highlight w:val="none"/>
                <w:lang w:val="en-US" w:eastAsia="zh-CN" w:bidi="ar"/>
              </w:rPr>
              <w:t>表3-2</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监测点位基本信息表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829"/>
              <w:gridCol w:w="1434"/>
              <w:gridCol w:w="1435"/>
              <w:gridCol w:w="932"/>
              <w:gridCol w:w="932"/>
              <w:gridCol w:w="14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4" w:type="dxa"/>
                  <w:vMerge w:val="restart"/>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监测点位名称</w:t>
                  </w:r>
                </w:p>
              </w:tc>
              <w:tc>
                <w:tcPr>
                  <w:tcW w:w="829" w:type="dxa"/>
                  <w:vMerge w:val="restart"/>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lang w:eastAsia="zh-CN"/>
                      <w14:textFill>
                        <w14:solidFill>
                          <w14:schemeClr w14:val="tx1"/>
                        </w14:solidFill>
                      </w14:textFill>
                    </w:rPr>
                  </w:pPr>
                  <w:r>
                    <w:rPr>
                      <w:rFonts w:hint="default"/>
                      <w:b/>
                      <w:bCs/>
                      <w:color w:val="000000" w:themeColor="text1"/>
                      <w:lang w:eastAsia="zh-CN"/>
                      <w14:textFill>
                        <w14:solidFill>
                          <w14:schemeClr w14:val="tx1"/>
                        </w14:solidFill>
                      </w14:textFill>
                    </w:rPr>
                    <w:t>点位编号</w:t>
                  </w:r>
                </w:p>
              </w:tc>
              <w:tc>
                <w:tcPr>
                  <w:tcW w:w="2869" w:type="dxa"/>
                  <w:gridSpan w:val="2"/>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坐标</w:t>
                  </w:r>
                </w:p>
              </w:tc>
              <w:tc>
                <w:tcPr>
                  <w:tcW w:w="932" w:type="dxa"/>
                  <w:vMerge w:val="restart"/>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lang w:eastAsia="zh-CN"/>
                      <w14:textFill>
                        <w14:solidFill>
                          <w14:schemeClr w14:val="tx1"/>
                        </w14:solidFill>
                      </w14:textFill>
                    </w:rPr>
                  </w:pPr>
                  <w:r>
                    <w:rPr>
                      <w:rFonts w:hint="default"/>
                      <w:b/>
                      <w:bCs/>
                      <w:color w:val="000000" w:themeColor="text1"/>
                      <w:lang w:eastAsia="zh-CN"/>
                      <w14:textFill>
                        <w14:solidFill>
                          <w14:schemeClr w14:val="tx1"/>
                        </w14:solidFill>
                      </w14:textFill>
                    </w:rPr>
                    <w:t>监测因子</w:t>
                  </w:r>
                </w:p>
              </w:tc>
              <w:tc>
                <w:tcPr>
                  <w:tcW w:w="932" w:type="dxa"/>
                  <w:vMerge w:val="restart"/>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相对本项目厂址方位</w:t>
                  </w:r>
                </w:p>
              </w:tc>
              <w:tc>
                <w:tcPr>
                  <w:tcW w:w="1483" w:type="dxa"/>
                  <w:vMerge w:val="restart"/>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相对本项目厂界距离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4" w:type="dxa"/>
                  <w:vMerge w:val="continue"/>
                  <w:tcBorders>
                    <w:tl2br w:val="nil"/>
                    <w:tr2bl w:val="nil"/>
                  </w:tcBorders>
                  <w:noWrap w:val="0"/>
                  <w:vAlign w:val="center"/>
                </w:tcPr>
                <w:p>
                  <w:pPr>
                    <w:pStyle w:val="56"/>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829" w:type="dxa"/>
                  <w:vMerge w:val="continue"/>
                  <w:tcBorders>
                    <w:tl2br w:val="nil"/>
                    <w:tr2bl w:val="nil"/>
                  </w:tcBorders>
                  <w:noWrap w:val="0"/>
                  <w:vAlign w:val="center"/>
                </w:tcPr>
                <w:p>
                  <w:pPr>
                    <w:pStyle w:val="56"/>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434"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经度</w:t>
                  </w:r>
                </w:p>
              </w:tc>
              <w:tc>
                <w:tcPr>
                  <w:tcW w:w="1435"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纬度</w:t>
                  </w:r>
                </w:p>
              </w:tc>
              <w:tc>
                <w:tcPr>
                  <w:tcW w:w="932" w:type="dxa"/>
                  <w:vMerge w:val="continue"/>
                  <w:tcBorders>
                    <w:tl2br w:val="nil"/>
                    <w:tr2bl w:val="nil"/>
                  </w:tcBorders>
                  <w:noWrap w:val="0"/>
                  <w:vAlign w:val="center"/>
                </w:tcPr>
                <w:p>
                  <w:pPr>
                    <w:pStyle w:val="56"/>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932" w:type="dxa"/>
                  <w:vMerge w:val="continue"/>
                  <w:tcBorders>
                    <w:tl2br w:val="nil"/>
                    <w:tr2bl w:val="nil"/>
                  </w:tcBorders>
                  <w:noWrap w:val="0"/>
                  <w:vAlign w:val="center"/>
                </w:tcPr>
                <w:p>
                  <w:pPr>
                    <w:pStyle w:val="56"/>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483" w:type="dxa"/>
                  <w:vMerge w:val="continue"/>
                  <w:tcBorders>
                    <w:tl2br w:val="nil"/>
                    <w:tr2bl w:val="nil"/>
                  </w:tcBorders>
                  <w:noWrap w:val="0"/>
                  <w:vAlign w:val="center"/>
                </w:tcPr>
                <w:p>
                  <w:pPr>
                    <w:pStyle w:val="56"/>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4"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lang w:val="en-US"/>
                      <w14:textFill>
                        <w14:solidFill>
                          <w14:schemeClr w14:val="tx1"/>
                        </w14:solidFill>
                      </w14:textFill>
                    </w:rPr>
                  </w:pPr>
                  <w:r>
                    <w:rPr>
                      <w:rFonts w:hint="default"/>
                      <w:color w:val="000000" w:themeColor="text1"/>
                      <w14:textFill>
                        <w14:solidFill>
                          <w14:schemeClr w14:val="tx1"/>
                        </w14:solidFill>
                      </w14:textFill>
                    </w:rPr>
                    <w:t>彭阳县城区集中供热四号供热站（西热源厂）</w:t>
                  </w:r>
                </w:p>
              </w:tc>
              <w:tc>
                <w:tcPr>
                  <w:tcW w:w="829"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w:t>
                  </w:r>
                </w:p>
              </w:tc>
              <w:tc>
                <w:tcPr>
                  <w:tcW w:w="1434"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106</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color w:val="000000" w:themeColor="text1"/>
                      <w:lang w:val="en-US" w:eastAsia="zh-CN"/>
                      <w14:textFill>
                        <w14:solidFill>
                          <w14:schemeClr w14:val="tx1"/>
                        </w14:solidFill>
                      </w14:textFill>
                    </w:rPr>
                    <w:t>38</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color w:val="000000" w:themeColor="text1"/>
                      <w:lang w:val="en-US" w:eastAsia="zh-CN"/>
                      <w14:textFill>
                        <w14:solidFill>
                          <w14:schemeClr w14:val="tx1"/>
                        </w14:solidFill>
                      </w14:textFill>
                    </w:rPr>
                    <w:t>3.65</w:t>
                  </w:r>
                  <w:r>
                    <w:rPr>
                      <w:rFonts w:hint="default" w:ascii="Times New Roman" w:hAnsi="Times New Roman" w:eastAsia="仿宋_GB2312" w:cs="Times New Roman"/>
                      <w:b w:val="0"/>
                      <w:bCs w:val="0"/>
                      <w:color w:val="auto"/>
                      <w:kern w:val="2"/>
                      <w:sz w:val="24"/>
                      <w:szCs w:val="24"/>
                      <w:highlight w:val="none"/>
                      <w:lang w:val="en-US" w:eastAsia="zh-CN" w:bidi="ar-SA"/>
                    </w:rPr>
                    <w:t>"</w:t>
                  </w:r>
                </w:p>
              </w:tc>
              <w:tc>
                <w:tcPr>
                  <w:tcW w:w="1435"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35</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color w:val="000000" w:themeColor="text1"/>
                      <w:lang w:val="en-US" w:eastAsia="zh-CN"/>
                      <w14:textFill>
                        <w14:solidFill>
                          <w14:schemeClr w14:val="tx1"/>
                        </w14:solidFill>
                      </w14:textFill>
                    </w:rPr>
                    <w:t>51</w:t>
                  </w:r>
                  <w:r>
                    <w:rPr>
                      <w:rFonts w:hint="default" w:ascii="Times New Roman" w:hAnsi="Times New Roman" w:eastAsia="仿宋_GB2312" w:cs="Times New Roman"/>
                      <w:b w:val="0"/>
                      <w:bCs w:val="0"/>
                      <w:color w:val="auto"/>
                      <w:kern w:val="2"/>
                      <w:sz w:val="24"/>
                      <w:szCs w:val="24"/>
                      <w:highlight w:val="none"/>
                      <w:lang w:val="en-US" w:eastAsia="zh-CN" w:bidi="ar-SA"/>
                    </w:rPr>
                    <w:t>′</w:t>
                  </w:r>
                  <w:r>
                    <w:rPr>
                      <w:rFonts w:hint="eastAsia"/>
                      <w:color w:val="000000" w:themeColor="text1"/>
                      <w:lang w:val="en-US" w:eastAsia="zh-CN"/>
                      <w14:textFill>
                        <w14:solidFill>
                          <w14:schemeClr w14:val="tx1"/>
                        </w14:solidFill>
                      </w14:textFill>
                    </w:rPr>
                    <w:t>6.84</w:t>
                  </w:r>
                  <w:r>
                    <w:rPr>
                      <w:rFonts w:hint="default" w:ascii="Times New Roman" w:hAnsi="Times New Roman" w:eastAsia="仿宋_GB2312" w:cs="Times New Roman"/>
                      <w:b w:val="0"/>
                      <w:bCs w:val="0"/>
                      <w:color w:val="auto"/>
                      <w:kern w:val="2"/>
                      <w:sz w:val="24"/>
                      <w:szCs w:val="24"/>
                      <w:highlight w:val="none"/>
                      <w:lang w:val="en-US" w:eastAsia="zh-CN" w:bidi="ar-SA"/>
                    </w:rPr>
                    <w:t>"</w:t>
                  </w:r>
                </w:p>
              </w:tc>
              <w:tc>
                <w:tcPr>
                  <w:tcW w:w="932"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TSP</w:t>
                  </w:r>
                </w:p>
              </w:tc>
              <w:tc>
                <w:tcPr>
                  <w:tcW w:w="932"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东北</w:t>
                  </w:r>
                </w:p>
              </w:tc>
              <w:tc>
                <w:tcPr>
                  <w:tcW w:w="1483" w:type="dxa"/>
                  <w:tcBorders>
                    <w:tl2br w:val="nil"/>
                    <w:tr2bl w:val="nil"/>
                  </w:tcBorders>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w:t>
                  </w:r>
                  <w:r>
                    <w:rPr>
                      <w:rFonts w:hint="eastAsia" w:cs="Times New Roman"/>
                      <w:color w:val="000000" w:themeColor="text1"/>
                      <w:kern w:val="2"/>
                      <w:sz w:val="21"/>
                      <w:szCs w:val="21"/>
                      <w:lang w:val="en-US" w:eastAsia="zh-CN" w:bidi="ar-SA"/>
                      <w14:textFill>
                        <w14:solidFill>
                          <w14:schemeClr w14:val="tx1"/>
                        </w14:solidFill>
                      </w14:textFill>
                    </w:rPr>
                    <w:t>km</w:t>
                  </w:r>
                </w:p>
              </w:tc>
            </w:tr>
          </w:tbl>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80" w:firstLineChars="200"/>
              <w:rPr>
                <w:rFonts w:hint="eastAsia" w:cs="Times New Roman"/>
                <w:color w:val="auto"/>
                <w:kern w:val="16"/>
                <w:sz w:val="24"/>
                <w:szCs w:val="24"/>
                <w:highlight w:val="none"/>
                <w:lang w:val="en-US" w:eastAsia="zh-CN" w:bidi="ar-SA"/>
              </w:rPr>
            </w:pPr>
            <w:r>
              <w:rPr>
                <w:rFonts w:hint="eastAsia" w:ascii="Times New Roman" w:hAnsi="Times New Roman" w:eastAsia="仿宋_GB2312" w:cs="Times New Roman"/>
                <w:color w:val="auto"/>
                <w:kern w:val="16"/>
                <w:sz w:val="24"/>
                <w:szCs w:val="24"/>
                <w:highlight w:val="none"/>
                <w:lang w:val="en-US" w:eastAsia="zh-CN" w:bidi="ar-SA"/>
              </w:rPr>
              <w:t>②</w:t>
            </w:r>
            <w:r>
              <w:rPr>
                <w:rFonts w:hint="eastAsia" w:cs="Times New Roman"/>
                <w:color w:val="auto"/>
                <w:kern w:val="16"/>
                <w:sz w:val="24"/>
                <w:szCs w:val="24"/>
                <w:highlight w:val="none"/>
                <w:lang w:val="en-US" w:eastAsia="zh-CN" w:bidi="ar-SA"/>
              </w:rPr>
              <w:t>监测时间</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firstLine="480" w:firstLineChars="200"/>
              <w:rPr>
                <w:rFonts w:hint="default" w:cs="Times New Roman"/>
                <w:color w:val="auto"/>
                <w:kern w:val="16"/>
                <w:sz w:val="24"/>
                <w:szCs w:val="24"/>
                <w:highlight w:val="none"/>
                <w:lang w:val="en-US" w:eastAsia="zh-CN" w:bidi="ar-SA"/>
              </w:rPr>
            </w:pPr>
            <w:r>
              <w:rPr>
                <w:rFonts w:hint="eastAsia" w:cs="Times New Roman"/>
                <w:color w:val="auto"/>
                <w:kern w:val="16"/>
                <w:sz w:val="24"/>
                <w:szCs w:val="24"/>
                <w:highlight w:val="none"/>
                <w:lang w:val="en-US" w:eastAsia="zh-CN" w:bidi="ar-SA"/>
              </w:rPr>
              <w:t>2023年12月25日~2023年12月31日，</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连续监测</w:t>
            </w:r>
            <w:r>
              <w:rPr>
                <w:rFonts w:hint="eastAsia" w:cs="Times New Roman"/>
                <w:color w:val="auto"/>
                <w:kern w:val="16"/>
                <w:sz w:val="24"/>
                <w:szCs w:val="24"/>
                <w:highlight w:val="none"/>
                <w:lang w:val="en-US" w:eastAsia="zh-CN" w:bidi="ar-SA"/>
              </w:rPr>
              <w:t>7天。</w:t>
            </w:r>
          </w:p>
          <w:p>
            <w:pPr>
              <w:pStyle w:val="64"/>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16"/>
                <w:sz w:val="24"/>
                <w:szCs w:val="24"/>
                <w:highlight w:val="none"/>
                <w:lang w:val="en-US" w:eastAsia="zh-CN" w:bidi="ar-SA"/>
              </w:rPr>
            </w:pPr>
            <w:r>
              <w:rPr>
                <w:rFonts w:hint="eastAsia" w:ascii="Times New Roman" w:hAnsi="Times New Roman" w:eastAsia="仿宋_GB2312" w:cs="Times New Roman"/>
                <w:color w:val="auto"/>
                <w:kern w:val="16"/>
                <w:sz w:val="24"/>
                <w:szCs w:val="24"/>
                <w:highlight w:val="none"/>
                <w:lang w:val="en-US" w:eastAsia="zh-CN" w:bidi="ar-SA"/>
              </w:rPr>
              <w:t>③</w:t>
            </w:r>
            <w:r>
              <w:rPr>
                <w:rFonts w:hint="eastAsia" w:cs="Times New Roman"/>
                <w:b w:val="0"/>
                <w:bCs w:val="0"/>
                <w:color w:val="auto"/>
                <w:kern w:val="16"/>
                <w:sz w:val="24"/>
                <w:szCs w:val="24"/>
                <w:highlight w:val="none"/>
                <w:lang w:val="en-US" w:eastAsia="zh-CN" w:bidi="ar-SA"/>
              </w:rPr>
              <w:t>监测结果</w:t>
            </w:r>
          </w:p>
          <w:p>
            <w:pPr>
              <w:keepNext w:val="0"/>
              <w:keepLines w:val="0"/>
              <w:suppressLineNumbers w:val="0"/>
              <w:overflowPunct/>
              <w:spacing w:before="0" w:beforeAutospacing="0" w:after="0" w:afterAutospacing="0" w:line="360" w:lineRule="auto"/>
              <w:ind w:left="0" w:right="0" w:firstLine="480" w:firstLineChars="200"/>
              <w:rPr>
                <w:rFonts w:hint="default" w:cs="Times New Roman"/>
                <w:b w:val="0"/>
                <w:bCs w:val="0"/>
                <w:color w:val="auto"/>
                <w:kern w:val="16"/>
                <w:sz w:val="24"/>
                <w:szCs w:val="24"/>
                <w:highlight w:val="none"/>
                <w:lang w:val="en-US" w:eastAsia="zh-CN" w:bidi="ar-SA"/>
              </w:rPr>
            </w:pPr>
            <w:r>
              <w:rPr>
                <w:rFonts w:hint="default" w:ascii="Times New Roman" w:hAnsi="Times New Roman" w:eastAsia="仿宋_GB2312" w:cs="Times New Roman"/>
                <w:snapToGrid w:val="0"/>
                <w:color w:val="000000" w:themeColor="text1"/>
                <w:sz w:val="24"/>
                <w:szCs w:val="24"/>
                <w:highlight w:val="none"/>
                <w:lang w:val="de-DE"/>
                <w14:textFill>
                  <w14:solidFill>
                    <w14:schemeClr w14:val="tx1"/>
                  </w14:solidFill>
                </w14:textFill>
              </w:rPr>
              <w:t>监测结果见表3-</w:t>
            </w:r>
            <w:r>
              <w:rPr>
                <w:rFonts w:hint="eastAsia" w:eastAsia="仿宋_GB2312" w:cs="Times New Roman"/>
                <w:snapToGrid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仿宋_GB2312" w:cs="Times New Roman"/>
                <w:snapToGrid w:val="0"/>
                <w:color w:val="000000" w:themeColor="text1"/>
                <w:sz w:val="24"/>
                <w:szCs w:val="24"/>
                <w:highlight w:val="none"/>
                <w:lang w:val="de-DE"/>
                <w14:textFill>
                  <w14:solidFill>
                    <w14:schemeClr w14:val="tx1"/>
                  </w14:solidFill>
                </w14:textFill>
              </w:rPr>
              <w:t>。</w:t>
            </w:r>
          </w:p>
          <w:p>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kern w:val="2"/>
                <w:sz w:val="24"/>
                <w:szCs w:val="22"/>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表3-</w:t>
            </w:r>
            <w:r>
              <w:rPr>
                <w:rFonts w:hint="eastAsia" w:cs="Times New Roman"/>
                <w:b w:val="0"/>
                <w:bCs w:val="0"/>
                <w:color w:val="auto"/>
                <w:kern w:val="2"/>
                <w:sz w:val="21"/>
                <w:szCs w:val="21"/>
                <w:highlight w:val="none"/>
                <w:lang w:val="en-US" w:eastAsia="zh-CN" w:bidi="ar"/>
              </w:rPr>
              <w:t>3</w:t>
            </w:r>
            <w:r>
              <w:rPr>
                <w:rFonts w:eastAsia="黑体" w:cs="Times New Roman"/>
                <w:color w:val="000000"/>
                <w:sz w:val="24"/>
                <w:szCs w:val="24"/>
                <w:lang w:bidi="ar"/>
              </w:rPr>
              <w:t xml:space="preserve">  </w:t>
            </w:r>
            <w:r>
              <w:rPr>
                <w:rFonts w:hint="eastAsia" w:eastAsia="黑体" w:cs="Times New Roman"/>
                <w:color w:val="000000"/>
                <w:sz w:val="24"/>
                <w:szCs w:val="24"/>
                <w:lang w:val="en-US" w:eastAsia="zh-CN" w:bidi="ar"/>
              </w:rPr>
              <w:t xml:space="preserve"> </w:t>
            </w:r>
            <w:r>
              <w:rPr>
                <w:rFonts w:hint="default" w:ascii="Times New Roman" w:hAnsi="Times New Roman" w:eastAsia="宋体" w:cs="Times New Roman"/>
                <w:b/>
                <w:bCs/>
                <w:color w:val="auto"/>
                <w:kern w:val="2"/>
                <w:sz w:val="24"/>
                <w:szCs w:val="22"/>
                <w:highlight w:val="none"/>
                <w:lang w:val="en-US" w:eastAsia="zh-CN" w:bidi="ar"/>
              </w:rPr>
              <w:t>环境空气检测结果汇总表</w:t>
            </w:r>
            <w:r>
              <w:rPr>
                <w:rFonts w:hint="eastAsia" w:ascii="Times New Roman" w:hAnsi="Times New Roman" w:eastAsia="宋体" w:cs="Times New Roman"/>
                <w:b/>
                <w:bCs/>
                <w:color w:val="auto"/>
                <w:kern w:val="2"/>
                <w:sz w:val="24"/>
                <w:szCs w:val="22"/>
                <w:highlight w:val="none"/>
                <w:lang w:val="en-US" w:eastAsia="zh-CN" w:bidi="ar"/>
              </w:rPr>
              <w:t xml:space="preserve"> </w:t>
            </w:r>
            <w:r>
              <w:rPr>
                <w:rFonts w:hint="default" w:ascii="Times New Roman" w:hAnsi="Times New Roman" w:eastAsia="宋体" w:cs="Times New Roman"/>
                <w:b/>
                <w:bCs/>
                <w:color w:val="auto"/>
                <w:kern w:val="2"/>
                <w:sz w:val="24"/>
                <w:szCs w:val="22"/>
                <w:highlight w:val="none"/>
                <w:lang w:val="en-US" w:eastAsia="zh-CN" w:bidi="ar"/>
              </w:rPr>
              <w:t>单位：μg/m</w:t>
            </w:r>
            <w:r>
              <w:rPr>
                <w:rFonts w:hint="default" w:ascii="Times New Roman" w:hAnsi="Times New Roman" w:eastAsia="宋体" w:cs="Times New Roman"/>
                <w:b/>
                <w:bCs/>
                <w:color w:val="auto"/>
                <w:kern w:val="2"/>
                <w:sz w:val="24"/>
                <w:szCs w:val="22"/>
                <w:highlight w:val="none"/>
                <w:vertAlign w:val="superscript"/>
                <w:lang w:val="en-US" w:eastAsia="zh-CN" w:bidi="ar"/>
              </w:rPr>
              <w:t>3</w:t>
            </w:r>
          </w:p>
          <w:tbl>
            <w:tblPr>
              <w:tblStyle w:val="3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178"/>
              <w:gridCol w:w="2158"/>
              <w:gridCol w:w="1781"/>
              <w:gridCol w:w="1072"/>
              <w:gridCol w:w="10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4"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bCs/>
                      <w:sz w:val="21"/>
                      <w:szCs w:val="21"/>
                    </w:rPr>
                  </w:pPr>
                  <w:r>
                    <w:rPr>
                      <w:rFonts w:hint="default" w:cs="Times New Roman" w:eastAsiaTheme="minorEastAsia"/>
                      <w:b/>
                      <w:bCs/>
                      <w:sz w:val="21"/>
                      <w:szCs w:val="21"/>
                    </w:rPr>
                    <w:t>监测项目</w:t>
                  </w:r>
                </w:p>
              </w:tc>
              <w:tc>
                <w:tcPr>
                  <w:tcW w:w="117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bCs/>
                      <w:sz w:val="21"/>
                      <w:szCs w:val="21"/>
                    </w:rPr>
                  </w:pPr>
                  <w:r>
                    <w:rPr>
                      <w:rFonts w:hint="eastAsia" w:cs="Times New Roman" w:eastAsiaTheme="minorEastAsia"/>
                      <w:b/>
                      <w:bCs/>
                      <w:sz w:val="21"/>
                      <w:szCs w:val="21"/>
                    </w:rPr>
                    <w:t>监测</w:t>
                  </w:r>
                  <w:r>
                    <w:rPr>
                      <w:rFonts w:hint="default" w:cs="Times New Roman" w:eastAsiaTheme="minorEastAsia"/>
                      <w:b/>
                      <w:bCs/>
                      <w:sz w:val="21"/>
                      <w:szCs w:val="21"/>
                    </w:rPr>
                    <w:t>点位</w:t>
                  </w: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bCs/>
                      <w:sz w:val="21"/>
                      <w:szCs w:val="21"/>
                    </w:rPr>
                  </w:pPr>
                  <w:r>
                    <w:rPr>
                      <w:rFonts w:hint="eastAsia" w:cs="Times New Roman" w:eastAsiaTheme="minorEastAsia"/>
                      <w:b/>
                      <w:bCs/>
                      <w:sz w:val="21"/>
                      <w:szCs w:val="21"/>
                    </w:rPr>
                    <w:t>监测</w:t>
                  </w:r>
                  <w:r>
                    <w:rPr>
                      <w:rFonts w:hint="default" w:cs="Times New Roman" w:eastAsiaTheme="minorEastAsia"/>
                      <w:b/>
                      <w:bCs/>
                      <w:sz w:val="21"/>
                      <w:szCs w:val="21"/>
                    </w:rPr>
                    <w:t>时间</w:t>
                  </w:r>
                </w:p>
              </w:tc>
              <w:tc>
                <w:tcPr>
                  <w:tcW w:w="1781"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bCs/>
                      <w:sz w:val="21"/>
                      <w:szCs w:val="21"/>
                    </w:rPr>
                  </w:pPr>
                  <w:r>
                    <w:rPr>
                      <w:rFonts w:hint="default" w:cs="Times New Roman" w:eastAsiaTheme="minorEastAsia"/>
                      <w:b/>
                      <w:bCs/>
                      <w:sz w:val="21"/>
                      <w:szCs w:val="21"/>
                    </w:rPr>
                    <w:t>监测结果</w:t>
                  </w:r>
                </w:p>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bCs/>
                      <w:sz w:val="21"/>
                      <w:szCs w:val="21"/>
                    </w:rPr>
                  </w:pPr>
                  <w:r>
                    <w:rPr>
                      <w:rFonts w:hint="default" w:cs="Times New Roman" w:eastAsiaTheme="minorEastAsia"/>
                      <w:b/>
                      <w:bCs/>
                      <w:sz w:val="21"/>
                      <w:szCs w:val="21"/>
                    </w:rPr>
                    <w:t>（</w:t>
                  </w:r>
                  <w:r>
                    <w:rPr>
                      <w:rFonts w:hint="eastAsia" w:cs="Times New Roman" w:eastAsiaTheme="minorEastAsia"/>
                      <w:b/>
                      <w:bCs/>
                      <w:sz w:val="21"/>
                      <w:szCs w:val="21"/>
                      <w:lang w:val="en-US" w:eastAsia="zh-CN"/>
                    </w:rPr>
                    <w:t>日</w:t>
                  </w:r>
                  <w:r>
                    <w:rPr>
                      <w:rFonts w:hint="default" w:cs="Times New Roman" w:eastAsiaTheme="minorEastAsia"/>
                      <w:b/>
                      <w:bCs/>
                      <w:sz w:val="21"/>
                      <w:szCs w:val="21"/>
                    </w:rPr>
                    <w:t>均</w:t>
                  </w:r>
                  <w:r>
                    <w:rPr>
                      <w:rFonts w:hint="eastAsia" w:cs="Times New Roman" w:eastAsiaTheme="minorEastAsia"/>
                      <w:b/>
                      <w:bCs/>
                      <w:sz w:val="21"/>
                      <w:szCs w:val="21"/>
                      <w:lang w:val="en-US" w:eastAsia="zh-CN"/>
                    </w:rPr>
                    <w:t>值</w:t>
                  </w:r>
                  <w:r>
                    <w:rPr>
                      <w:rFonts w:hint="default" w:cs="Times New Roman" w:eastAsiaTheme="minorEastAsia"/>
                      <w:b/>
                      <w:bCs/>
                      <w:sz w:val="21"/>
                      <w:szCs w:val="21"/>
                    </w:rPr>
                    <w:t>）</w:t>
                  </w:r>
                </w:p>
              </w:tc>
              <w:tc>
                <w:tcPr>
                  <w:tcW w:w="1072"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bCs/>
                      <w:sz w:val="21"/>
                      <w:szCs w:val="21"/>
                    </w:rPr>
                  </w:pPr>
                  <w:r>
                    <w:rPr>
                      <w:rFonts w:hint="default" w:cs="Times New Roman" w:eastAsiaTheme="minorEastAsia"/>
                      <w:b/>
                      <w:bCs/>
                      <w:sz w:val="21"/>
                      <w:szCs w:val="21"/>
                    </w:rPr>
                    <w:t>标准限值</w:t>
                  </w:r>
                </w:p>
              </w:tc>
              <w:tc>
                <w:tcPr>
                  <w:tcW w:w="107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bCs/>
                      <w:sz w:val="21"/>
                      <w:szCs w:val="21"/>
                    </w:rPr>
                  </w:pPr>
                  <w:r>
                    <w:rPr>
                      <w:rFonts w:hint="eastAsia" w:cs="Times New Roman" w:eastAsiaTheme="minorEastAsia"/>
                      <w:b/>
                      <w:bCs/>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vMerge w:val="restart"/>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TSP</w:t>
                  </w:r>
                </w:p>
              </w:tc>
              <w:tc>
                <w:tcPr>
                  <w:tcW w:w="1178" w:type="dxa"/>
                  <w:vMerge w:val="restart"/>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eastAsia" w:cs="Times New Roman" w:eastAsiaTheme="minorEastAsia"/>
                      <w:b w:val="0"/>
                      <w:bCs w:val="0"/>
                      <w:sz w:val="21"/>
                      <w:szCs w:val="21"/>
                    </w:rPr>
                    <w:t>1</w:t>
                  </w:r>
                  <w:r>
                    <w:rPr>
                      <w:rFonts w:hint="default" w:cs="Times New Roman" w:eastAsiaTheme="minorEastAsia"/>
                      <w:b w:val="0"/>
                      <w:bCs w:val="0"/>
                      <w:sz w:val="21"/>
                      <w:szCs w:val="21"/>
                    </w:rPr>
                    <w:t>#</w:t>
                  </w: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2023.12.25</w:t>
                  </w:r>
                </w:p>
              </w:tc>
              <w:tc>
                <w:tcPr>
                  <w:tcW w:w="17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b w:val="0"/>
                      <w:bCs w:val="0"/>
                      <w:sz w:val="21"/>
                      <w:szCs w:val="21"/>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160</w:t>
                  </w:r>
                </w:p>
              </w:tc>
              <w:tc>
                <w:tcPr>
                  <w:tcW w:w="1072" w:type="dxa"/>
                  <w:vMerge w:val="restart"/>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300</w:t>
                  </w:r>
                </w:p>
              </w:tc>
              <w:tc>
                <w:tcPr>
                  <w:tcW w:w="107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4"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178"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2023.12.26</w:t>
                  </w:r>
                </w:p>
              </w:tc>
              <w:tc>
                <w:tcPr>
                  <w:tcW w:w="17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b w:val="0"/>
                      <w:bCs w:val="0"/>
                      <w:sz w:val="21"/>
                      <w:szCs w:val="21"/>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135</w:t>
                  </w:r>
                </w:p>
              </w:tc>
              <w:tc>
                <w:tcPr>
                  <w:tcW w:w="1072"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07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4"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178"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2023.12.27</w:t>
                  </w:r>
                </w:p>
              </w:tc>
              <w:tc>
                <w:tcPr>
                  <w:tcW w:w="17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b w:val="0"/>
                      <w:bCs w:val="0"/>
                      <w:sz w:val="21"/>
                      <w:szCs w:val="21"/>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126</w:t>
                  </w:r>
                </w:p>
              </w:tc>
              <w:tc>
                <w:tcPr>
                  <w:tcW w:w="1072"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07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4"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178"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2023.12.28</w:t>
                  </w:r>
                </w:p>
              </w:tc>
              <w:tc>
                <w:tcPr>
                  <w:tcW w:w="17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b w:val="0"/>
                      <w:bCs w:val="0"/>
                      <w:sz w:val="21"/>
                      <w:szCs w:val="21"/>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156</w:t>
                  </w:r>
                </w:p>
              </w:tc>
              <w:tc>
                <w:tcPr>
                  <w:tcW w:w="1072"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075"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4"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178"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2023.12.29</w:t>
                  </w:r>
                </w:p>
              </w:tc>
              <w:tc>
                <w:tcPr>
                  <w:tcW w:w="17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b w:val="0"/>
                      <w:bCs w:val="0"/>
                      <w:sz w:val="21"/>
                      <w:szCs w:val="21"/>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122</w:t>
                  </w:r>
                </w:p>
              </w:tc>
              <w:tc>
                <w:tcPr>
                  <w:tcW w:w="1072"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075"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4"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178"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2023.12.30</w:t>
                  </w:r>
                </w:p>
              </w:tc>
              <w:tc>
                <w:tcPr>
                  <w:tcW w:w="17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b w:val="0"/>
                      <w:bCs w:val="0"/>
                      <w:sz w:val="21"/>
                      <w:szCs w:val="21"/>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107</w:t>
                  </w:r>
                </w:p>
              </w:tc>
              <w:tc>
                <w:tcPr>
                  <w:tcW w:w="1072"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075"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124"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178"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2158"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2023.12.31</w:t>
                  </w:r>
                </w:p>
              </w:tc>
              <w:tc>
                <w:tcPr>
                  <w:tcW w:w="17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b w:val="0"/>
                      <w:bCs w:val="0"/>
                      <w:sz w:val="21"/>
                      <w:szCs w:val="21"/>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131</w:t>
                  </w:r>
                </w:p>
              </w:tc>
              <w:tc>
                <w:tcPr>
                  <w:tcW w:w="1072" w:type="dxa"/>
                  <w:vMerge w:val="continue"/>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p>
              </w:tc>
              <w:tc>
                <w:tcPr>
                  <w:tcW w:w="1075"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eastAsiaTheme="minorEastAsia"/>
                      <w:b w:val="0"/>
                      <w:bCs w:val="0"/>
                      <w:sz w:val="21"/>
                      <w:szCs w:val="21"/>
                    </w:rPr>
                  </w:pPr>
                  <w:r>
                    <w:rPr>
                      <w:rFonts w:hint="default" w:cs="Times New Roman" w:eastAsiaTheme="minorEastAsia"/>
                      <w:b w:val="0"/>
                      <w:bCs w:val="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8388" w:type="dxa"/>
                  <w:gridSpan w:val="6"/>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s="Times New Roman" w:eastAsiaTheme="minorEastAsia"/>
                      <w:szCs w:val="20"/>
                    </w:rPr>
                  </w:pPr>
                  <w:r>
                    <w:rPr>
                      <w:rFonts w:hint="default" w:cs="Times New Roman" w:eastAsiaTheme="minorEastAsia"/>
                      <w:color w:val="000000"/>
                      <w:szCs w:val="20"/>
                      <w:lang w:bidi="ar"/>
                    </w:rPr>
                    <w:t>备注：检测结果执行《环境空气质量标准》（GB3095-2012）及修改单表2中二级标准限值。</w:t>
                  </w:r>
                </w:p>
              </w:tc>
            </w:tr>
          </w:tbl>
          <w:p>
            <w:pPr>
              <w:keepNext w:val="0"/>
              <w:keepLines w:val="0"/>
              <w:numPr>
                <w:ilvl w:val="0"/>
                <w:numId w:val="0"/>
              </w:numPr>
              <w:suppressLineNumbers w:val="0"/>
              <w:spacing w:before="157" w:beforeLines="50" w:beforeAutospacing="0" w:after="0" w:afterAutospacing="0" w:line="360" w:lineRule="auto"/>
              <w:ind w:left="0" w:right="0" w:firstLine="480" w:firstLineChars="200"/>
              <w:textAlignment w:val="auto"/>
              <w:rPr>
                <w:szCs w:val="22"/>
              </w:rPr>
            </w:pPr>
            <w:r>
              <w:rPr>
                <w:rFonts w:hint="default" w:ascii="Times New Roman" w:hAnsi="Times New Roman" w:eastAsia="仿宋_GB2312" w:cs="Times New Roman"/>
                <w:snapToGrid w:val="0"/>
                <w:color w:val="000000" w:themeColor="text1"/>
                <w:sz w:val="24"/>
                <w:szCs w:val="24"/>
                <w:highlight w:val="none"/>
                <w:lang w:val="de-DE"/>
                <w14:textFill>
                  <w14:solidFill>
                    <w14:schemeClr w14:val="tx1"/>
                  </w14:solidFill>
                </w14:textFill>
              </w:rPr>
              <w:t>由表3-</w:t>
            </w:r>
            <w:r>
              <w:rPr>
                <w:rFonts w:hint="eastAsia" w:eastAsia="仿宋_GB2312" w:cs="Times New Roman"/>
                <w:snapToGrid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仿宋_GB2312" w:cs="Times New Roman"/>
                <w:snapToGrid w:val="0"/>
                <w:color w:val="000000" w:themeColor="text1"/>
                <w:sz w:val="24"/>
                <w:szCs w:val="24"/>
                <w:highlight w:val="none"/>
                <w:lang w:val="de-DE"/>
                <w14:textFill>
                  <w14:solidFill>
                    <w14:schemeClr w14:val="tx1"/>
                  </w14:solidFill>
                </w14:textFill>
              </w:rPr>
              <w:t>可知，本项目所在区域TSP24h平均浓度满足《环境空气质量标准》（GB3095-20</w:t>
            </w:r>
            <w:r>
              <w:rPr>
                <w:rFonts w:hint="eastAsia" w:eastAsia="仿宋_GB2312" w:cs="Times New Roman"/>
                <w:snapToGrid w:val="0"/>
                <w:color w:val="000000" w:themeColor="text1"/>
                <w:sz w:val="24"/>
                <w:szCs w:val="24"/>
                <w:highlight w:val="none"/>
                <w:lang w:val="en-US" w:eastAsia="zh-CN"/>
                <w14:textFill>
                  <w14:solidFill>
                    <w14:schemeClr w14:val="tx1"/>
                  </w14:solidFill>
                </w14:textFill>
              </w:rPr>
              <w:t>26</w:t>
            </w:r>
            <w:r>
              <w:rPr>
                <w:rFonts w:hint="default" w:ascii="Times New Roman" w:hAnsi="Times New Roman" w:eastAsia="仿宋_GB2312" w:cs="Times New Roman"/>
                <w:snapToGrid w:val="0"/>
                <w:color w:val="000000" w:themeColor="text1"/>
                <w:sz w:val="24"/>
                <w:szCs w:val="24"/>
                <w:highlight w:val="none"/>
                <w:lang w:val="de-DE"/>
                <w14:textFill>
                  <w14:solidFill>
                    <w14:schemeClr w14:val="tx1"/>
                  </w14:solidFill>
                </w14:textFill>
              </w:rPr>
              <w:t>）中二级标准要求。监测点位与本项目的位置关系见图3-1。</w:t>
            </w:r>
          </w:p>
          <w:p>
            <w:pPr>
              <w:keepNext w:val="0"/>
              <w:keepLines w:val="0"/>
              <w:suppressLineNumbers w:val="0"/>
              <w:spacing w:before="0" w:beforeAutospacing="0" w:after="0" w:afterAutospacing="0"/>
              <w:ind w:left="0" w:right="0"/>
              <w:rPr>
                <w:szCs w:val="22"/>
              </w:rPr>
            </w:pPr>
            <w:r>
              <w:rPr>
                <w:szCs w:val="22"/>
              </w:rPr>
              <w:drawing>
                <wp:anchor distT="0" distB="0" distL="114300" distR="114300" simplePos="0" relativeHeight="251661312" behindDoc="0" locked="0" layoutInCell="1" allowOverlap="1">
                  <wp:simplePos x="0" y="0"/>
                  <wp:positionH relativeFrom="column">
                    <wp:posOffset>-1905</wp:posOffset>
                  </wp:positionH>
                  <wp:positionV relativeFrom="paragraph">
                    <wp:posOffset>12700</wp:posOffset>
                  </wp:positionV>
                  <wp:extent cx="354965" cy="569595"/>
                  <wp:effectExtent l="0" t="0" r="6985" b="1905"/>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4"/>
                          <a:stretch>
                            <a:fillRect/>
                          </a:stretch>
                        </pic:blipFill>
                        <pic:spPr>
                          <a:xfrm>
                            <a:off x="0" y="0"/>
                            <a:ext cx="354965" cy="569595"/>
                          </a:xfrm>
                          <a:prstGeom prst="rect">
                            <a:avLst/>
                          </a:prstGeom>
                          <a:noFill/>
                          <a:ln>
                            <a:noFill/>
                          </a:ln>
                        </pic:spPr>
                      </pic:pic>
                    </a:graphicData>
                  </a:graphic>
                </wp:anchor>
              </w:drawing>
            </w:r>
            <w:r>
              <w:rPr>
                <w:szCs w:val="22"/>
              </w:rPr>
              <w:drawing>
                <wp:inline distT="0" distB="0" distL="114300" distR="114300">
                  <wp:extent cx="5346065" cy="3301365"/>
                  <wp:effectExtent l="0" t="0" r="6985" b="133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5"/>
                          <a:stretch>
                            <a:fillRect/>
                          </a:stretch>
                        </pic:blipFill>
                        <pic:spPr>
                          <a:xfrm>
                            <a:off x="0" y="0"/>
                            <a:ext cx="5346065" cy="3301365"/>
                          </a:xfrm>
                          <a:prstGeom prst="rect">
                            <a:avLst/>
                          </a:prstGeom>
                          <a:noFill/>
                          <a:ln>
                            <a:noFill/>
                          </a:ln>
                        </pic:spPr>
                      </pic:pic>
                    </a:graphicData>
                  </a:graphic>
                </wp:inline>
              </w:drawing>
            </w:r>
            <w:r>
              <w:rPr>
                <w:szCs w:val="22"/>
              </w:rPr>
              <w:drawing>
                <wp:anchor distT="0" distB="0" distL="114300" distR="114300" simplePos="0" relativeHeight="251662336" behindDoc="0" locked="0" layoutInCell="1" allowOverlap="1">
                  <wp:simplePos x="0" y="0"/>
                  <wp:positionH relativeFrom="column">
                    <wp:posOffset>4711065</wp:posOffset>
                  </wp:positionH>
                  <wp:positionV relativeFrom="paragraph">
                    <wp:posOffset>2776220</wp:posOffset>
                  </wp:positionV>
                  <wp:extent cx="638175" cy="523875"/>
                  <wp:effectExtent l="0" t="0" r="9525" b="9525"/>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6"/>
                          <a:stretch>
                            <a:fillRect/>
                          </a:stretch>
                        </pic:blipFill>
                        <pic:spPr>
                          <a:xfrm>
                            <a:off x="0" y="0"/>
                            <a:ext cx="638175" cy="523875"/>
                          </a:xfrm>
                          <a:prstGeom prst="rect">
                            <a:avLst/>
                          </a:prstGeom>
                          <a:noFill/>
                          <a:ln>
                            <a:noFill/>
                          </a:ln>
                        </pic:spPr>
                      </pic:pic>
                    </a:graphicData>
                  </a:graphic>
                </wp:anchor>
              </w:drawing>
            </w:r>
          </w:p>
          <w:p>
            <w:pPr>
              <w:pStyle w:val="34"/>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000000" w:themeColor="text1"/>
                <w:kern w:val="16"/>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16"/>
                <w:sz w:val="24"/>
                <w:szCs w:val="24"/>
                <w:highlight w:val="none"/>
                <w:lang w:val="en-US" w:eastAsia="zh-CN" w:bidi="ar"/>
                <w14:textFill>
                  <w14:solidFill>
                    <w14:schemeClr w14:val="tx1"/>
                  </w14:solidFill>
                </w14:textFill>
              </w:rPr>
              <w:t>图</w:t>
            </w:r>
            <w:r>
              <w:rPr>
                <w:rFonts w:hint="eastAsia" w:ascii="Times New Roman" w:hAnsi="Times New Roman" w:cs="Times New Roman"/>
                <w:b w:val="0"/>
                <w:bCs w:val="0"/>
                <w:color w:val="000000" w:themeColor="text1"/>
                <w:kern w:val="16"/>
                <w:sz w:val="24"/>
                <w:szCs w:val="24"/>
                <w:highlight w:val="none"/>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16"/>
                <w:sz w:val="24"/>
                <w:szCs w:val="24"/>
                <w:highlight w:val="none"/>
                <w:lang w:val="en-US" w:eastAsia="zh-CN" w:bidi="ar"/>
                <w14:textFill>
                  <w14:solidFill>
                    <w14:schemeClr w14:val="tx1"/>
                  </w14:solidFill>
                </w14:textFill>
              </w:rPr>
              <w:t>-</w:t>
            </w:r>
            <w:r>
              <w:rPr>
                <w:rFonts w:hint="eastAsia" w:ascii="Times New Roman" w:hAnsi="Times New Roman" w:cs="Times New Roman"/>
                <w:b w:val="0"/>
                <w:bCs w:val="0"/>
                <w:color w:val="000000" w:themeColor="text1"/>
                <w:kern w:val="16"/>
                <w:sz w:val="24"/>
                <w:szCs w:val="24"/>
                <w:highlight w:val="none"/>
                <w:lang w:val="en-US" w:eastAsia="zh-CN" w:bidi="ar"/>
                <w14:textFill>
                  <w14:solidFill>
                    <w14:schemeClr w14:val="tx1"/>
                  </w14:solidFill>
                </w14:textFill>
              </w:rPr>
              <w:t>1</w:t>
            </w:r>
            <w:r>
              <w:rPr>
                <w:rFonts w:hint="default"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 xml:space="preserve">   </w:t>
            </w:r>
            <w:r>
              <w:rPr>
                <w:rFonts w:hint="eastAsia" w:ascii="Times New Roman" w:hAnsi="Times New Roman" w:eastAsia="仿宋_GB2312" w:cs="Times New Roman"/>
                <w:b/>
                <w:bCs/>
                <w:color w:val="000000" w:themeColor="text1"/>
                <w:kern w:val="16"/>
                <w:sz w:val="24"/>
                <w:szCs w:val="24"/>
                <w:highlight w:val="none"/>
                <w:lang w:val="en-US" w:eastAsia="zh-CN" w:bidi="ar"/>
                <w14:textFill>
                  <w14:solidFill>
                    <w14:schemeClr w14:val="tx1"/>
                  </w14:solidFill>
                </w14:textFill>
              </w:rPr>
              <w:t>引用</w:t>
            </w:r>
            <w:r>
              <w:rPr>
                <w:rFonts w:hint="default" w:ascii="Times New Roman" w:hAnsi="Times New Roman" w:eastAsia="宋体" w:cs="Times New Roman"/>
                <w:b/>
                <w:bCs/>
                <w:color w:val="000000" w:themeColor="text1"/>
                <w:kern w:val="16"/>
                <w:sz w:val="24"/>
                <w:szCs w:val="24"/>
                <w:highlight w:val="none"/>
                <w:lang w:val="en-US" w:eastAsia="zh-CN" w:bidi="ar"/>
                <w14:textFill>
                  <w14:solidFill>
                    <w14:schemeClr w14:val="tx1"/>
                  </w14:solidFill>
                </w14:textFill>
              </w:rPr>
              <w:t>监测点位与本项目位置关系图</w:t>
            </w:r>
          </w:p>
          <w:p>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48" w:lineRule="auto"/>
              <w:ind w:left="0" w:right="0"/>
              <w:jc w:val="both"/>
              <w:textAlignment w:val="baseline"/>
              <w:rPr>
                <w:rFonts w:hint="default" w:ascii="Times New Roman" w:hAnsi="Times New Roman" w:eastAsia="仿宋_GB2312" w:cs="Times New Roman"/>
                <w:color w:val="auto"/>
                <w:szCs w:val="22"/>
                <w:highlight w:val="none"/>
              </w:rPr>
            </w:pPr>
            <w:r>
              <w:rPr>
                <w:rFonts w:hint="default" w:ascii="Times New Roman" w:hAnsi="Times New Roman" w:eastAsia="仿宋_GB2312" w:cs="Times New Roman"/>
                <w:color w:val="auto"/>
                <w:szCs w:val="22"/>
                <w:highlight w:val="none"/>
              </w:rPr>
              <w:t>2.地表水环境</w:t>
            </w:r>
          </w:p>
          <w:p>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0" w:firstLineChars="200"/>
              <w:jc w:val="both"/>
              <w:textAlignment w:val="baseline"/>
              <w:rPr>
                <w:rFonts w:hint="default" w:ascii="Times New Roman" w:hAnsi="Times New Roman" w:eastAsia="仿宋_GB2312" w:cs="Times New Roman"/>
                <w:b w:val="0"/>
                <w:color w:val="FF0000"/>
                <w:kern w:val="16"/>
                <w:sz w:val="24"/>
                <w:szCs w:val="24"/>
                <w:highlight w:val="none"/>
                <w:lang w:val="en-US" w:eastAsia="zh-CN" w:bidi="ar-SA"/>
              </w:rPr>
            </w:pPr>
            <w:r>
              <w:rPr>
                <w:rFonts w:hint="eastAsia" w:eastAsia="仿宋_GB2312" w:cs="Times New Roman"/>
                <w:b w:val="0"/>
                <w:color w:val="auto"/>
                <w:kern w:val="16"/>
                <w:sz w:val="24"/>
                <w:szCs w:val="24"/>
                <w:highlight w:val="none"/>
                <w:lang w:val="en-US" w:eastAsia="zh-CN" w:bidi="ar-SA"/>
              </w:rPr>
              <w:t>本项目位于</w:t>
            </w:r>
            <w:r>
              <w:rPr>
                <w:rFonts w:hint="default" w:eastAsia="仿宋_GB2312" w:cs="Times New Roman"/>
                <w:b w:val="0"/>
                <w:color w:val="auto"/>
                <w:kern w:val="16"/>
                <w:sz w:val="24"/>
                <w:szCs w:val="24"/>
                <w:highlight w:val="none"/>
                <w:lang w:val="en-US" w:eastAsia="zh-CN" w:bidi="ar-SA"/>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仿宋_GB2312" w:cs="Times New Roman"/>
                <w:b w:val="0"/>
                <w:color w:val="auto"/>
                <w:kern w:val="16"/>
                <w:sz w:val="24"/>
                <w:szCs w:val="24"/>
                <w:highlight w:val="none"/>
                <w:lang w:val="en-US" w:eastAsia="zh-CN" w:bidi="ar-SA"/>
              </w:rPr>
              <w:t>本次评价区域内地表水体为茹河，位于本项目北侧约3000m处，根据《2024年宁夏生态环境质量状况》中2024年监测评价结论，</w:t>
            </w:r>
            <w:r>
              <w:rPr>
                <w:rFonts w:hint="eastAsia" w:eastAsia="仿宋_GB2312" w:cs="Times New Roman"/>
                <w:b w:val="0"/>
                <w:color w:val="auto"/>
                <w:kern w:val="16"/>
                <w:sz w:val="24"/>
                <w:szCs w:val="24"/>
                <w:highlight w:val="none"/>
                <w:lang w:val="en-US" w:eastAsia="zh-CN" w:bidi="ar-SA"/>
              </w:rPr>
              <w:t>茹河</w:t>
            </w:r>
            <w:r>
              <w:rPr>
                <w:rFonts w:hint="default" w:ascii="Times New Roman" w:hAnsi="Times New Roman" w:eastAsia="仿宋_GB2312" w:cs="Times New Roman"/>
                <w:b w:val="0"/>
                <w:color w:val="auto"/>
                <w:kern w:val="16"/>
                <w:sz w:val="24"/>
                <w:szCs w:val="24"/>
                <w:highlight w:val="none"/>
                <w:lang w:val="en-US" w:eastAsia="zh-CN" w:bidi="ar-SA"/>
              </w:rPr>
              <w:t>沟圈监测断面水质达到《地表水环境质量标准》（GB3838-2002）中的</w:t>
            </w:r>
            <w:r>
              <w:rPr>
                <w:rFonts w:hint="eastAsia" w:ascii="微软雅黑" w:hAnsi="微软雅黑" w:eastAsia="微软雅黑" w:cs="微软雅黑"/>
                <w:b w:val="0"/>
                <w:color w:val="auto"/>
                <w:kern w:val="16"/>
                <w:sz w:val="24"/>
                <w:szCs w:val="24"/>
                <w:highlight w:val="none"/>
                <w:lang w:val="en-US" w:eastAsia="zh-CN" w:bidi="ar-SA"/>
              </w:rPr>
              <w:t>Ⅲ</w:t>
            </w:r>
            <w:r>
              <w:rPr>
                <w:rFonts w:hint="default" w:ascii="Times New Roman" w:hAnsi="Times New Roman" w:eastAsia="仿宋_GB2312" w:cs="Times New Roman"/>
                <w:b w:val="0"/>
                <w:color w:val="auto"/>
                <w:kern w:val="16"/>
                <w:sz w:val="24"/>
                <w:szCs w:val="24"/>
                <w:highlight w:val="none"/>
                <w:lang w:val="en-US" w:eastAsia="zh-CN" w:bidi="ar-SA"/>
              </w:rPr>
              <w:t>类标准。</w:t>
            </w:r>
          </w:p>
          <w:p>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48" w:lineRule="auto"/>
              <w:ind w:left="0" w:right="0"/>
              <w:jc w:val="both"/>
              <w:textAlignment w:val="baseline"/>
              <w:rPr>
                <w:rFonts w:hint="default" w:ascii="Times New Roman" w:hAnsi="Times New Roman" w:eastAsia="仿宋_GB2312" w:cs="Times New Roman"/>
                <w:color w:val="auto"/>
                <w:szCs w:val="22"/>
                <w:highlight w:val="none"/>
                <w:lang w:val="en-US" w:eastAsia="zh-CN"/>
              </w:rPr>
            </w:pPr>
            <w:r>
              <w:rPr>
                <w:rFonts w:hint="default" w:ascii="Times New Roman" w:hAnsi="Times New Roman" w:eastAsia="仿宋_GB2312" w:cs="Times New Roman"/>
                <w:color w:val="auto"/>
                <w:szCs w:val="22"/>
                <w:highlight w:val="none"/>
                <w:lang w:val="en-US" w:eastAsia="zh-CN"/>
              </w:rPr>
              <w:t>3.声环境</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48" w:lineRule="auto"/>
              <w:ind w:left="0" w:right="0"/>
              <w:jc w:val="both"/>
              <w:rPr>
                <w:rFonts w:hint="default" w:ascii="Times New Roman" w:hAnsi="Times New Roman" w:cs="Times New Roman"/>
                <w:color w:val="auto"/>
                <w:highlight w:val="none"/>
                <w:lang w:val="en-US" w:eastAsia="zh-CN"/>
              </w:rPr>
            </w:pPr>
            <w:r>
              <w:rPr>
                <w:rFonts w:hint="eastAsia" w:eastAsia="仿宋_GB2312" w:cs="Times New Roman"/>
                <w:b w:val="0"/>
                <w:color w:val="auto"/>
                <w:kern w:val="16"/>
                <w:sz w:val="24"/>
                <w:szCs w:val="24"/>
                <w:highlight w:val="none"/>
                <w:lang w:val="en-US" w:eastAsia="zh-CN" w:bidi="ar-SA"/>
              </w:rPr>
              <w:t>本项目位于</w:t>
            </w:r>
            <w:r>
              <w:rPr>
                <w:rFonts w:hint="default" w:eastAsia="仿宋_GB2312" w:cs="Times New Roman"/>
                <w:b w:val="0"/>
                <w:color w:val="auto"/>
                <w:kern w:val="16"/>
                <w:sz w:val="24"/>
                <w:szCs w:val="24"/>
                <w:highlight w:val="none"/>
                <w:lang w:val="en-US" w:eastAsia="zh-CN" w:bidi="ar-SA"/>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cs="Times New Roman"/>
                <w:color w:val="auto"/>
                <w:highlight w:val="none"/>
                <w:lang w:val="en-US" w:eastAsia="zh-CN"/>
              </w:rPr>
              <w:t>本项目50m范围内没有声环境敏感保护目标，依照《建设项目环境影响报告表编制技术指南（污染影响类）（试行）》中相关要求“厂界外周边50米范围内存在声环境保护目标的建设项目，应监测保护目标声环境质量现状并评价达标情况”。因此，本次评价不对声环境质量现状进行评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8" w:lineRule="auto"/>
              <w:ind w:left="0" w:right="0"/>
              <w:jc w:val="both"/>
              <w:textAlignment w:val="auto"/>
              <w:rPr>
                <w:rFonts w:hint="default" w:ascii="Times New Roman" w:hAnsi="Times New Roman" w:eastAsia="仿宋_GB2312" w:cs="Times New Roman"/>
                <w:b/>
                <w:bCs w:val="0"/>
                <w:color w:val="auto"/>
                <w:kern w:val="0"/>
                <w:sz w:val="24"/>
                <w:szCs w:val="24"/>
                <w:highlight w:val="none"/>
                <w:lang w:val="en-US" w:eastAsia="zh-CN"/>
              </w:rPr>
            </w:pPr>
            <w:r>
              <w:rPr>
                <w:rFonts w:hint="default" w:ascii="Times New Roman" w:hAnsi="Times New Roman" w:eastAsia="仿宋_GB2312" w:cs="Times New Roman"/>
                <w:b/>
                <w:bCs w:val="0"/>
                <w:color w:val="auto"/>
                <w:kern w:val="0"/>
                <w:sz w:val="24"/>
                <w:szCs w:val="24"/>
                <w:highlight w:val="none"/>
                <w:lang w:val="en-US" w:eastAsia="zh-CN"/>
              </w:rPr>
              <w:t>4</w:t>
            </w:r>
            <w:r>
              <w:rPr>
                <w:rFonts w:hint="default" w:ascii="Times New Roman" w:hAnsi="Times New Roman" w:eastAsia="仿宋_GB2312" w:cs="Times New Roman"/>
                <w:b/>
                <w:color w:val="auto"/>
                <w:kern w:val="2"/>
                <w:sz w:val="24"/>
                <w:szCs w:val="22"/>
                <w:highlight w:val="none"/>
                <w:lang w:val="en-US" w:eastAsia="zh-CN" w:bidi="ar-SA"/>
              </w:rPr>
              <w:t>.生态环境</w:t>
            </w:r>
          </w:p>
          <w:p>
            <w:pPr>
              <w:pStyle w:val="10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348" w:lineRule="auto"/>
              <w:ind w:left="0" w:leftChars="0" w:right="0" w:firstLine="480" w:firstLineChars="200"/>
              <w:jc w:val="both"/>
              <w:textAlignment w:val="baseline"/>
              <w:rPr>
                <w:rFonts w:hint="default" w:ascii="Times New Roman" w:hAnsi="Times New Roman" w:eastAsia="仿宋_GB2312" w:cs="Times New Roman"/>
                <w:b w:val="0"/>
                <w:bCs w:val="0"/>
                <w:color w:val="FF0000"/>
                <w:kern w:val="2"/>
                <w:sz w:val="24"/>
                <w:szCs w:val="24"/>
                <w:highlight w:val="none"/>
                <w:lang w:val="en-US" w:eastAsia="zh-CN" w:bidi="ar-SA"/>
              </w:rPr>
            </w:pPr>
            <w:r>
              <w:rPr>
                <w:rFonts w:hint="eastAsia" w:eastAsia="仿宋_GB2312" w:cs="Times New Roman"/>
                <w:b w:val="0"/>
                <w:color w:val="auto"/>
                <w:kern w:val="16"/>
                <w:sz w:val="24"/>
                <w:szCs w:val="24"/>
                <w:highlight w:val="none"/>
                <w:lang w:val="en-US" w:eastAsia="zh-CN" w:bidi="ar-SA"/>
              </w:rPr>
              <w:t>本项目位于</w:t>
            </w:r>
            <w:r>
              <w:rPr>
                <w:rFonts w:hint="default" w:eastAsia="仿宋_GB2312" w:cs="Times New Roman"/>
                <w:b w:val="0"/>
                <w:color w:val="auto"/>
                <w:kern w:val="16"/>
                <w:sz w:val="24"/>
                <w:szCs w:val="24"/>
                <w:highlight w:val="none"/>
                <w:lang w:val="en-US" w:eastAsia="zh-CN" w:bidi="ar-SA"/>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仿宋_GB2312" w:cs="Times New Roman"/>
                <w:b w:val="0"/>
                <w:bCs w:val="0"/>
                <w:color w:val="auto"/>
                <w:kern w:val="2"/>
                <w:sz w:val="24"/>
                <w:szCs w:val="24"/>
                <w:highlight w:val="none"/>
                <w:lang w:val="en-US" w:eastAsia="zh-CN" w:bidi="ar-SA"/>
              </w:rPr>
              <w:t>生态环境以人工种植绿化树木为主，不存在珍稀动植物。占地范围内不涉及国家公园、自然保护区、风景名胜区、世界文化和</w:t>
            </w:r>
            <w:r>
              <w:rPr>
                <w:rFonts w:hint="eastAsia" w:eastAsia="仿宋_GB2312" w:cs="Times New Roman"/>
                <w:b w:val="0"/>
                <w:bCs w:val="0"/>
                <w:color w:val="auto"/>
                <w:kern w:val="2"/>
                <w:sz w:val="24"/>
                <w:szCs w:val="24"/>
                <w:highlight w:val="none"/>
                <w:lang w:val="en-US" w:eastAsia="zh-CN" w:bidi="ar-SA"/>
              </w:rPr>
              <w:t>自然</w:t>
            </w:r>
            <w:r>
              <w:rPr>
                <w:rFonts w:hint="default" w:ascii="Times New Roman" w:hAnsi="Times New Roman" w:eastAsia="仿宋_GB2312" w:cs="Times New Roman"/>
                <w:b w:val="0"/>
                <w:bCs w:val="0"/>
                <w:color w:val="auto"/>
                <w:kern w:val="2"/>
                <w:sz w:val="24"/>
                <w:szCs w:val="24"/>
                <w:highlight w:val="none"/>
                <w:lang w:val="en-US" w:eastAsia="zh-CN" w:bidi="ar-SA"/>
              </w:rPr>
              <w:t>遗产地、饮用水水源保护区、生态保护红线范围、重点保护野生动物栖息地、重点保护野生植物生长繁殖地等生态环境敏感区域。</w:t>
            </w:r>
          </w:p>
          <w:p>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48" w:lineRule="auto"/>
              <w:ind w:left="0" w:right="0"/>
              <w:jc w:val="both"/>
              <w:textAlignment w:val="baseline"/>
              <w:rPr>
                <w:rFonts w:hint="default" w:ascii="Times New Roman" w:hAnsi="Times New Roman" w:eastAsia="仿宋_GB2312" w:cs="Times New Roman"/>
                <w:b/>
                <w:color w:val="auto"/>
                <w:kern w:val="2"/>
                <w:sz w:val="24"/>
                <w:szCs w:val="22"/>
                <w:highlight w:val="none"/>
                <w:lang w:val="en-US" w:eastAsia="zh-CN" w:bidi="ar-SA"/>
              </w:rPr>
            </w:pPr>
            <w:r>
              <w:rPr>
                <w:rFonts w:hint="default" w:ascii="Times New Roman" w:hAnsi="Times New Roman" w:eastAsia="仿宋_GB2312" w:cs="Times New Roman"/>
                <w:b/>
                <w:color w:val="auto"/>
                <w:kern w:val="2"/>
                <w:sz w:val="24"/>
                <w:szCs w:val="22"/>
                <w:highlight w:val="none"/>
                <w:lang w:val="en-US" w:eastAsia="zh-CN" w:bidi="ar-SA"/>
              </w:rPr>
              <w:t>5.地下水、土壤环境</w:t>
            </w:r>
          </w:p>
          <w:p>
            <w:pPr>
              <w:keepNext w:val="0"/>
              <w:keepLines w:val="0"/>
              <w:pageBreakBefore w:val="0"/>
              <w:widowControl w:val="0"/>
              <w:suppressLineNumbers w:val="0"/>
              <w:tabs>
                <w:tab w:val="left" w:pos="6384"/>
              </w:tabs>
              <w:kinsoku/>
              <w:wordWrap/>
              <w:topLinePunct w:val="0"/>
              <w:bidi w:val="0"/>
              <w:adjustRightInd w:val="0"/>
              <w:snapToGrid w:val="0"/>
              <w:spacing w:before="0" w:beforeAutospacing="0" w:after="0" w:afterAutospacing="0" w:line="348" w:lineRule="auto"/>
              <w:ind w:left="0" w:right="0" w:firstLine="480" w:firstLineChars="200"/>
              <w:jc w:val="both"/>
              <w:rPr>
                <w:rFonts w:hint="default" w:ascii="Times New Roman" w:hAnsi="Times New Roman" w:cs="Times New Roman"/>
                <w:color w:val="FF0000"/>
                <w:szCs w:val="22"/>
                <w:highlight w:val="none"/>
                <w:lang w:val="en-US" w:eastAsia="zh-CN"/>
              </w:rPr>
            </w:pPr>
            <w:r>
              <w:rPr>
                <w:rFonts w:hint="eastAsia" w:eastAsia="仿宋_GB2312" w:cs="Times New Roman"/>
                <w:b w:val="0"/>
                <w:color w:val="auto"/>
                <w:kern w:val="16"/>
                <w:sz w:val="24"/>
                <w:szCs w:val="24"/>
                <w:highlight w:val="none"/>
                <w:lang w:val="en-US" w:eastAsia="zh-CN" w:bidi="ar-SA"/>
              </w:rPr>
              <w:t>本项目位于</w:t>
            </w:r>
            <w:r>
              <w:rPr>
                <w:rFonts w:hint="default" w:eastAsia="仿宋_GB2312" w:cs="Times New Roman"/>
                <w:b w:val="0"/>
                <w:color w:val="auto"/>
                <w:kern w:val="16"/>
                <w:sz w:val="24"/>
                <w:szCs w:val="24"/>
                <w:highlight w:val="none"/>
                <w:lang w:val="en-US" w:eastAsia="zh-CN" w:bidi="ar-SA"/>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仿宋_GB2312" w:cs="Times New Roman"/>
                <w:b w:val="0"/>
                <w:bCs w:val="0"/>
                <w:color w:val="auto"/>
                <w:kern w:val="2"/>
                <w:sz w:val="24"/>
                <w:szCs w:val="24"/>
                <w:highlight w:val="none"/>
                <w:lang w:val="en-US" w:eastAsia="zh-CN" w:bidi="ar-SA"/>
              </w:rPr>
              <w:t>运营期生产</w:t>
            </w:r>
            <w:r>
              <w:rPr>
                <w:rFonts w:hint="eastAsia" w:eastAsia="仿宋_GB2312" w:cs="Times New Roman"/>
                <w:b w:val="0"/>
                <w:bCs w:val="0"/>
                <w:color w:val="auto"/>
                <w:kern w:val="2"/>
                <w:sz w:val="24"/>
                <w:szCs w:val="24"/>
                <w:highlight w:val="none"/>
                <w:lang w:val="en-US" w:eastAsia="zh-CN" w:bidi="ar-SA"/>
              </w:rPr>
              <w:t>废</w:t>
            </w:r>
            <w:r>
              <w:rPr>
                <w:rFonts w:hint="default" w:ascii="Times New Roman" w:hAnsi="Times New Roman" w:eastAsia="仿宋_GB2312" w:cs="Times New Roman"/>
                <w:b w:val="0"/>
                <w:bCs w:val="0"/>
                <w:color w:val="auto"/>
                <w:kern w:val="2"/>
                <w:sz w:val="24"/>
                <w:szCs w:val="24"/>
                <w:highlight w:val="none"/>
                <w:lang w:val="en-US" w:eastAsia="zh-CN" w:bidi="ar-SA"/>
              </w:rPr>
              <w:t>水</w:t>
            </w:r>
            <w:r>
              <w:rPr>
                <w:rFonts w:hint="eastAsia" w:eastAsia="仿宋_GB2312" w:cs="Times New Roman"/>
                <w:b w:val="0"/>
                <w:bCs w:val="0"/>
                <w:color w:val="auto"/>
                <w:kern w:val="2"/>
                <w:sz w:val="24"/>
                <w:szCs w:val="24"/>
                <w:highlight w:val="none"/>
                <w:lang w:val="en-US" w:eastAsia="zh-CN" w:bidi="ar-SA"/>
              </w:rPr>
              <w:t>上清液</w:t>
            </w:r>
            <w:r>
              <w:rPr>
                <w:rFonts w:hint="default" w:ascii="Times New Roman" w:hAnsi="Times New Roman" w:eastAsia="仿宋_GB2312" w:cs="Times New Roman"/>
                <w:b w:val="0"/>
                <w:bCs w:val="0"/>
                <w:color w:val="auto"/>
                <w:kern w:val="2"/>
                <w:sz w:val="24"/>
                <w:szCs w:val="24"/>
                <w:highlight w:val="none"/>
                <w:lang w:val="en-US" w:eastAsia="zh-CN" w:bidi="ar-SA"/>
              </w:rPr>
              <w:t>循环使用，管理用房生活污水经管道排至室外20</w:t>
            </w:r>
            <w:r>
              <w:rPr>
                <w:rFonts w:hint="eastAsia" w:eastAsia="仿宋_GB2312" w:cs="Times New Roman"/>
                <w:b w:val="0"/>
                <w:bCs w:val="0"/>
                <w:color w:val="auto"/>
                <w:kern w:val="2"/>
                <w:sz w:val="24"/>
                <w:szCs w:val="24"/>
                <w:highlight w:val="none"/>
                <w:lang w:val="en-US" w:eastAsia="zh-CN" w:bidi="ar-SA"/>
              </w:rPr>
              <w:t>m</w:t>
            </w:r>
            <w:r>
              <w:rPr>
                <w:rFonts w:hint="eastAsia" w:eastAsia="仿宋_GB2312" w:cs="Times New Roman"/>
                <w:b w:val="0"/>
                <w:bCs w:val="0"/>
                <w:color w:val="auto"/>
                <w:kern w:val="2"/>
                <w:sz w:val="24"/>
                <w:szCs w:val="24"/>
                <w:highlight w:val="none"/>
                <w:vertAlign w:val="superscript"/>
                <w:lang w:val="en-US" w:eastAsia="zh-CN" w:bidi="ar-SA"/>
              </w:rPr>
              <w:t>3</w:t>
            </w:r>
            <w:r>
              <w:rPr>
                <w:rFonts w:hint="default" w:ascii="Times New Roman" w:hAnsi="Times New Roman" w:eastAsia="仿宋_GB2312" w:cs="Times New Roman"/>
                <w:b w:val="0"/>
                <w:bCs w:val="0"/>
                <w:color w:val="auto"/>
                <w:kern w:val="2"/>
                <w:sz w:val="24"/>
                <w:szCs w:val="24"/>
                <w:highlight w:val="none"/>
                <w:lang w:val="en-US" w:eastAsia="zh-CN" w:bidi="ar-SA"/>
              </w:rPr>
              <w:t>化粪池，生产区卫生间污水经管道排至卫生间下方设置的12</w:t>
            </w:r>
            <w:r>
              <w:rPr>
                <w:rFonts w:hint="eastAsia" w:eastAsia="仿宋_GB2312" w:cs="Times New Roman"/>
                <w:b w:val="0"/>
                <w:bCs w:val="0"/>
                <w:color w:val="auto"/>
                <w:kern w:val="2"/>
                <w:sz w:val="24"/>
                <w:szCs w:val="24"/>
                <w:highlight w:val="none"/>
                <w:lang w:val="en-US" w:eastAsia="zh-CN" w:bidi="ar-SA"/>
              </w:rPr>
              <w:t>m</w:t>
            </w:r>
            <w:r>
              <w:rPr>
                <w:rFonts w:hint="eastAsia" w:eastAsia="仿宋_GB2312" w:cs="Times New Roman"/>
                <w:b w:val="0"/>
                <w:bCs w:val="0"/>
                <w:color w:val="auto"/>
                <w:kern w:val="2"/>
                <w:sz w:val="24"/>
                <w:szCs w:val="24"/>
                <w:highlight w:val="none"/>
                <w:vertAlign w:val="superscript"/>
                <w:lang w:val="en-US" w:eastAsia="zh-CN" w:bidi="ar-SA"/>
              </w:rPr>
              <w:t>3</w:t>
            </w:r>
            <w:r>
              <w:rPr>
                <w:rFonts w:hint="default" w:ascii="Times New Roman" w:hAnsi="Times New Roman" w:eastAsia="仿宋_GB2312" w:cs="Times New Roman"/>
                <w:b w:val="0"/>
                <w:bCs w:val="0"/>
                <w:color w:val="auto"/>
                <w:kern w:val="2"/>
                <w:sz w:val="24"/>
                <w:szCs w:val="24"/>
                <w:highlight w:val="none"/>
                <w:lang w:val="en-US" w:eastAsia="zh-CN" w:bidi="ar-SA"/>
              </w:rPr>
              <w:t>化粪池，由专业人员定期清理外运至彭阳县第二污水处理厂。同时项目厂区外周边500m范围内无地下水集中饮用水水源和热水、矿泉水、温泉等特殊地下水资源。因此，本项目不进行地下水和土壤环境质量现状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58" w:hRule="atLeast"/>
          <w:jc w:val="center"/>
        </w:trPr>
        <w:tc>
          <w:tcPr>
            <w:tcW w:w="719" w:type="dxa"/>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区域环境质量现状</w:t>
            </w:r>
          </w:p>
        </w:tc>
        <w:tc>
          <w:tcPr>
            <w:tcW w:w="8635" w:type="dxa"/>
            <w:vMerge w:val="continue"/>
            <w:tcBorders>
              <w:tl2br w:val="nil"/>
              <w:tr2bl w:val="nil"/>
            </w:tcBorders>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FF000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29" w:hRule="atLeast"/>
          <w:jc w:val="center"/>
        </w:trPr>
        <w:tc>
          <w:tcPr>
            <w:tcW w:w="719" w:type="dxa"/>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环境保护目标</w:t>
            </w:r>
          </w:p>
        </w:tc>
        <w:tc>
          <w:tcPr>
            <w:tcW w:w="8635" w:type="dxa"/>
            <w:tcBorders>
              <w:tl2br w:val="nil"/>
              <w:tr2bl w:val="nil"/>
            </w:tcBorders>
            <w:vAlign w:val="center"/>
          </w:tcPr>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ind w:left="0" w:leftChars="0" w:right="0" w:firstLine="480" w:firstLineChars="200"/>
              <w:rPr>
                <w:rFonts w:hint="eastAsia"/>
              </w:rPr>
            </w:pPr>
            <w:r>
              <w:rPr>
                <w:rFonts w:hint="eastAsia"/>
              </w:rPr>
              <w:t>⑴大气环境保护目标。本项目占地500m范围内无自然保护区、风景名胜区、文化区和农村地区中人群较集中的区域等保护目标；</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ind w:left="0" w:leftChars="0" w:right="0" w:firstLine="480" w:firstLineChars="200"/>
              <w:rPr>
                <w:rFonts w:hint="eastAsia"/>
              </w:rPr>
            </w:pPr>
            <w:r>
              <w:rPr>
                <w:rFonts w:hint="eastAsia"/>
              </w:rPr>
              <w:t>⑵声环境保护目标。本项目厂界外50米范围内无声环境保护目标；</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ind w:left="0" w:leftChars="0" w:right="0" w:firstLine="480" w:firstLineChars="200"/>
              <w:rPr>
                <w:rFonts w:hint="eastAsia"/>
              </w:rPr>
            </w:pPr>
            <w:r>
              <w:rPr>
                <w:rFonts w:hint="eastAsia"/>
              </w:rPr>
              <w:t>⑶地下水环境保护目标。本项目厂界外500米范围内无地下水集中式饮用水水源和热水、矿泉水、温泉等特殊地下水资源，无地下水环境保护目标；</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ind w:left="0" w:leftChars="0" w:right="0" w:firstLine="480" w:firstLineChars="200"/>
            </w:pPr>
            <w:r>
              <w:rPr>
                <w:rFonts w:hint="eastAsia"/>
              </w:rPr>
              <w:t>⑷生态环境保护目标。本项目用地范围内无生态环境保护目标。</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ind w:left="0" w:leftChars="0" w:right="0" w:firstLine="480" w:firstLineChars="200"/>
              <w:rPr>
                <w:rFonts w:hint="default" w:ascii="Times New Roman" w:hAnsi="Times New Roman" w:cs="Times New Roman"/>
                <w:b w:val="0"/>
                <w:bCs w:val="0"/>
                <w:color w:val="FF0000"/>
                <w:highlight w:val="none"/>
                <w:lang w:val="en-US" w:eastAsia="zh-CN"/>
              </w:rPr>
            </w:pPr>
            <w:r>
              <w:rPr>
                <w:rFonts w:hint="default"/>
                <w:color w:val="auto"/>
                <w:highlight w:val="none"/>
              </w:rPr>
              <w:t>本项目与厂区周边500m范围内关系图见</w:t>
            </w:r>
            <w:r>
              <w:rPr>
                <w:rFonts w:hint="eastAsia"/>
                <w:b/>
                <w:bCs/>
                <w:color w:val="auto"/>
                <w:highlight w:val="none"/>
                <w:lang w:val="en-US" w:eastAsia="zh-CN"/>
              </w:rPr>
              <w:t>附</w:t>
            </w:r>
            <w:r>
              <w:rPr>
                <w:rFonts w:hint="default"/>
                <w:b/>
                <w:bCs/>
                <w:color w:val="auto"/>
                <w:highlight w:val="none"/>
              </w:rPr>
              <w:t>图3-2</w:t>
            </w:r>
            <w:r>
              <w:rPr>
                <w:rFonts w:hint="default"/>
                <w:color w:val="auto"/>
                <w:highlight w:val="none"/>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FF0000"/>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67" w:hRule="atLeast"/>
          <w:jc w:val="center"/>
        </w:trPr>
        <w:tc>
          <w:tcPr>
            <w:tcW w:w="719" w:type="dxa"/>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污染物排放控制标准</w:t>
            </w:r>
          </w:p>
        </w:tc>
        <w:tc>
          <w:tcPr>
            <w:tcW w:w="8635" w:type="dxa"/>
            <w:tcBorders>
              <w:tl2br w:val="nil"/>
              <w:tr2bl w:val="nil"/>
            </w:tcBorders>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line="336" w:lineRule="auto"/>
              <w:ind w:left="0" w:leftChars="0" w:right="0" w:firstLine="0" w:firstLine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1.施工期</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36" w:lineRule="auto"/>
              <w:ind w:left="0" w:leftChars="0" w:right="0" w:firstLine="482" w:firstLineChars="20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⑴噪声</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leftChars="0" w:right="0" w:firstLine="480" w:firstLineChars="200"/>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lang w:eastAsia="zh-CN"/>
              </w:rPr>
              <w:t>施工期</w:t>
            </w:r>
            <w:r>
              <w:rPr>
                <w:rFonts w:hint="default" w:ascii="Times New Roman" w:hAnsi="Times New Roman" w:cs="Times New Roman"/>
                <w:b w:val="0"/>
                <w:bCs w:val="0"/>
                <w:color w:val="auto"/>
                <w:highlight w:val="none"/>
              </w:rPr>
              <w:t>噪声排放</w:t>
            </w:r>
            <w:r>
              <w:rPr>
                <w:rFonts w:hint="default" w:ascii="Times New Roman" w:hAnsi="Times New Roman" w:cs="Times New Roman"/>
                <w:color w:val="auto"/>
                <w:highlight w:val="none"/>
              </w:rPr>
              <w:t>执行《建筑施工噪声排放标准》（GB12523-20</w:t>
            </w:r>
            <w:r>
              <w:rPr>
                <w:rFonts w:hint="eastAsia" w:cs="Times New Roman"/>
                <w:color w:val="auto"/>
                <w:highlight w:val="none"/>
                <w:lang w:val="en-US" w:eastAsia="zh-CN"/>
              </w:rPr>
              <w:t>25</w:t>
            </w:r>
            <w:r>
              <w:rPr>
                <w:rFonts w:hint="default" w:ascii="Times New Roman" w:hAnsi="Times New Roman" w:cs="Times New Roman"/>
                <w:color w:val="auto"/>
                <w:highlight w:val="none"/>
              </w:rPr>
              <w:t>）</w:t>
            </w:r>
            <w:r>
              <w:rPr>
                <w:rFonts w:hint="eastAsia" w:cs="Times New Roman"/>
                <w:color w:val="auto"/>
                <w:highlight w:val="none"/>
                <w:lang w:eastAsia="zh-CN"/>
              </w:rPr>
              <w:t>）</w:t>
            </w:r>
            <w:r>
              <w:rPr>
                <w:rFonts w:hint="default" w:ascii="Times New Roman" w:hAnsi="Times New Roman" w:cs="Times New Roman"/>
                <w:color w:val="auto"/>
                <w:highlight w:val="none"/>
              </w:rPr>
              <w:t>排放限值。</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2"/>
                <w:sz w:val="24"/>
                <w:szCs w:val="22"/>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表3-</w:t>
            </w:r>
            <w:r>
              <w:rPr>
                <w:rFonts w:hint="eastAsia" w:eastAsia="宋体" w:cs="Times New Roman"/>
                <w:b w:val="0"/>
                <w:bCs w:val="0"/>
                <w:color w:val="auto"/>
                <w:kern w:val="2"/>
                <w:sz w:val="21"/>
                <w:szCs w:val="21"/>
                <w:highlight w:val="none"/>
                <w:lang w:val="en-US" w:eastAsia="zh-CN" w:bidi="ar"/>
              </w:rPr>
              <w:t>4</w:t>
            </w:r>
            <w:r>
              <w:rPr>
                <w:rFonts w:hint="default" w:ascii="Times New Roman" w:hAnsi="Times New Roman" w:eastAsia="宋体" w:cs="Times New Roman"/>
                <w:b/>
                <w:bCs/>
                <w:color w:val="auto"/>
                <w:kern w:val="2"/>
                <w:sz w:val="24"/>
                <w:szCs w:val="22"/>
                <w:highlight w:val="none"/>
                <w:lang w:val="en-US" w:eastAsia="zh-CN" w:bidi="ar"/>
              </w:rPr>
              <w:t xml:space="preserve">   《建筑施工噪声排放标准》</w:t>
            </w:r>
          </w:p>
          <w:tbl>
            <w:tblPr>
              <w:tblStyle w:val="37"/>
              <w:tblW w:w="83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11"/>
              <w:gridCol w:w="44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20"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昼间</w:t>
                  </w:r>
                </w:p>
              </w:tc>
              <w:tc>
                <w:tcPr>
                  <w:tcW w:w="4605"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20"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r>
                    <w:rPr>
                      <w:rFonts w:hint="default" w:ascii="Times New Roman" w:hAnsi="Times New Roman" w:cs="Times New Roman"/>
                      <w:bCs/>
                      <w:color w:val="auto"/>
                      <w:szCs w:val="21"/>
                      <w:highlight w:val="none"/>
                    </w:rPr>
                    <w:t>dB(A)</w:t>
                  </w:r>
                </w:p>
              </w:tc>
              <w:tc>
                <w:tcPr>
                  <w:tcW w:w="4605"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w:t>
                  </w:r>
                  <w:r>
                    <w:rPr>
                      <w:rFonts w:hint="default" w:ascii="Times New Roman" w:hAnsi="Times New Roman" w:cs="Times New Roman"/>
                      <w:bCs/>
                      <w:color w:val="auto"/>
                      <w:szCs w:val="21"/>
                      <w:highlight w:val="none"/>
                    </w:rPr>
                    <w:t>dB(A)</w:t>
                  </w:r>
                </w:p>
              </w:tc>
            </w:tr>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36" w:lineRule="auto"/>
              <w:ind w:left="0" w:leftChars="0" w:right="0" w:firstLine="482" w:firstLineChars="200"/>
              <w:textAlignment w:val="auto"/>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⑵废气</w:t>
            </w:r>
          </w:p>
          <w:p>
            <w:pPr>
              <w:keepNext w:val="0"/>
              <w:keepLines w:val="0"/>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eastAsia="仿宋_GB2312" w:cs="Times New Roman"/>
                <w:b w:val="0"/>
                <w:bCs w:val="0"/>
                <w:color w:val="auto"/>
                <w:kern w:val="16"/>
                <w:sz w:val="24"/>
                <w:szCs w:val="24"/>
                <w:highlight w:val="none"/>
                <w:lang w:val="en-US" w:eastAsia="zh-CN" w:bidi="ar-SA"/>
              </w:rPr>
            </w:pPr>
            <w:r>
              <w:rPr>
                <w:rFonts w:hint="default" w:ascii="Times New Roman" w:hAnsi="Times New Roman" w:eastAsia="仿宋_GB2312" w:cs="Times New Roman"/>
                <w:b w:val="0"/>
                <w:bCs w:val="0"/>
                <w:color w:val="auto"/>
                <w:kern w:val="16"/>
                <w:sz w:val="24"/>
                <w:szCs w:val="24"/>
                <w:highlight w:val="none"/>
                <w:lang w:val="en-US" w:eastAsia="zh-CN" w:bidi="ar-SA"/>
              </w:rPr>
              <w:t>本项目施工期扬尘排放执行《大气污染物综合排放标准》（GB16297-1996）表2中无组织排放监控浓度限值，具体见表3-</w:t>
            </w:r>
            <w:r>
              <w:rPr>
                <w:rFonts w:hint="eastAsia" w:eastAsia="仿宋_GB2312" w:cs="Times New Roman"/>
                <w:b w:val="0"/>
                <w:bCs w:val="0"/>
                <w:color w:val="auto"/>
                <w:kern w:val="16"/>
                <w:sz w:val="24"/>
                <w:szCs w:val="24"/>
                <w:highlight w:val="none"/>
                <w:lang w:val="en-US" w:eastAsia="zh-CN" w:bidi="ar-SA"/>
              </w:rPr>
              <w:t>5</w:t>
            </w:r>
            <w:r>
              <w:rPr>
                <w:rFonts w:hint="default" w:ascii="Times New Roman" w:hAnsi="Times New Roman" w:eastAsia="仿宋_GB2312" w:cs="Times New Roman"/>
                <w:b w:val="0"/>
                <w:bCs w:val="0"/>
                <w:color w:val="auto"/>
                <w:kern w:val="16"/>
                <w:sz w:val="24"/>
                <w:szCs w:val="24"/>
                <w:highlight w:val="none"/>
                <w:lang w:val="en-US" w:eastAsia="zh-CN" w:bidi="ar-SA"/>
              </w:rPr>
              <w:t>。</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4"/>
                <w:szCs w:val="22"/>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表3-</w:t>
            </w:r>
            <w:r>
              <w:rPr>
                <w:rFonts w:hint="eastAsia" w:cs="Times New Roman"/>
                <w:b w:val="0"/>
                <w:bCs w:val="0"/>
                <w:color w:val="auto"/>
                <w:kern w:val="2"/>
                <w:sz w:val="21"/>
                <w:szCs w:val="21"/>
                <w:highlight w:val="none"/>
                <w:lang w:val="en-US" w:eastAsia="zh-CN" w:bidi="ar"/>
              </w:rPr>
              <w:t>5</w:t>
            </w:r>
            <w:r>
              <w:rPr>
                <w:rFonts w:eastAsia="黑体"/>
                <w:bCs/>
                <w:color w:val="auto"/>
                <w:sz w:val="24"/>
                <w:szCs w:val="22"/>
              </w:rPr>
              <w:t xml:space="preserve">  </w:t>
            </w:r>
            <w:r>
              <w:rPr>
                <w:rFonts w:hint="eastAsia" w:eastAsia="黑体"/>
                <w:bCs/>
                <w:color w:val="auto"/>
                <w:sz w:val="24"/>
                <w:szCs w:val="22"/>
                <w:lang w:val="en-US" w:eastAsia="zh-CN"/>
              </w:rPr>
              <w:t xml:space="preserve"> </w:t>
            </w:r>
            <w:r>
              <w:rPr>
                <w:rFonts w:hint="default" w:ascii="Times New Roman" w:hAnsi="Times New Roman" w:eastAsia="宋体" w:cs="Times New Roman"/>
                <w:b/>
                <w:bCs/>
                <w:color w:val="auto"/>
                <w:kern w:val="2"/>
                <w:sz w:val="24"/>
                <w:szCs w:val="22"/>
                <w:highlight w:val="none"/>
                <w:lang w:val="en-US" w:eastAsia="zh-CN" w:bidi="ar"/>
              </w:rPr>
              <w:t>《大气污染物综合排放标准》（GB16297-1996）</w:t>
            </w:r>
          </w:p>
          <w:tbl>
            <w:tblPr>
              <w:tblStyle w:val="37"/>
              <w:tblW w:w="83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11"/>
              <w:gridCol w:w="44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20"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eastAsia" w:ascii="Times New Roman" w:hAnsi="Times New Roman" w:eastAsia="宋体" w:cs="Times New Roman"/>
                      <w:b/>
                      <w:color w:val="auto"/>
                      <w:szCs w:val="21"/>
                      <w:highlight w:val="none"/>
                      <w:lang w:eastAsia="zh-CN"/>
                    </w:rPr>
                  </w:pPr>
                  <w:r>
                    <w:rPr>
                      <w:rFonts w:hint="eastAsia" w:ascii="Times New Roman" w:hAnsi="Times New Roman" w:cs="Times New Roman"/>
                      <w:b/>
                      <w:color w:val="auto"/>
                      <w:szCs w:val="21"/>
                      <w:highlight w:val="none"/>
                      <w:lang w:val="en-US" w:eastAsia="zh-CN"/>
                    </w:rPr>
                    <w:t>污染物</w:t>
                  </w:r>
                </w:p>
              </w:tc>
              <w:tc>
                <w:tcPr>
                  <w:tcW w:w="4605"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b/>
                      <w:color w:val="auto"/>
                      <w:szCs w:val="21"/>
                      <w:highlight w:val="none"/>
                    </w:rPr>
                  </w:pPr>
                  <w:r>
                    <w:rPr>
                      <w:b/>
                      <w:bCs/>
                      <w:color w:val="auto"/>
                      <w:szCs w:val="22"/>
                    </w:rPr>
                    <w:t>无组织排放监控浓度限值（mg/m</w:t>
                  </w:r>
                  <w:r>
                    <w:rPr>
                      <w:b/>
                      <w:bCs/>
                      <w:color w:val="auto"/>
                      <w:szCs w:val="22"/>
                      <w:vertAlign w:val="superscript"/>
                    </w:rPr>
                    <w:t>3</w:t>
                  </w:r>
                  <w:r>
                    <w:rPr>
                      <w:b/>
                      <w:bCs/>
                      <w:color w:val="auto"/>
                      <w:szCs w:val="22"/>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20"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颗粒物</w:t>
                  </w:r>
                </w:p>
              </w:tc>
              <w:tc>
                <w:tcPr>
                  <w:tcW w:w="4605" w:type="dxa"/>
                  <w:noWrap w:val="0"/>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70" w:lineRule="exact"/>
                    <w:ind w:left="0" w:right="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1</w:t>
                  </w:r>
                </w:p>
              </w:tc>
            </w:tr>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36" w:lineRule="auto"/>
              <w:ind w:left="0" w:leftChars="0" w:right="0" w:firstLine="0" w:firstLineChars="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2.运营期</w:t>
            </w:r>
          </w:p>
          <w:p>
            <w:pPr>
              <w:pStyle w:val="64"/>
              <w:keepNext w:val="0"/>
              <w:keepLines w:val="0"/>
              <w:pageBreakBefore w:val="0"/>
              <w:widowControl w:val="0"/>
              <w:suppressLineNumbers w:val="0"/>
              <w:kinsoku/>
              <w:wordWrap/>
              <w:topLinePunct w:val="0"/>
              <w:bidi w:val="0"/>
              <w:adjustRightInd w:val="0"/>
              <w:snapToGrid w:val="0"/>
              <w:spacing w:before="0" w:beforeAutospacing="0" w:after="0" w:afterAutospacing="0" w:line="336" w:lineRule="auto"/>
              <w:ind w:left="0" w:leftChars="0" w:right="0"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⑴废气</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en-US" w:eastAsia="zh-CN"/>
              </w:rPr>
              <w:t>①</w:t>
            </w:r>
            <w:r>
              <w:rPr>
                <w:rFonts w:hint="default" w:eastAsia="仿宋_GB2312" w:cs="Times New Roman"/>
                <w:color w:val="auto"/>
                <w:kern w:val="16"/>
                <w:sz w:val="24"/>
                <w:szCs w:val="24"/>
                <w:highlight w:val="none"/>
                <w:lang w:val="en-US" w:eastAsia="zh-CN"/>
              </w:rPr>
              <w:t>本项目运营期</w:t>
            </w:r>
            <w:r>
              <w:rPr>
                <w:rFonts w:hint="eastAsia" w:eastAsia="仿宋_GB2312" w:cs="Times New Roman"/>
                <w:color w:val="auto"/>
                <w:kern w:val="16"/>
                <w:sz w:val="24"/>
                <w:szCs w:val="24"/>
                <w:highlight w:val="none"/>
                <w:lang w:val="en-US" w:eastAsia="zh-CN"/>
              </w:rPr>
              <w:t>再生混凝土制品生产线和水稳料生产线</w:t>
            </w:r>
            <w:r>
              <w:rPr>
                <w:rFonts w:hint="default" w:eastAsia="仿宋_GB2312" w:cs="Times New Roman"/>
                <w:color w:val="auto"/>
                <w:kern w:val="16"/>
                <w:sz w:val="24"/>
                <w:szCs w:val="24"/>
                <w:highlight w:val="none"/>
                <w:lang w:val="en-US" w:eastAsia="zh-CN"/>
              </w:rPr>
              <w:t>颗粒物</w:t>
            </w:r>
            <w:r>
              <w:rPr>
                <w:rFonts w:hint="eastAsia" w:eastAsia="仿宋_GB2312" w:cs="Times New Roman"/>
                <w:color w:val="auto"/>
                <w:kern w:val="16"/>
                <w:sz w:val="24"/>
                <w:szCs w:val="24"/>
                <w:highlight w:val="none"/>
                <w:lang w:val="en-US" w:eastAsia="zh-CN"/>
              </w:rPr>
              <w:t>排放</w:t>
            </w:r>
            <w:r>
              <w:rPr>
                <w:rFonts w:hint="default" w:eastAsia="仿宋_GB2312" w:cs="Times New Roman"/>
                <w:color w:val="auto"/>
                <w:kern w:val="16"/>
                <w:sz w:val="24"/>
                <w:szCs w:val="24"/>
                <w:highlight w:val="none"/>
                <w:lang w:val="en-US" w:eastAsia="zh-CN"/>
              </w:rPr>
              <w:t>执行宁夏回族自治区地方标准《水泥工业大气污染物排放标准》（DB 64/1995-2024）表1散装水泥中转及水泥制品生产过程排放限值要求和表2大气污染物无组织颗粒物排放限值要求</w:t>
            </w:r>
            <w:r>
              <w:rPr>
                <w:rFonts w:hint="default" w:ascii="Times New Roman" w:hAnsi="Times New Roman" w:eastAsia="仿宋_GB2312" w:cs="Times New Roman"/>
                <w:b w:val="0"/>
                <w:bCs w:val="0"/>
                <w:color w:val="auto"/>
                <w:kern w:val="16"/>
                <w:sz w:val="24"/>
                <w:szCs w:val="24"/>
                <w:highlight w:val="none"/>
                <w:lang w:val="en-US" w:eastAsia="zh-CN" w:bidi="ar-SA"/>
              </w:rPr>
              <w:t>，其标准值见表3-</w:t>
            </w:r>
            <w:r>
              <w:rPr>
                <w:rFonts w:hint="eastAsia" w:eastAsia="仿宋_GB2312" w:cs="Times New Roman"/>
                <w:b w:val="0"/>
                <w:bCs w:val="0"/>
                <w:color w:val="auto"/>
                <w:kern w:val="16"/>
                <w:sz w:val="24"/>
                <w:szCs w:val="24"/>
                <w:highlight w:val="none"/>
                <w:lang w:val="en-US" w:eastAsia="zh-CN" w:bidi="ar-SA"/>
              </w:rPr>
              <w:t>6</w:t>
            </w:r>
            <w:r>
              <w:rPr>
                <w:rFonts w:hint="default" w:ascii="Times New Roman" w:hAnsi="Times New Roman" w:eastAsia="仿宋_GB2312" w:cs="Times New Roman"/>
                <w:b w:val="0"/>
                <w:bCs w:val="0"/>
                <w:color w:val="auto"/>
                <w:kern w:val="16"/>
                <w:sz w:val="24"/>
                <w:szCs w:val="24"/>
                <w:highlight w:val="none"/>
                <w:lang w:val="en-US" w:eastAsia="zh-CN" w:bidi="ar-SA"/>
              </w:rPr>
              <w:t>。</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auto"/>
                <w:kern w:val="2"/>
                <w:sz w:val="21"/>
                <w:szCs w:val="21"/>
                <w:highlight w:val="none"/>
                <w:lang w:val="en-US" w:eastAsia="zh-CN" w:bidi="ar"/>
              </w:rPr>
              <w:t>表3-</w:t>
            </w:r>
            <w:r>
              <w:rPr>
                <w:rFonts w:hint="eastAsia" w:ascii="Times New Roman" w:hAnsi="Times New Roman" w:eastAsia="宋体" w:cs="Times New Roman"/>
                <w:b w:val="0"/>
                <w:bCs w:val="0"/>
                <w:color w:val="auto"/>
                <w:kern w:val="2"/>
                <w:sz w:val="21"/>
                <w:szCs w:val="21"/>
                <w:highlight w:val="none"/>
                <w:lang w:val="en-US" w:eastAsia="zh-CN" w:bidi="ar"/>
              </w:rPr>
              <w:t>6</w:t>
            </w:r>
            <w:r>
              <w:rPr>
                <w:rFonts w:eastAsia="黑体" w:cs="Times New Roman"/>
                <w:snapToGrid/>
                <w:sz w:val="24"/>
                <w:szCs w:val="24"/>
              </w:rPr>
              <w:t xml:space="preserve">  </w:t>
            </w:r>
            <w:r>
              <w:rPr>
                <w:rFonts w:hint="eastAsia" w:eastAsia="黑体" w:cs="Times New Roman"/>
                <w:snapToGrid/>
                <w:sz w:val="24"/>
                <w:szCs w:val="24"/>
                <w:lang w:val="en-US" w:eastAsia="zh-CN"/>
              </w:rPr>
              <w:t xml:space="preserve"> </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《水泥工业大气污染物排放标准》(DB 64/1995-2024)</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2503"/>
              <w:gridCol w:w="1933"/>
              <w:gridCol w:w="1529"/>
              <w:gridCol w:w="14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Merge w:val="restart"/>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污染物</w:t>
                  </w:r>
                </w:p>
              </w:tc>
              <w:tc>
                <w:tcPr>
                  <w:tcW w:w="1491" w:type="pct"/>
                  <w:vMerge w:val="restart"/>
                  <w:vAlign w:val="center"/>
                </w:tcPr>
                <w:p>
                  <w:pPr>
                    <w:keepNext w:val="0"/>
                    <w:keepLines w:val="0"/>
                    <w:suppressLineNumbers w:val="0"/>
                    <w:adjustRightInd w:val="0"/>
                    <w:snapToGrid w:val="0"/>
                    <w:spacing w:before="0" w:beforeAutospacing="0" w:after="0" w:afterAutospacing="0"/>
                    <w:ind w:left="0" w:right="0"/>
                    <w:jc w:val="center"/>
                    <w:rPr>
                      <w:rFonts w:cs="Times New Roman"/>
                      <w:b/>
                      <w:bCs/>
                      <w:snapToGrid/>
                      <w:szCs w:val="22"/>
                    </w:rPr>
                  </w:pPr>
                  <w:r>
                    <w:rPr>
                      <w:rFonts w:cs="Times New Roman"/>
                      <w:b/>
                      <w:bCs/>
                      <w:snapToGrid/>
                      <w:szCs w:val="22"/>
                    </w:rPr>
                    <w:t>生产过程</w:t>
                  </w:r>
                </w:p>
              </w:tc>
              <w:tc>
                <w:tcPr>
                  <w:tcW w:w="1152" w:type="pct"/>
                  <w:vMerge w:val="restar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生产设备</w:t>
                  </w:r>
                </w:p>
              </w:tc>
              <w:tc>
                <w:tcPr>
                  <w:tcW w:w="1748" w:type="pct"/>
                  <w:gridSpan w:val="2"/>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hint="eastAsia" w:cs="Times New Roman"/>
                      <w:b/>
                      <w:bCs/>
                      <w:snapToGrid/>
                      <w:szCs w:val="22"/>
                    </w:rPr>
                    <w:t>排放浓度限值（</w:t>
                  </w:r>
                  <w:r>
                    <w:rPr>
                      <w:rFonts w:cs="Times New Roman"/>
                      <w:b/>
                      <w:bCs/>
                      <w:snapToGrid/>
                      <w:szCs w:val="22"/>
                    </w:rPr>
                    <w:t>mg/m</w:t>
                  </w:r>
                  <w:r>
                    <w:rPr>
                      <w:rFonts w:cs="Times New Roman"/>
                      <w:b/>
                      <w:bCs/>
                      <w:snapToGrid/>
                      <w:szCs w:val="22"/>
                      <w:vertAlign w:val="superscript"/>
                    </w:rPr>
                    <w:t>3</w:t>
                  </w:r>
                  <w:r>
                    <w:rPr>
                      <w:rFonts w:hint="eastAsia" w:cs="Times New Roman"/>
                      <w:b/>
                      <w:bCs/>
                      <w:snapToGrid/>
                      <w:szCs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Merge w:val="continue"/>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p>
              </w:tc>
              <w:tc>
                <w:tcPr>
                  <w:tcW w:w="1491" w:type="pct"/>
                  <w:vMerge w:val="continue"/>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p>
              </w:tc>
              <w:tc>
                <w:tcPr>
                  <w:tcW w:w="1152" w:type="pct"/>
                  <w:vMerge w:val="continue"/>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p>
              </w:tc>
              <w:tc>
                <w:tcPr>
                  <w:tcW w:w="911" w:type="pc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hint="eastAsia" w:cs="Times New Roman"/>
                      <w:snapToGrid/>
                      <w:szCs w:val="22"/>
                    </w:rPr>
                    <w:t>有组织</w:t>
                  </w:r>
                </w:p>
              </w:tc>
              <w:tc>
                <w:tcPr>
                  <w:tcW w:w="837" w:type="pc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hint="eastAsia" w:cs="Times New Roman"/>
                      <w:snapToGrid/>
                      <w:szCs w:val="22"/>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b/>
                      <w:bCs/>
                      <w:snapToGrid/>
                      <w:szCs w:val="22"/>
                    </w:rPr>
                    <w:t>颗粒物</w:t>
                  </w:r>
                </w:p>
              </w:tc>
              <w:tc>
                <w:tcPr>
                  <w:tcW w:w="1491" w:type="pc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散装水泥中转站及水泥制品生产</w:t>
                  </w:r>
                </w:p>
              </w:tc>
              <w:tc>
                <w:tcPr>
                  <w:tcW w:w="1152" w:type="pc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水泥仓及其他通风设备</w:t>
                  </w:r>
                </w:p>
              </w:tc>
              <w:tc>
                <w:tcPr>
                  <w:tcW w:w="911" w:type="pc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hint="eastAsia" w:cs="Times New Roman"/>
                      <w:snapToGrid/>
                      <w:szCs w:val="22"/>
                    </w:rPr>
                    <w:t>10</w:t>
                  </w:r>
                </w:p>
              </w:tc>
              <w:tc>
                <w:tcPr>
                  <w:tcW w:w="837" w:type="pct"/>
                  <w:vAlign w:val="center"/>
                </w:tcPr>
                <w:p>
                  <w:pPr>
                    <w:keepNext w:val="0"/>
                    <w:keepLines w:val="0"/>
                    <w:suppressLineNumbers w:val="0"/>
                    <w:adjustRightInd w:val="0"/>
                    <w:snapToGrid w:val="0"/>
                    <w:spacing w:before="0" w:beforeAutospacing="0" w:after="0" w:afterAutospacing="0"/>
                    <w:ind w:left="0" w:right="0"/>
                    <w:jc w:val="center"/>
                    <w:rPr>
                      <w:rFonts w:cs="Times New Roman"/>
                      <w:snapToGrid/>
                      <w:szCs w:val="22"/>
                    </w:rPr>
                  </w:pPr>
                  <w:r>
                    <w:rPr>
                      <w:rFonts w:cs="Times New Roman"/>
                      <w:snapToGrid/>
                      <w:szCs w:val="22"/>
                    </w:rPr>
                    <w:t>0.5</w:t>
                  </w:r>
                </w:p>
              </w:tc>
            </w:tr>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36" w:lineRule="auto"/>
              <w:ind w:left="0" w:leftChars="0" w:right="0" w:firstLine="480" w:firstLineChars="200"/>
              <w:textAlignment w:val="auto"/>
              <w:rPr>
                <w:rFonts w:hint="default" w:cs="Times New Roman"/>
                <w:color w:val="auto"/>
                <w:highlight w:val="none"/>
              </w:rPr>
            </w:pPr>
            <w:r>
              <w:rPr>
                <w:rFonts w:hint="default" w:ascii="Times New Roman" w:hAnsi="Times New Roman" w:eastAsia="仿宋_GB2312" w:cs="Times New Roman"/>
                <w:b w:val="0"/>
                <w:bCs w:val="0"/>
                <w:color w:val="auto"/>
                <w:highlight w:val="none"/>
                <w:lang w:val="en-US" w:eastAsia="zh-CN"/>
              </w:rPr>
              <w:t>②</w:t>
            </w:r>
            <w:r>
              <w:rPr>
                <w:rFonts w:hint="default" w:eastAsia="仿宋_GB2312" w:cs="Times New Roman"/>
                <w:color w:val="auto"/>
                <w:kern w:val="16"/>
                <w:sz w:val="24"/>
                <w:szCs w:val="24"/>
                <w:highlight w:val="none"/>
                <w:lang w:val="en-US" w:eastAsia="zh-CN"/>
              </w:rPr>
              <w:t>本项目运营期</w:t>
            </w:r>
            <w:r>
              <w:rPr>
                <w:rFonts w:hint="default" w:cs="Times New Roman"/>
                <w:color w:val="auto"/>
                <w:highlight w:val="none"/>
              </w:rPr>
              <w:t>建筑垃圾再生线</w:t>
            </w:r>
            <w:r>
              <w:rPr>
                <w:rFonts w:hint="default" w:eastAsia="仿宋_GB2312" w:cs="Times New Roman"/>
                <w:color w:val="auto"/>
                <w:kern w:val="16"/>
                <w:sz w:val="24"/>
                <w:szCs w:val="24"/>
                <w:highlight w:val="none"/>
                <w:lang w:val="en-US" w:eastAsia="zh-CN"/>
              </w:rPr>
              <w:t>颗粒物</w:t>
            </w:r>
            <w:r>
              <w:rPr>
                <w:rFonts w:hint="eastAsia" w:eastAsia="仿宋_GB2312" w:cs="Times New Roman"/>
                <w:color w:val="auto"/>
                <w:kern w:val="16"/>
                <w:sz w:val="24"/>
                <w:szCs w:val="24"/>
                <w:highlight w:val="none"/>
                <w:lang w:val="en-US" w:eastAsia="zh-CN"/>
              </w:rPr>
              <w:t>排放</w:t>
            </w:r>
            <w:r>
              <w:rPr>
                <w:rFonts w:hint="default" w:eastAsia="仿宋_GB2312" w:cs="Times New Roman"/>
                <w:color w:val="auto"/>
                <w:kern w:val="16"/>
                <w:sz w:val="24"/>
                <w:szCs w:val="24"/>
                <w:highlight w:val="none"/>
                <w:lang w:val="en-US" w:eastAsia="zh-CN"/>
              </w:rPr>
              <w:t>执行</w:t>
            </w:r>
            <w:r>
              <w:rPr>
                <w:rFonts w:hint="default" w:cs="Times New Roman"/>
                <w:color w:val="auto"/>
                <w:highlight w:val="none"/>
              </w:rPr>
              <w:t>《大气污染物综合排放标准》（GB16297-1996）表2新污染源大气污染物排放限值，其标准值见表3-7。</w:t>
            </w:r>
          </w:p>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auto"/>
                <w:kern w:val="2"/>
                <w:sz w:val="21"/>
                <w:szCs w:val="21"/>
                <w:highlight w:val="none"/>
                <w:lang w:val="en-US" w:eastAsia="zh-CN" w:bidi="ar"/>
              </w:rPr>
              <w:t>表3-7</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《大气污染物综合排放标准》（GB16297-1996）</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351"/>
              <w:gridCol w:w="1641"/>
              <w:gridCol w:w="1337"/>
              <w:gridCol w:w="21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污染物</w:t>
                  </w:r>
                </w:p>
              </w:tc>
              <w:tc>
                <w:tcPr>
                  <w:tcW w:w="2338"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最高允许排放浓度（mg/m</w:t>
                  </w:r>
                  <w:r>
                    <w:rPr>
                      <w:rFonts w:hint="default"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p>
              </w:tc>
              <w:tc>
                <w:tcPr>
                  <w:tcW w:w="2962"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最高允许排放速率（kg/h）</w:t>
                  </w:r>
                </w:p>
              </w:tc>
              <w:tc>
                <w:tcPr>
                  <w:tcW w:w="2187"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无组织排放监控浓度限值μg/m</w:t>
                  </w:r>
                  <w:r>
                    <w:rPr>
                      <w:rFonts w:hint="default" w:ascii="Times New Roman" w:hAnsi="Times New Roman" w:eastAsia="宋体" w:cs="Times New Roman"/>
                      <w:b/>
                      <w:color w:val="000000" w:themeColor="text1"/>
                      <w:sz w:val="21"/>
                      <w:szCs w:val="21"/>
                      <w:highlight w:val="none"/>
                      <w:vertAlign w:val="superscript"/>
                      <w:lang w:val="en-US" w:eastAsia="zh-CN"/>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85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38"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5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排气筒高度m</w:t>
                  </w:r>
                </w:p>
              </w:tc>
              <w:tc>
                <w:tcPr>
                  <w:tcW w:w="13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二级</w:t>
                  </w:r>
                </w:p>
              </w:tc>
              <w:tc>
                <w:tcPr>
                  <w:tcW w:w="218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颗粒物</w:t>
                  </w:r>
                </w:p>
              </w:tc>
              <w:tc>
                <w:tcPr>
                  <w:tcW w:w="233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eastAsia="宋体" w:cs="Times New Roman"/>
                      <w:bCs/>
                      <w:color w:val="000000" w:themeColor="text1"/>
                      <w:sz w:val="21"/>
                      <w:szCs w:val="21"/>
                      <w:highlight w:val="none"/>
                      <w:lang w:val="en-US" w:eastAsia="zh-CN"/>
                      <w14:textFill>
                        <w14:solidFill>
                          <w14:schemeClr w14:val="tx1"/>
                        </w14:solidFill>
                      </w14:textFill>
                    </w:rPr>
                    <w:t>120</w:t>
                  </w:r>
                </w:p>
              </w:tc>
              <w:tc>
                <w:tcPr>
                  <w:tcW w:w="165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eastAsia="宋体" w:cs="Times New Roman"/>
                      <w:bCs/>
                      <w:color w:val="000000" w:themeColor="text1"/>
                      <w:sz w:val="21"/>
                      <w:szCs w:val="21"/>
                      <w:highlight w:val="none"/>
                      <w:lang w:val="en-US" w:eastAsia="zh-CN"/>
                      <w14:textFill>
                        <w14:solidFill>
                          <w14:schemeClr w14:val="tx1"/>
                        </w14:solidFill>
                      </w14:textFill>
                    </w:rPr>
                    <w:t>15</w:t>
                  </w:r>
                </w:p>
              </w:tc>
              <w:tc>
                <w:tcPr>
                  <w:tcW w:w="130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eastAsia="宋体" w:cs="Times New Roman"/>
                      <w:bCs/>
                      <w:color w:val="000000" w:themeColor="text1"/>
                      <w:sz w:val="21"/>
                      <w:szCs w:val="21"/>
                      <w:highlight w:val="none"/>
                      <w:lang w:val="en-US" w:eastAsia="zh-CN"/>
                      <w14:textFill>
                        <w14:solidFill>
                          <w14:schemeClr w14:val="tx1"/>
                        </w14:solidFill>
                      </w14:textFill>
                    </w:rPr>
                    <w:t>3.5</w:t>
                  </w:r>
                </w:p>
              </w:tc>
              <w:tc>
                <w:tcPr>
                  <w:tcW w:w="21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1.0</w:t>
                  </w:r>
                </w:p>
              </w:tc>
            </w:tr>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line="336" w:lineRule="auto"/>
              <w:ind w:left="0" w:leftChars="0" w:right="0" w:firstLine="482" w:firstLineChars="20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⑵废水</w:t>
            </w:r>
          </w:p>
          <w:p>
            <w:pPr>
              <w:pStyle w:val="64"/>
              <w:keepNext w:val="0"/>
              <w:keepLines w:val="0"/>
              <w:suppressLineNumbers w:val="0"/>
              <w:spacing w:before="0" w:beforeLines="-2147483648" w:beforeAutospacing="0" w:after="0" w:afterLines="-2147483648" w:afterAutospacing="0" w:line="336" w:lineRule="auto"/>
              <w:ind w:left="0" w:right="0" w:firstLine="480" w:firstLineChars="200"/>
              <w:jc w:val="left"/>
              <w:rPr>
                <w:rFonts w:hint="default" w:ascii="Times New Roman" w:hAnsi="Times New Roman" w:eastAsia="宋体" w:cs="Times New Roman"/>
                <w:color w:val="auto"/>
                <w:kern w:val="2"/>
                <w:sz w:val="21"/>
                <w:szCs w:val="21"/>
                <w:highlight w:val="none"/>
                <w:lang w:bidi="ar"/>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lang w:val="en-US" w:eastAsia="zh-CN"/>
              </w:rPr>
              <w:t>生活污水经有化粪池处理后由专业人员定期清理外运</w:t>
            </w:r>
            <w:r>
              <w:rPr>
                <w:rFonts w:hint="eastAsia" w:ascii="Times New Roman" w:hAnsi="Times New Roman" w:cs="Times New Roman"/>
                <w:color w:val="auto"/>
                <w:highlight w:val="none"/>
                <w:lang w:val="en-US" w:eastAsia="zh-CN"/>
              </w:rPr>
              <w:t>至彭阳县第二污水处理厂</w:t>
            </w:r>
            <w:r>
              <w:rPr>
                <w:rFonts w:hint="eastAsia" w:cs="Times New Roman"/>
                <w:snapToGrid w:val="0"/>
                <w:color w:val="auto"/>
                <w:kern w:val="2"/>
                <w:sz w:val="21"/>
                <w:szCs w:val="20"/>
                <w:highlight w:val="none"/>
                <w:lang w:val="en-US" w:eastAsia="zh-CN" w:bidi="ar"/>
              </w:rPr>
              <w:t>。</w:t>
            </w:r>
            <w:r>
              <w:rPr>
                <w:rFonts w:hint="default" w:ascii="Times New Roman" w:hAnsi="Times New Roman" w:cs="Times New Roman"/>
                <w:color w:val="auto"/>
                <w:highlight w:val="none"/>
                <w:lang w:val="en-US" w:eastAsia="zh-CN"/>
              </w:rPr>
              <w:t>需满足该污水处理厂接管标准，</w:t>
            </w:r>
            <w:r>
              <w:rPr>
                <w:rFonts w:hint="default" w:ascii="Times New Roman" w:hAnsi="Times New Roman" w:cs="Times New Roman"/>
                <w:color w:val="auto"/>
                <w:highlight w:val="none"/>
              </w:rPr>
              <w:t>接管标准</w:t>
            </w:r>
            <w:r>
              <w:rPr>
                <w:rFonts w:hint="default" w:ascii="Times New Roman" w:hAnsi="Times New Roman" w:cs="Times New Roman"/>
                <w:color w:val="auto"/>
                <w:highlight w:val="none"/>
                <w:lang w:eastAsia="zh-CN"/>
              </w:rPr>
              <w:t>来源</w:t>
            </w:r>
            <w:r>
              <w:rPr>
                <w:rFonts w:hint="default" w:ascii="Times New Roman" w:hAnsi="Times New Roman" w:cs="Times New Roman"/>
                <w:color w:val="auto"/>
                <w:highlight w:val="none"/>
              </w:rPr>
              <w:t>为《污水综合排放标准》(GB8978-1996)中的三级标准</w:t>
            </w:r>
            <w:r>
              <w:rPr>
                <w:rFonts w:hint="default" w:ascii="Times New Roman" w:hAnsi="Times New Roman" w:cs="Times New Roman"/>
                <w:color w:val="auto"/>
                <w:highlight w:val="none"/>
                <w:lang w:val="en-US" w:eastAsia="zh-CN"/>
              </w:rPr>
              <w:t>。</w:t>
            </w:r>
          </w:p>
          <w:p>
            <w:pPr>
              <w:pStyle w:val="64"/>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cs="Times New Roman"/>
                <w:b/>
                <w:color w:val="auto"/>
                <w:kern w:val="2"/>
                <w:sz w:val="24"/>
                <w:szCs w:val="22"/>
                <w:highlight w:val="none"/>
                <w:lang w:bidi="ar"/>
              </w:rPr>
            </w:pPr>
            <w:r>
              <w:rPr>
                <w:rFonts w:hint="default" w:ascii="Times New Roman" w:hAnsi="Times New Roman" w:eastAsia="宋体" w:cs="Times New Roman"/>
                <w:color w:val="auto"/>
                <w:kern w:val="2"/>
                <w:sz w:val="21"/>
                <w:szCs w:val="21"/>
                <w:highlight w:val="none"/>
                <w:lang w:bidi="ar"/>
              </w:rPr>
              <w:t>表3-</w:t>
            </w:r>
            <w:r>
              <w:rPr>
                <w:rFonts w:hint="eastAsia" w:eastAsia="宋体" w:cs="Times New Roman"/>
                <w:color w:val="auto"/>
                <w:kern w:val="2"/>
                <w:sz w:val="21"/>
                <w:szCs w:val="21"/>
                <w:highlight w:val="none"/>
                <w:lang w:val="en-US" w:eastAsia="zh-CN" w:bidi="ar"/>
              </w:rPr>
              <w:t>8</w:t>
            </w:r>
            <w:r>
              <w:rPr>
                <w:rFonts w:hint="default" w:ascii="Times New Roman" w:hAnsi="Times New Roman" w:cs="Times New Roman"/>
                <w:b/>
                <w:color w:val="auto"/>
                <w:kern w:val="2"/>
                <w:sz w:val="24"/>
                <w:szCs w:val="22"/>
                <w:highlight w:val="none"/>
                <w:lang w:bidi="ar"/>
              </w:rPr>
              <w:t xml:space="preserve">   </w:t>
            </w:r>
            <w:r>
              <w:rPr>
                <w:rFonts w:hint="default" w:ascii="Times New Roman" w:hAnsi="Times New Roman" w:eastAsia="宋体" w:cs="Times New Roman"/>
                <w:b/>
                <w:bCs/>
                <w:color w:val="auto"/>
                <w:kern w:val="16"/>
                <w:sz w:val="24"/>
                <w:szCs w:val="24"/>
                <w:highlight w:val="none"/>
                <w:lang w:val="en-US" w:eastAsia="zh-CN" w:bidi="ar"/>
              </w:rPr>
              <w:t>彭阳县第二污水处理厂</w:t>
            </w:r>
            <w:r>
              <w:rPr>
                <w:rFonts w:hint="default" w:ascii="Times New Roman" w:hAnsi="Times New Roman" w:eastAsia="宋体" w:cs="Times New Roman"/>
                <w:b/>
                <w:bCs/>
                <w:color w:val="auto"/>
                <w:highlight w:val="none"/>
              </w:rPr>
              <w:t>接管标准</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950"/>
              <w:gridCol w:w="1710"/>
              <w:gridCol w:w="38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0" w:hRule="atLeast"/>
                <w:jc w:val="center"/>
              </w:trPr>
              <w:tc>
                <w:tcPr>
                  <w:tcW w:w="522" w:type="pct"/>
                  <w:tcBorders>
                    <w:top w:val="single" w:color="auto" w:sz="12" w:space="0"/>
                    <w:left w:val="single" w:color="auto" w:sz="12"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lang w:eastAsia="zh-CN"/>
                    </w:rPr>
                    <w:t>序号</w:t>
                  </w:r>
                </w:p>
              </w:tc>
              <w:tc>
                <w:tcPr>
                  <w:tcW w:w="1162" w:type="pct"/>
                  <w:tcBorders>
                    <w:top w:val="single" w:color="auto" w:sz="12"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lang w:eastAsia="zh-CN"/>
                    </w:rPr>
                    <w:t>控制项目名称</w:t>
                  </w:r>
                </w:p>
              </w:tc>
              <w:tc>
                <w:tcPr>
                  <w:tcW w:w="1019" w:type="pct"/>
                  <w:tcBorders>
                    <w:top w:val="single" w:color="auto" w:sz="12"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lang w:eastAsia="zh-CN"/>
                    </w:rPr>
                    <w:t>限值</w:t>
                  </w:r>
                  <w:r>
                    <w:rPr>
                      <w:rFonts w:hint="default" w:ascii="Times New Roman" w:hAnsi="Times New Roman" w:cs="Times New Roman"/>
                      <w:b/>
                      <w:bCs w:val="0"/>
                      <w:color w:val="auto"/>
                      <w:sz w:val="21"/>
                      <w:szCs w:val="21"/>
                      <w:highlight w:val="none"/>
                      <w:lang w:val="en-US" w:eastAsia="zh-CN"/>
                    </w:rPr>
                    <w:t>/mg/L</w:t>
                  </w:r>
                </w:p>
              </w:tc>
              <w:tc>
                <w:tcPr>
                  <w:tcW w:w="2296" w:type="pct"/>
                  <w:tcBorders>
                    <w:top w:val="single" w:color="auto" w:sz="12" w:space="0"/>
                    <w:left w:val="single" w:color="auto" w:sz="4" w:space="0"/>
                    <w:bottom w:val="single" w:color="auto" w:sz="4" w:space="0"/>
                    <w:right w:val="single" w:color="auto" w:sz="12"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color w:val="auto"/>
                      <w:kern w:val="0"/>
                      <w:sz w:val="21"/>
                      <w:szCs w:val="21"/>
                      <w:highlight w:val="none"/>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22" w:type="pct"/>
                  <w:tcBorders>
                    <w:top w:val="single" w:color="auto" w:sz="4" w:space="0"/>
                    <w:left w:val="single" w:color="auto" w:sz="12" w:space="0"/>
                    <w:bottom w:val="single" w:color="auto" w:sz="4" w:space="0"/>
                    <w:right w:val="single" w:color="auto" w:sz="4" w:space="0"/>
                  </w:tcBorders>
                  <w:shd w:val="clear" w:color="auto" w:fill="auto"/>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1</w:t>
                  </w:r>
                </w:p>
              </w:tc>
              <w:tc>
                <w:tcPr>
                  <w:tcW w:w="1162" w:type="pct"/>
                  <w:tcBorders>
                    <w:top w:val="single" w:color="auto" w:sz="4"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pH</w:t>
                  </w:r>
                </w:p>
              </w:tc>
              <w:tc>
                <w:tcPr>
                  <w:tcW w:w="1019" w:type="pct"/>
                  <w:tcBorders>
                    <w:top w:val="single" w:color="auto" w:sz="4"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6~9</w:t>
                  </w:r>
                </w:p>
              </w:tc>
              <w:tc>
                <w:tcPr>
                  <w:tcW w:w="2296" w:type="pct"/>
                  <w:vMerge w:val="restart"/>
                  <w:tcBorders>
                    <w:top w:val="single" w:color="auto" w:sz="4" w:space="0"/>
                    <w:left w:val="single" w:color="auto" w:sz="4" w:space="0"/>
                    <w:right w:val="single" w:color="auto" w:sz="12"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《污水综合排放标准》(GB8978-1996)中三级标准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0" w:hRule="atLeast"/>
                <w:jc w:val="center"/>
              </w:trPr>
              <w:tc>
                <w:tcPr>
                  <w:tcW w:w="522" w:type="pct"/>
                  <w:tcBorders>
                    <w:top w:val="single" w:color="auto" w:sz="4" w:space="0"/>
                    <w:left w:val="single" w:color="auto" w:sz="12" w:space="0"/>
                    <w:bottom w:val="single" w:color="auto" w:sz="4" w:space="0"/>
                    <w:right w:val="single" w:color="auto" w:sz="4" w:space="0"/>
                  </w:tcBorders>
                  <w:shd w:val="clear" w:color="auto" w:fill="auto"/>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2</w:t>
                  </w:r>
                </w:p>
              </w:tc>
              <w:tc>
                <w:tcPr>
                  <w:tcW w:w="1162" w:type="pct"/>
                  <w:tcBorders>
                    <w:top w:val="single" w:color="auto" w:sz="4"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COD</w:t>
                  </w:r>
                  <w:r>
                    <w:rPr>
                      <w:rFonts w:hint="default" w:ascii="Times New Roman" w:hAnsi="Times New Roman" w:cs="Times New Roman"/>
                      <w:color w:val="auto"/>
                      <w:sz w:val="21"/>
                      <w:szCs w:val="21"/>
                      <w:highlight w:val="none"/>
                      <w:vertAlign w:val="subscript"/>
                      <w:lang w:val="en-US" w:eastAsia="zh-CN"/>
                    </w:rPr>
                    <w:t>cr</w:t>
                  </w:r>
                </w:p>
              </w:tc>
              <w:tc>
                <w:tcPr>
                  <w:tcW w:w="1019" w:type="pct"/>
                  <w:tcBorders>
                    <w:top w:val="single" w:color="auto" w:sz="4"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500</w:t>
                  </w:r>
                </w:p>
              </w:tc>
              <w:tc>
                <w:tcPr>
                  <w:tcW w:w="2296" w:type="pct"/>
                  <w:vMerge w:val="continue"/>
                  <w:tcBorders>
                    <w:left w:val="single" w:color="auto" w:sz="4" w:space="0"/>
                    <w:right w:val="single" w:color="auto" w:sz="12"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0" w:hRule="atLeast"/>
                <w:jc w:val="center"/>
              </w:trPr>
              <w:tc>
                <w:tcPr>
                  <w:tcW w:w="522" w:type="pct"/>
                  <w:tcBorders>
                    <w:top w:val="single" w:color="auto" w:sz="4" w:space="0"/>
                    <w:left w:val="single" w:color="auto" w:sz="12" w:space="0"/>
                    <w:bottom w:val="single" w:color="auto" w:sz="4" w:space="0"/>
                    <w:right w:val="single" w:color="auto" w:sz="4" w:space="0"/>
                  </w:tcBorders>
                  <w:shd w:val="clear" w:color="auto" w:fill="auto"/>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3</w:t>
                  </w:r>
                </w:p>
              </w:tc>
              <w:tc>
                <w:tcPr>
                  <w:tcW w:w="1162" w:type="pct"/>
                  <w:tcBorders>
                    <w:top w:val="single" w:color="auto" w:sz="4"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BOD</w:t>
                  </w:r>
                  <w:r>
                    <w:rPr>
                      <w:rFonts w:hint="default" w:ascii="Times New Roman" w:hAnsi="Times New Roman" w:cs="Times New Roman"/>
                      <w:color w:val="auto"/>
                      <w:sz w:val="21"/>
                      <w:szCs w:val="21"/>
                      <w:highlight w:val="none"/>
                      <w:vertAlign w:val="subscript"/>
                      <w:lang w:val="en-US" w:eastAsia="zh-CN"/>
                    </w:rPr>
                    <w:t>5</w:t>
                  </w:r>
                </w:p>
              </w:tc>
              <w:tc>
                <w:tcPr>
                  <w:tcW w:w="1019" w:type="pct"/>
                  <w:tcBorders>
                    <w:top w:val="single" w:color="auto" w:sz="4" w:space="0"/>
                    <w:left w:val="single" w:color="auto" w:sz="4" w:space="0"/>
                    <w:bottom w:val="single" w:color="auto" w:sz="4"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300</w:t>
                  </w:r>
                </w:p>
              </w:tc>
              <w:tc>
                <w:tcPr>
                  <w:tcW w:w="2296" w:type="pct"/>
                  <w:vMerge w:val="continue"/>
                  <w:tcBorders>
                    <w:left w:val="single" w:color="auto" w:sz="4" w:space="0"/>
                    <w:right w:val="single" w:color="auto" w:sz="12" w:space="0"/>
                    <w:tl2br w:val="nil"/>
                    <w:tr2bl w:val="nil"/>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0" w:hRule="atLeast"/>
                <w:jc w:val="center"/>
              </w:trPr>
              <w:tc>
                <w:tcPr>
                  <w:tcW w:w="522" w:type="pct"/>
                  <w:tcBorders>
                    <w:top w:val="single" w:color="auto" w:sz="4" w:space="0"/>
                    <w:left w:val="single" w:color="auto" w:sz="12" w:space="0"/>
                    <w:bottom w:val="single" w:color="auto" w:sz="12" w:space="0"/>
                    <w:right w:val="single" w:color="auto" w:sz="4" w:space="0"/>
                  </w:tcBorders>
                  <w:shd w:val="clear" w:color="auto" w:fill="auto"/>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4</w:t>
                  </w:r>
                </w:p>
              </w:tc>
              <w:tc>
                <w:tcPr>
                  <w:tcW w:w="1162" w:type="pct"/>
                  <w:tcBorders>
                    <w:top w:val="single" w:color="auto" w:sz="4" w:space="0"/>
                    <w:left w:val="single" w:color="auto" w:sz="4" w:space="0"/>
                    <w:bottom w:val="single" w:color="auto" w:sz="12"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SS</w:t>
                  </w:r>
                </w:p>
              </w:tc>
              <w:tc>
                <w:tcPr>
                  <w:tcW w:w="1019" w:type="pct"/>
                  <w:tcBorders>
                    <w:top w:val="single" w:color="auto" w:sz="4" w:space="0"/>
                    <w:left w:val="single" w:color="auto" w:sz="4" w:space="0"/>
                    <w:bottom w:val="single" w:color="auto" w:sz="12" w:space="0"/>
                    <w:right w:val="single" w:color="auto" w:sz="4" w:space="0"/>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400</w:t>
                  </w:r>
                </w:p>
              </w:tc>
              <w:tc>
                <w:tcPr>
                  <w:tcW w:w="2296" w:type="pct"/>
                  <w:vMerge w:val="continue"/>
                  <w:tcBorders>
                    <w:left w:val="single" w:color="auto" w:sz="4" w:space="0"/>
                    <w:right w:val="single" w:color="auto" w:sz="12" w:space="0"/>
                    <w:tl2br w:val="nil"/>
                    <w:tr2bl w:val="nil"/>
                  </w:tcBorders>
                  <w:noWrap w:val="0"/>
                  <w:vAlign w:val="center"/>
                </w:tcPr>
                <w:p>
                  <w:pPr>
                    <w:pStyle w:val="120"/>
                    <w:keepNext w:val="0"/>
                    <w:keepLines w:val="0"/>
                    <w:suppressLineNumbers w:val="0"/>
                    <w:tabs>
                      <w:tab w:val="clear" w:pos="480"/>
                    </w:tabs>
                    <w:snapToGrid w:val="0"/>
                    <w:spacing w:before="0" w:beforeLines="0" w:beforeAutospacing="0" w:after="0" w:afterLines="0" w:afterAutospacing="0" w:line="240" w:lineRule="exact"/>
                    <w:ind w:left="0" w:right="0"/>
                    <w:rPr>
                      <w:rFonts w:hint="default" w:ascii="Times New Roman" w:hAnsi="Times New Roman" w:eastAsia="宋体" w:cs="Times New Roman"/>
                      <w:color w:val="auto"/>
                      <w:sz w:val="21"/>
                      <w:szCs w:val="21"/>
                      <w:highlight w:val="none"/>
                      <w:lang w:val="en-US" w:eastAsia="zh-CN"/>
                    </w:rPr>
                  </w:pPr>
                </w:p>
              </w:tc>
            </w:tr>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_GB2312" w:cs="Times New Roman"/>
                <w:b/>
                <w:bCs/>
                <w:color w:val="auto"/>
                <w:highlight w:val="none"/>
                <w:lang w:val="en-US" w:eastAsia="zh-CN"/>
              </w:rPr>
            </w:pPr>
            <w:r>
              <w:rPr>
                <w:rFonts w:hint="default" w:ascii="Times New Roman" w:hAnsi="Times New Roman" w:cs="Times New Roman"/>
                <w:b/>
                <w:bCs/>
                <w:color w:val="auto"/>
                <w:highlight w:val="none"/>
                <w:lang w:val="en-US" w:eastAsia="zh-CN"/>
              </w:rPr>
              <w:t>⑶</w:t>
            </w:r>
            <w:r>
              <w:rPr>
                <w:rFonts w:hint="default" w:ascii="Times New Roman" w:hAnsi="Times New Roman" w:cs="Times New Roman"/>
                <w:b/>
                <w:bCs/>
                <w:color w:val="auto"/>
                <w:highlight w:val="none"/>
              </w:rPr>
              <w:t>噪声</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运营期</w:t>
            </w:r>
            <w:r>
              <w:rPr>
                <w:rFonts w:hint="default" w:ascii="Times New Roman" w:hAnsi="Times New Roman" w:cs="Times New Roman"/>
                <w:color w:val="auto"/>
                <w:highlight w:val="none"/>
              </w:rPr>
              <w:t>噪声执行《工业企业厂界环境噪声排放标准》（GB12348-2008）中</w:t>
            </w:r>
            <w:r>
              <w:rPr>
                <w:rFonts w:hint="eastAsia" w:cs="Times New Roman"/>
                <w:color w:val="auto"/>
                <w:highlight w:val="none"/>
                <w:lang w:val="en-US" w:eastAsia="zh-CN"/>
              </w:rPr>
              <w:t>1</w:t>
            </w:r>
            <w:r>
              <w:rPr>
                <w:rFonts w:hint="default" w:ascii="Times New Roman" w:hAnsi="Times New Roman" w:cs="Times New Roman"/>
                <w:color w:val="auto"/>
                <w:highlight w:val="none"/>
              </w:rPr>
              <w:t>类标准。</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auto"/>
              <w:rPr>
                <w:rFonts w:hint="default" w:ascii="Times New Roman" w:hAnsi="Times New Roman" w:eastAsia="宋体" w:cs="Times New Roman"/>
                <w:b/>
                <w:bCs/>
                <w:color w:val="auto"/>
                <w:kern w:val="2"/>
                <w:sz w:val="24"/>
                <w:szCs w:val="22"/>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表</w:t>
            </w:r>
            <w:r>
              <w:rPr>
                <w:rFonts w:hint="default" w:ascii="Times New Roman" w:hAnsi="Times New Roman" w:cs="Times New Roman"/>
                <w:b w:val="0"/>
                <w:bCs w:val="0"/>
                <w:color w:val="auto"/>
                <w:kern w:val="2"/>
                <w:sz w:val="21"/>
                <w:szCs w:val="21"/>
                <w:highlight w:val="none"/>
                <w:lang w:val="en-US" w:eastAsia="zh-CN" w:bidi="ar"/>
              </w:rPr>
              <w:t>3-</w:t>
            </w:r>
            <w:r>
              <w:rPr>
                <w:rFonts w:hint="eastAsia" w:ascii="Times New Roman" w:hAnsi="Times New Roman" w:cs="Times New Roman"/>
                <w:b w:val="0"/>
                <w:bCs w:val="0"/>
                <w:color w:val="auto"/>
                <w:kern w:val="2"/>
                <w:sz w:val="21"/>
                <w:szCs w:val="21"/>
                <w:highlight w:val="none"/>
                <w:lang w:val="en-US" w:eastAsia="zh-CN" w:bidi="ar"/>
              </w:rPr>
              <w:t>9</w:t>
            </w:r>
            <w:r>
              <w:rPr>
                <w:rFonts w:hint="default" w:ascii="Times New Roman" w:hAnsi="Times New Roman" w:eastAsia="宋体" w:cs="Times New Roman"/>
                <w:b/>
                <w:bCs/>
                <w:color w:val="auto"/>
                <w:kern w:val="2"/>
                <w:sz w:val="24"/>
                <w:szCs w:val="22"/>
                <w:highlight w:val="none"/>
                <w:lang w:val="en-US" w:eastAsia="zh-CN" w:bidi="ar"/>
              </w:rPr>
              <w:t xml:space="preserve">   《工业企业厂界环境噪声排放标准》</w:t>
            </w:r>
          </w:p>
          <w:tbl>
            <w:tblPr>
              <w:tblStyle w:val="37"/>
              <w:tblW w:w="83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07"/>
              <w:gridCol w:w="2789"/>
              <w:gridCol w:w="31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3" w:hRule="atLeast"/>
                <w:jc w:val="center"/>
              </w:trPr>
              <w:tc>
                <w:tcPr>
                  <w:tcW w:w="1763" w:type="dxa"/>
                  <w:vMerge w:val="restart"/>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b/>
                      <w:bCs/>
                      <w:color w:val="auto"/>
                      <w:szCs w:val="22"/>
                      <w:highlight w:val="none"/>
                    </w:rPr>
                  </w:pPr>
                  <w:r>
                    <w:rPr>
                      <w:rFonts w:hint="default" w:ascii="Times New Roman" w:hAnsi="Times New Roman" w:cs="Times New Roman"/>
                      <w:b/>
                      <w:bCs/>
                      <w:color w:val="auto"/>
                      <w:szCs w:val="22"/>
                      <w:highlight w:val="none"/>
                    </w:rPr>
                    <w:t>类别</w:t>
                  </w:r>
                </w:p>
              </w:tc>
              <w:tc>
                <w:tcPr>
                  <w:tcW w:w="4382" w:type="dxa"/>
                  <w:gridSpan w:val="2"/>
                  <w:tcBorders>
                    <w:bottom w:val="single" w:color="auto" w:sz="4" w:space="0"/>
                  </w:tcBorders>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b/>
                      <w:bCs/>
                      <w:color w:val="auto"/>
                      <w:szCs w:val="22"/>
                      <w:highlight w:val="none"/>
                    </w:rPr>
                  </w:pPr>
                  <w:r>
                    <w:rPr>
                      <w:rFonts w:hint="default" w:ascii="Times New Roman" w:hAnsi="Times New Roman" w:cs="Times New Roman"/>
                      <w:b/>
                      <w:bCs w:val="0"/>
                      <w:color w:val="auto"/>
                      <w:szCs w:val="21"/>
                      <w:highlight w:val="none"/>
                    </w:rPr>
                    <w:t>标准值</w:t>
                  </w:r>
                  <w:r>
                    <w:rPr>
                      <w:rFonts w:hint="default" w:ascii="Times New Roman" w:hAnsi="Times New Roman" w:cs="Times New Roman"/>
                      <w:b/>
                      <w:bCs w:val="0"/>
                      <w:color w:val="auto"/>
                      <w:szCs w:val="21"/>
                      <w:highlight w:val="none"/>
                      <w:lang w:val="en-US" w:eastAsia="zh-CN"/>
                    </w:rPr>
                    <w:t>/</w:t>
                  </w:r>
                  <w:r>
                    <w:rPr>
                      <w:rFonts w:hint="default" w:ascii="Times New Roman" w:hAnsi="Times New Roman" w:cs="Times New Roman"/>
                      <w:b/>
                      <w:bCs w:val="0"/>
                      <w:color w:val="auto"/>
                      <w:szCs w:val="22"/>
                      <w:highlight w:val="none"/>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63" w:type="dxa"/>
                  <w:vMerge w:val="continue"/>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cs="Times New Roman"/>
                      <w:b/>
                      <w:bCs/>
                      <w:color w:val="auto"/>
                      <w:szCs w:val="22"/>
                      <w:highlight w:val="none"/>
                    </w:rPr>
                  </w:pPr>
                </w:p>
              </w:tc>
              <w:tc>
                <w:tcPr>
                  <w:tcW w:w="2043" w:type="dxa"/>
                  <w:tcBorders>
                    <w:top w:val="single" w:color="auto" w:sz="4" w:space="0"/>
                  </w:tcBorders>
                  <w:shd w:val="clear" w:color="auto" w:fill="auto"/>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leftChars="0" w:right="0" w:rightChars="0"/>
                    <w:jc w:val="center"/>
                    <w:rPr>
                      <w:rFonts w:hint="default" w:ascii="Times New Roman" w:hAnsi="Times New Roman" w:eastAsia="宋体" w:cs="Times New Roman"/>
                      <w:b/>
                      <w:bCs/>
                      <w:color w:val="auto"/>
                      <w:kern w:val="2"/>
                      <w:sz w:val="21"/>
                      <w:szCs w:val="22"/>
                      <w:highlight w:val="none"/>
                      <w:lang w:val="en-US" w:eastAsia="zh-CN" w:bidi="ar-SA"/>
                    </w:rPr>
                  </w:pPr>
                  <w:r>
                    <w:rPr>
                      <w:rFonts w:hint="default" w:ascii="Times New Roman" w:hAnsi="Times New Roman" w:cs="Times New Roman"/>
                      <w:b/>
                      <w:bCs/>
                      <w:color w:val="auto"/>
                      <w:szCs w:val="22"/>
                      <w:highlight w:val="none"/>
                    </w:rPr>
                    <w:t>昼间</w:t>
                  </w:r>
                </w:p>
              </w:tc>
              <w:tc>
                <w:tcPr>
                  <w:tcW w:w="2339" w:type="dxa"/>
                  <w:tcBorders>
                    <w:top w:val="single" w:color="auto" w:sz="4" w:space="0"/>
                  </w:tcBorders>
                  <w:shd w:val="clear" w:color="auto" w:fill="auto"/>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leftChars="0" w:right="0" w:rightChars="0"/>
                    <w:jc w:val="center"/>
                    <w:rPr>
                      <w:rFonts w:hint="default" w:ascii="Times New Roman" w:hAnsi="Times New Roman" w:eastAsia="宋体" w:cs="Times New Roman"/>
                      <w:b/>
                      <w:bCs/>
                      <w:color w:val="auto"/>
                      <w:kern w:val="2"/>
                      <w:sz w:val="21"/>
                      <w:szCs w:val="22"/>
                      <w:highlight w:val="none"/>
                      <w:lang w:val="en-US" w:eastAsia="zh-CN" w:bidi="ar-SA"/>
                    </w:rPr>
                  </w:pPr>
                  <w:r>
                    <w:rPr>
                      <w:rFonts w:hint="default" w:ascii="Times New Roman" w:hAnsi="Times New Roman" w:cs="Times New Roman"/>
                      <w:b/>
                      <w:bCs/>
                      <w:color w:val="auto"/>
                      <w:szCs w:val="22"/>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63" w:type="dxa"/>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eastAsia="宋体" w:cs="Times New Roman"/>
                      <w:b/>
                      <w:bCs/>
                      <w:color w:val="auto"/>
                      <w:szCs w:val="22"/>
                      <w:highlight w:val="none"/>
                      <w:lang w:eastAsia="zh-CN"/>
                    </w:rPr>
                  </w:pPr>
                  <w:r>
                    <w:rPr>
                      <w:rFonts w:hint="eastAsia" w:cs="Times New Roman"/>
                      <w:color w:val="auto"/>
                      <w:szCs w:val="22"/>
                      <w:highlight w:val="none"/>
                      <w:lang w:val="en-US" w:eastAsia="zh-CN"/>
                    </w:rPr>
                    <w:t>1</w:t>
                  </w:r>
                  <w:r>
                    <w:rPr>
                      <w:rFonts w:hint="default" w:ascii="Times New Roman" w:hAnsi="Times New Roman" w:cs="Times New Roman"/>
                      <w:color w:val="auto"/>
                      <w:szCs w:val="22"/>
                      <w:highlight w:val="none"/>
                      <w:lang w:val="en-US" w:eastAsia="zh-CN"/>
                    </w:rPr>
                    <w:t>类</w:t>
                  </w:r>
                </w:p>
              </w:tc>
              <w:tc>
                <w:tcPr>
                  <w:tcW w:w="2043" w:type="dxa"/>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55</w:t>
                  </w:r>
                </w:p>
              </w:tc>
              <w:tc>
                <w:tcPr>
                  <w:tcW w:w="2339" w:type="dxa"/>
                  <w:vAlign w:val="center"/>
                </w:tcPr>
                <w:p>
                  <w:pPr>
                    <w:keepNext w:val="0"/>
                    <w:keepLines w:val="0"/>
                    <w:pageBreakBefore w:val="0"/>
                    <w:suppressLineNumbers w:val="0"/>
                    <w:kinsoku/>
                    <w:wordWrap/>
                    <w:topLinePunct w:val="0"/>
                    <w:bidi w:val="0"/>
                    <w:adjustRightInd w:val="0"/>
                    <w:snapToGrid w:val="0"/>
                    <w:spacing w:before="0" w:beforeAutospacing="0" w:after="0" w:afterAutospacing="0" w:line="270" w:lineRule="exact"/>
                    <w:ind w:left="0" w:right="0"/>
                    <w:jc w:val="center"/>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4</w:t>
                  </w:r>
                  <w:r>
                    <w:rPr>
                      <w:rFonts w:hint="default" w:ascii="Times New Roman" w:hAnsi="Times New Roman" w:cs="Times New Roman"/>
                      <w:color w:val="auto"/>
                      <w:szCs w:val="22"/>
                      <w:highlight w:val="none"/>
                      <w:lang w:val="en-US" w:eastAsia="zh-CN"/>
                    </w:rPr>
                    <w:t>5</w:t>
                  </w:r>
                </w:p>
              </w:tc>
            </w:tr>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⑷固体废物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仿宋_GB2312" w:cs="Times New Roman"/>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en-US" w:eastAsia="zh-CN" w:bidi="ar-SA"/>
              </w:rPr>
              <w:t>危险废物贮存过程应满足《危险废物贮存污染控制标准》（GB 18597-2023）中规定；</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仿宋_GB2312" w:cs="Times New Roman"/>
                <w:color w:val="auto"/>
                <w:kern w:val="16"/>
                <w:sz w:val="24"/>
                <w:szCs w:val="24"/>
                <w:highlight w:val="none"/>
                <w:lang w:val="en-US" w:eastAsia="zh-CN" w:bidi="ar-SA"/>
              </w:rPr>
            </w:pPr>
            <w:r>
              <w:rPr>
                <w:rFonts w:hint="default" w:ascii="Times New Roman" w:hAnsi="Times New Roman" w:eastAsia="仿宋_GB2312" w:cs="Times New Roman"/>
                <w:color w:val="auto"/>
                <w:kern w:val="16"/>
                <w:sz w:val="24"/>
                <w:szCs w:val="24"/>
                <w:highlight w:val="none"/>
                <w:lang w:val="en-US" w:eastAsia="zh-CN" w:bidi="ar-SA"/>
              </w:rPr>
              <w:t>一般工业固体废物贮存过程应满足相应防渗漏、防雨淋、防扬尘等环境保护要求。</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eastAsia="仿宋_GB2312" w:cs="Times New Roman"/>
                <w:color w:val="FF0000"/>
                <w:kern w:val="16"/>
                <w:sz w:val="10"/>
                <w:szCs w:val="10"/>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72" w:hRule="atLeast"/>
          <w:jc w:val="center"/>
        </w:trPr>
        <w:tc>
          <w:tcPr>
            <w:tcW w:w="719" w:type="dxa"/>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总量控制指标</w:t>
            </w:r>
          </w:p>
        </w:tc>
        <w:tc>
          <w:tcPr>
            <w:tcW w:w="8635" w:type="dxa"/>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FF0000"/>
                <w:sz w:val="24"/>
                <w:highlight w:val="none"/>
                <w:lang w:val="en-US" w:eastAsia="zh-CN"/>
              </w:rPr>
            </w:pPr>
            <w:r>
              <w:rPr>
                <w:rFonts w:hint="default" w:ascii="Times New Roman" w:hAnsi="Times New Roman" w:cs="Times New Roman"/>
                <w:color w:val="auto"/>
                <w:highlight w:val="none"/>
              </w:rPr>
              <w:t>根据《宁夏回族自治区排污权有偿使用和交易管理暂行办法》第四条：排污权有偿使用和交易在自治区各市、县（区）和宁东能源化工基地同步开展，适用于自治区行政区域内按照排污许可规定实施重点管理、简化管理和登记管理的排污单位，以及按照区域环境管理要求实施主要污染物总量控制的排污单位。先行对氮氧化物（NOx）、二氧化硫（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）和化学需氧量（COD）、氨氮（NH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-N）四项指标开展交易，随后将挥发性有机物（VOCs），以及影响全区环境质量改善的其他特征污染物逐步纳入交易范围。本项目废气污染物不涉及NOx、VOCs排放，废气主要污染物为颗粒物，排放量为</w:t>
            </w:r>
            <w:r>
              <w:rPr>
                <w:rFonts w:hint="eastAsia" w:cs="Times New Roman"/>
                <w:color w:val="auto"/>
                <w:highlight w:val="none"/>
                <w:lang w:val="en-US" w:eastAsia="zh-CN"/>
              </w:rPr>
              <w:t>0.98</w:t>
            </w:r>
            <w:r>
              <w:rPr>
                <w:rFonts w:hint="default" w:ascii="Times New Roman" w:hAnsi="Times New Roman" w:cs="Times New Roman"/>
                <w:color w:val="auto"/>
                <w:highlight w:val="none"/>
              </w:rPr>
              <w:t>t/a，需要申请颗粒物总量指标</w:t>
            </w:r>
            <w:r>
              <w:rPr>
                <w:rFonts w:hint="eastAsia" w:cs="Times New Roman"/>
                <w:color w:val="auto"/>
                <w:highlight w:val="none"/>
                <w:lang w:val="en-US" w:eastAsia="zh-CN"/>
              </w:rPr>
              <w:t>0.98</w:t>
            </w:r>
            <w:r>
              <w:rPr>
                <w:rFonts w:hint="default" w:ascii="Times New Roman" w:hAnsi="Times New Roman" w:cs="Times New Roman"/>
                <w:color w:val="auto"/>
                <w:highlight w:val="none"/>
              </w:rPr>
              <w:t>t/a。</w:t>
            </w:r>
          </w:p>
        </w:tc>
      </w:tr>
    </w:tbl>
    <w:p>
      <w:pPr>
        <w:pageBreakBefore w:val="0"/>
        <w:kinsoku/>
        <w:wordWrap/>
        <w:topLinePunct w:val="0"/>
        <w:bidi w:val="0"/>
        <w:adjustRightInd w:val="0"/>
        <w:snapToGrid w:val="0"/>
        <w:jc w:val="left"/>
        <w:rPr>
          <w:rFonts w:hint="default" w:ascii="Times New Roman" w:hAnsi="Times New Roman" w:eastAsia="黑体" w:cs="Times New Roman"/>
          <w:b/>
          <w:bCs/>
          <w:color w:val="FF0000"/>
          <w:sz w:val="30"/>
          <w:szCs w:val="30"/>
          <w:highlight w:val="none"/>
        </w:rPr>
        <w:sectPr>
          <w:pgSz w:w="11905" w:h="16838"/>
          <w:pgMar w:top="1701" w:right="1417" w:bottom="1701" w:left="1417" w:header="1247" w:footer="1247" w:gutter="0"/>
          <w:pgBorders>
            <w:top w:val="none" w:sz="0" w:space="0"/>
            <w:left w:val="none" w:sz="0" w:space="0"/>
            <w:bottom w:val="none" w:sz="0" w:space="0"/>
            <w:right w:val="none" w:sz="0" w:space="0"/>
          </w:pgBorders>
          <w:pgNumType w:fmt="decimal"/>
          <w:cols w:space="0" w:num="1"/>
          <w:rtlGutter w:val="0"/>
          <w:docGrid w:linePitch="312" w:charSpace="0"/>
        </w:sectPr>
      </w:pPr>
    </w:p>
    <w:p>
      <w:pPr>
        <w:pStyle w:val="4"/>
        <w:pageBreakBefore w:val="0"/>
        <w:kinsoku/>
        <w:wordWrap/>
        <w:topLinePunct w:val="0"/>
        <w:bidi w:val="0"/>
        <w:adjustRightInd w:val="0"/>
        <w:snapToGrid w:val="0"/>
        <w:rPr>
          <w:rFonts w:hint="default" w:ascii="Times New Roman" w:hAnsi="Times New Roman" w:cs="Times New Roman"/>
          <w:color w:val="FF0000"/>
          <w:highlight w:val="none"/>
        </w:rPr>
      </w:pPr>
      <w:r>
        <w:rPr>
          <w:rFonts w:hint="default" w:ascii="Times New Roman" w:hAnsi="Times New Roman" w:cs="Times New Roman"/>
          <w:color w:val="auto"/>
          <w:highlight w:val="none"/>
          <w:lang w:eastAsia="zh-CN"/>
        </w:rPr>
        <w:t>四、主要环境影响和保护措施</w:t>
      </w:r>
    </w:p>
    <w:tbl>
      <w:tblPr>
        <w:tblStyle w:val="37"/>
        <w:tblW w:w="93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3"/>
        <w:gridCol w:w="86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78" w:hRule="atLeast"/>
          <w:jc w:val="center"/>
        </w:trPr>
        <w:tc>
          <w:tcPr>
            <w:tcW w:w="703" w:type="dxa"/>
            <w:vAlign w:val="center"/>
          </w:tcPr>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施工期环境保护措施</w:t>
            </w:r>
          </w:p>
        </w:tc>
        <w:tc>
          <w:tcPr>
            <w:tcW w:w="8651" w:type="dxa"/>
            <w:vAlign w:val="top"/>
          </w:tcPr>
          <w:p>
            <w:pPr>
              <w:pStyle w:val="103"/>
              <w:keepNext/>
              <w:keepLines w:val="0"/>
              <w:pageBreakBefore w:val="0"/>
              <w:widowControl/>
              <w:suppressLineNumbers w:val="0"/>
              <w:kinsoku/>
              <w:wordWrap/>
              <w:topLinePunct w:val="0"/>
              <w:autoSpaceDE/>
              <w:autoSpaceDN/>
              <w:bidi w:val="0"/>
              <w:adjustRightInd w:val="0"/>
              <w:snapToGrid w:val="0"/>
              <w:spacing w:beforeAutospacing="0" w:afterAutospacing="0"/>
              <w:ind w:left="0" w:right="0"/>
              <w:jc w:val="both"/>
              <w:rPr>
                <w:rFonts w:hint="default" w:ascii="Times New Roman" w:hAnsi="Times New Roman" w:eastAsia="仿宋_GB2312" w:cs="Times New Roman"/>
                <w:b/>
                <w:bCs/>
                <w:color w:val="auto"/>
                <w:kern w:val="16"/>
                <w:sz w:val="24"/>
                <w:szCs w:val="24"/>
                <w:highlight w:val="none"/>
                <w:lang w:val="en-US" w:eastAsia="zh-CN" w:bidi="ar-SA"/>
              </w:rPr>
            </w:pPr>
            <w:r>
              <w:rPr>
                <w:rFonts w:hint="default" w:ascii="Times New Roman" w:hAnsi="Times New Roman" w:eastAsia="仿宋_GB2312" w:cs="Times New Roman"/>
                <w:b/>
                <w:bCs/>
                <w:color w:val="auto"/>
                <w:kern w:val="16"/>
                <w:sz w:val="24"/>
                <w:szCs w:val="24"/>
                <w:highlight w:val="none"/>
                <w:lang w:val="en-US" w:eastAsia="zh-CN" w:bidi="ar-SA"/>
              </w:rPr>
              <w:t>1.扬尘防治措施</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firstLine="480" w:firstLineChars="200"/>
              <w:jc w:val="both"/>
              <w:rPr>
                <w:rFonts w:hint="default" w:ascii="Times New Roman" w:hAnsi="Times New Roman" w:cs="Times New Roman"/>
                <w:b w:val="0"/>
                <w:color w:val="auto"/>
                <w:kern w:val="16"/>
                <w:sz w:val="24"/>
                <w:szCs w:val="24"/>
                <w:highlight w:val="none"/>
                <w:lang w:val="en-US" w:eastAsia="zh-CN" w:bidi="ar-SA"/>
              </w:rPr>
            </w:pPr>
            <w:r>
              <w:rPr>
                <w:rFonts w:hint="eastAsia" w:cs="Times New Roman"/>
                <w:b w:val="0"/>
                <w:color w:val="auto"/>
                <w:kern w:val="16"/>
                <w:sz w:val="24"/>
                <w:szCs w:val="24"/>
                <w:highlight w:val="none"/>
                <w:lang w:val="en-US" w:eastAsia="zh-CN" w:bidi="ar-SA"/>
              </w:rPr>
              <w:t>本</w:t>
            </w:r>
            <w:r>
              <w:rPr>
                <w:rFonts w:hint="default" w:ascii="Times New Roman" w:hAnsi="Times New Roman" w:cs="Times New Roman"/>
                <w:b w:val="0"/>
                <w:color w:val="auto"/>
                <w:kern w:val="16"/>
                <w:sz w:val="24"/>
                <w:szCs w:val="24"/>
                <w:highlight w:val="none"/>
                <w:lang w:val="en-US" w:eastAsia="zh-CN" w:bidi="ar-SA"/>
              </w:rPr>
              <w:t>项目施工期的大气环境问题主要为扬尘、施工机械及运输车辆尾气。扬尘主要产生于土石方开挖、粉状建筑材料运输、堆放等过程，具体包括了道路运输扬尘、堆场扬尘、施工场内施工扬尘。</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firstLine="480" w:firstLineChars="200"/>
              <w:jc w:val="both"/>
              <w:rPr>
                <w:rFonts w:hint="default" w:ascii="Times New Roman" w:hAnsi="Times New Roman" w:cs="Times New Roman"/>
                <w:b w:val="0"/>
                <w:color w:val="auto"/>
                <w:kern w:val="16"/>
                <w:sz w:val="24"/>
                <w:szCs w:val="24"/>
                <w:highlight w:val="none"/>
                <w:lang w:val="en-US" w:eastAsia="zh-CN" w:bidi="ar-SA"/>
              </w:rPr>
            </w:pPr>
            <w:r>
              <w:rPr>
                <w:rFonts w:hint="eastAsia" w:ascii="Times New Roman" w:hAnsi="Times New Roman" w:cs="Times New Roman"/>
                <w:color w:val="auto"/>
                <w:highlight w:val="none"/>
                <w:lang w:val="en-US" w:eastAsia="zh-CN"/>
              </w:rPr>
              <w:t>⑴</w:t>
            </w:r>
            <w:r>
              <w:rPr>
                <w:rFonts w:hint="default" w:ascii="Times New Roman" w:hAnsi="Times New Roman" w:cs="Times New Roman"/>
                <w:b w:val="0"/>
                <w:color w:val="auto"/>
                <w:kern w:val="16"/>
                <w:sz w:val="24"/>
                <w:szCs w:val="24"/>
                <w:highlight w:val="none"/>
                <w:lang w:val="en-US" w:eastAsia="zh-CN" w:bidi="ar-SA"/>
              </w:rPr>
              <w:t>道路运输扬尘</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firstLine="480" w:firstLineChars="200"/>
              <w:jc w:val="both"/>
              <w:rPr>
                <w:rFonts w:hint="default" w:ascii="Times New Roman" w:hAnsi="Times New Roman" w:cs="Times New Roman"/>
                <w:b w:val="0"/>
                <w:color w:val="auto"/>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项目道路运输扬尘主要为建筑材料及建筑垃圾运输时车辆在行驶过程中产生的扬尘</w:t>
            </w:r>
            <w:r>
              <w:rPr>
                <w:rFonts w:hint="eastAsia" w:cs="Times New Roman"/>
                <w:b w:val="0"/>
                <w:color w:val="auto"/>
                <w:kern w:val="16"/>
                <w:sz w:val="24"/>
                <w:szCs w:val="24"/>
                <w:highlight w:val="none"/>
                <w:lang w:val="en-US" w:eastAsia="zh-CN" w:bidi="ar-SA"/>
              </w:rPr>
              <w:t>。</w:t>
            </w:r>
            <w:r>
              <w:rPr>
                <w:rFonts w:hint="eastAsia"/>
                <w:color w:val="auto"/>
                <w:highlight w:val="none"/>
              </w:rPr>
              <w:t>施工现场须设置连续、密闭的硬质围挡，城市主要路段高度不低于2.5米，一般路段不低于1.8米，并配备防溢底座和喷淋设施。主要道路、材料加工区、办公生活区等区域须进行混凝土或钢板硬化处理，无法硬化的区域需铺装石子并保持湿润。</w:t>
            </w:r>
            <w:r>
              <w:rPr>
                <w:rFonts w:hint="default" w:ascii="Times New Roman" w:hAnsi="Times New Roman" w:cs="Times New Roman"/>
                <w:b w:val="0"/>
                <w:color w:val="auto"/>
                <w:kern w:val="16"/>
                <w:sz w:val="24"/>
                <w:szCs w:val="24"/>
                <w:highlight w:val="none"/>
                <w:lang w:val="en-US" w:eastAsia="zh-CN" w:bidi="ar-SA"/>
              </w:rPr>
              <w:t>为减少道路运输扬尘对周围环境的影响，通过采取对运输道路硬化、洒水抑尘、清扫运输马路等措施减少扬尘的产生量。</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firstLine="480" w:firstLineChars="200"/>
              <w:jc w:val="both"/>
              <w:rPr>
                <w:rFonts w:hint="default" w:ascii="Times New Roman" w:hAnsi="Times New Roman" w:cs="Times New Roman"/>
                <w:b w:val="0"/>
                <w:color w:val="auto"/>
                <w:kern w:val="16"/>
                <w:sz w:val="24"/>
                <w:szCs w:val="24"/>
                <w:highlight w:val="none"/>
                <w:lang w:val="en-US" w:eastAsia="zh-CN" w:bidi="ar-SA"/>
              </w:rPr>
            </w:pPr>
            <w:r>
              <w:rPr>
                <w:rFonts w:hint="eastAsia" w:ascii="Times New Roman" w:hAnsi="Times New Roman" w:cs="Times New Roman"/>
                <w:color w:val="auto"/>
                <w:highlight w:val="none"/>
                <w:lang w:val="en-US" w:eastAsia="zh-CN"/>
              </w:rPr>
              <w:t>⑵</w:t>
            </w:r>
            <w:r>
              <w:rPr>
                <w:rFonts w:hint="default" w:ascii="Times New Roman" w:hAnsi="Times New Roman" w:cs="Times New Roman"/>
                <w:b w:val="0"/>
                <w:color w:val="auto"/>
                <w:kern w:val="16"/>
                <w:sz w:val="24"/>
                <w:szCs w:val="24"/>
                <w:highlight w:val="none"/>
                <w:lang w:val="en-US" w:eastAsia="zh-CN" w:bidi="ar-SA"/>
              </w:rPr>
              <w:t>堆场扬尘</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firstLine="480" w:firstLineChars="200"/>
              <w:jc w:val="both"/>
              <w:rPr>
                <w:rFonts w:hint="default" w:ascii="Times New Roman" w:hAnsi="Times New Roman" w:cs="Times New Roman"/>
                <w:b w:val="0"/>
                <w:color w:val="auto"/>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扬尘的另一个主要来源是土地开挖、主体工程建设等操作过程产生的扬尘和露天堆场、裸露场地的风力扬尘</w:t>
            </w:r>
            <w:r>
              <w:rPr>
                <w:rFonts w:hint="eastAsia" w:cs="Times New Roman"/>
                <w:b w:val="0"/>
                <w:color w:val="auto"/>
                <w:kern w:val="16"/>
                <w:sz w:val="24"/>
                <w:szCs w:val="24"/>
                <w:highlight w:val="none"/>
                <w:lang w:val="en-US" w:eastAsia="zh-CN" w:bidi="ar-SA"/>
              </w:rPr>
              <w:t>。</w:t>
            </w:r>
            <w:r>
              <w:rPr>
                <w:rFonts w:hint="eastAsia"/>
                <w:color w:val="auto"/>
                <w:highlight w:val="none"/>
              </w:rPr>
              <w:t>易产生扬尘的物料须集中堆放，并用防尘网、土工布或专用仓库密闭覆盖，防止风蚀扬尘。</w:t>
            </w:r>
            <w:r>
              <w:rPr>
                <w:rFonts w:hint="default" w:ascii="Times New Roman" w:hAnsi="Times New Roman" w:cs="Times New Roman"/>
                <w:b w:val="0"/>
                <w:color w:val="auto"/>
                <w:kern w:val="16"/>
                <w:sz w:val="24"/>
                <w:szCs w:val="24"/>
                <w:highlight w:val="none"/>
                <w:lang w:val="en-US" w:eastAsia="zh-CN" w:bidi="ar-SA"/>
              </w:rPr>
              <w:t>为减少堆场扬尘对周围各敏感点的影响，应尽量减少回填土、粉状建筑材料露天堆放，必须露天堆放的易起尘的材料应加苫布覆盖。</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firstLine="480" w:firstLineChars="200"/>
              <w:jc w:val="both"/>
              <w:rPr>
                <w:rFonts w:hint="default" w:ascii="Times New Roman" w:hAnsi="Times New Roman" w:cs="Times New Roman"/>
                <w:b w:val="0"/>
                <w:color w:val="auto"/>
                <w:kern w:val="16"/>
                <w:sz w:val="24"/>
                <w:szCs w:val="24"/>
                <w:highlight w:val="none"/>
                <w:lang w:val="en-US" w:eastAsia="zh-CN" w:bidi="ar-SA"/>
              </w:rPr>
            </w:pPr>
            <w:r>
              <w:rPr>
                <w:rFonts w:hint="eastAsia" w:ascii="Times New Roman" w:hAnsi="Times New Roman" w:cs="Times New Roman"/>
                <w:color w:val="auto"/>
                <w:highlight w:val="none"/>
                <w:lang w:val="en-US" w:eastAsia="zh-CN"/>
              </w:rPr>
              <w:t>⑶</w:t>
            </w:r>
            <w:r>
              <w:rPr>
                <w:rFonts w:hint="default" w:ascii="Times New Roman" w:hAnsi="Times New Roman" w:cs="Times New Roman"/>
                <w:b w:val="0"/>
                <w:color w:val="auto"/>
                <w:kern w:val="16"/>
                <w:sz w:val="24"/>
                <w:szCs w:val="24"/>
                <w:highlight w:val="none"/>
                <w:lang w:val="en-US" w:eastAsia="zh-CN" w:bidi="ar-SA"/>
              </w:rPr>
              <w:t>机械及运输车辆尾气</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firstLine="480" w:firstLineChars="200"/>
              <w:jc w:val="both"/>
              <w:rPr>
                <w:rFonts w:hint="default" w:ascii="Times New Roman" w:hAnsi="Times New Roman" w:cs="Times New Roman"/>
                <w:b w:val="0"/>
                <w:color w:val="auto"/>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通过加强对施工机械的维护和保养，加强对施工机械、施工进程的管理，提高使用效率，使用清洁能源等措施，项目施工期施工机械（非道路移动机械）需要进行备案登记，不得使用未备案的施工机械，同时按照管理要求进行定期检测，使用检测达标的设备。</w:t>
            </w:r>
            <w:r>
              <w:rPr>
                <w:rFonts w:hint="default"/>
                <w:color w:val="auto"/>
                <w:highlight w:val="none"/>
              </w:rPr>
              <w:t>建筑垃圾、工程渣土运输须使用密闭式专用车辆，委托具备资质的运输单位，严禁撒漏、飘散。工地出入口须设置车辆自动冲洗平台或高压冲洗设施，确保所有出场车辆车身、车轮、底盘清洁，严禁带泥上路。</w:t>
            </w:r>
            <w:r>
              <w:rPr>
                <w:rFonts w:hint="default" w:ascii="Times New Roman" w:hAnsi="Times New Roman" w:cs="Times New Roman"/>
                <w:b w:val="0"/>
                <w:color w:val="auto"/>
                <w:kern w:val="16"/>
                <w:sz w:val="24"/>
                <w:szCs w:val="24"/>
                <w:highlight w:val="none"/>
                <w:lang w:val="en-US" w:eastAsia="zh-CN" w:bidi="ar-SA"/>
              </w:rPr>
              <w:t>运输车辆禁止超载，不得使用劣质燃料；对车辆的尾气排放加强监督管理，严格执行汽车排污监管办法相关规定，避免排放黑烟。</w:t>
            </w: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jc w:val="both"/>
              <w:rPr>
                <w:rFonts w:hint="default" w:ascii="Times New Roman" w:hAnsi="Times New Roman" w:cs="Times New Roman"/>
                <w:b/>
                <w:bCs/>
                <w:color w:val="auto"/>
                <w:kern w:val="16"/>
                <w:sz w:val="24"/>
                <w:szCs w:val="24"/>
                <w:highlight w:val="none"/>
                <w:lang w:val="en-US" w:eastAsia="zh-CN" w:bidi="ar-SA"/>
              </w:rPr>
            </w:pPr>
          </w:p>
          <w:p>
            <w:pPr>
              <w:pStyle w:val="64"/>
              <w:keepNext/>
              <w:keepLines w:val="0"/>
              <w:pageBreakBefore w:val="0"/>
              <w:widowControl/>
              <w:numPr>
                <w:ilvl w:val="0"/>
                <w:numId w:val="0"/>
              </w:numPr>
              <w:suppressLineNumbers w:val="0"/>
              <w:kinsoku/>
              <w:wordWrap/>
              <w:topLinePunct w:val="0"/>
              <w:autoSpaceDE/>
              <w:autoSpaceDN/>
              <w:bidi w:val="0"/>
              <w:adjustRightInd w:val="0"/>
              <w:snapToGrid w:val="0"/>
              <w:spacing w:before="0" w:beforeAutospacing="0" w:after="0" w:afterAutospacing="0"/>
              <w:ind w:left="0" w:right="0" w:rightChars="0"/>
              <w:jc w:val="both"/>
              <w:rPr>
                <w:rFonts w:hint="default" w:ascii="Times New Roman" w:hAnsi="Times New Roman" w:cs="Times New Roman"/>
                <w:b/>
                <w:bCs/>
                <w:color w:val="auto"/>
                <w:kern w:val="16"/>
                <w:sz w:val="24"/>
                <w:szCs w:val="24"/>
                <w:highlight w:val="none"/>
                <w:lang w:val="en-US" w:eastAsia="zh-CN" w:bidi="ar-SA"/>
              </w:rPr>
            </w:pPr>
            <w:r>
              <w:rPr>
                <w:rFonts w:hint="default" w:ascii="Times New Roman" w:hAnsi="Times New Roman" w:cs="Times New Roman"/>
                <w:b/>
                <w:bCs/>
                <w:color w:val="auto"/>
                <w:kern w:val="16"/>
                <w:sz w:val="24"/>
                <w:szCs w:val="24"/>
                <w:highlight w:val="none"/>
                <w:lang w:val="en-US" w:eastAsia="zh-CN" w:bidi="ar-SA"/>
              </w:rPr>
              <w:t>2.废水防治措施</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eastAsia" w:cs="Times New Roman"/>
                <w:b w:val="0"/>
                <w:color w:val="auto"/>
                <w:kern w:val="16"/>
                <w:sz w:val="24"/>
                <w:szCs w:val="24"/>
                <w:highlight w:val="none"/>
                <w:lang w:val="en-US" w:eastAsia="zh-CN" w:bidi="ar-SA"/>
              </w:rPr>
              <w:t>本项目</w:t>
            </w:r>
            <w:r>
              <w:rPr>
                <w:rFonts w:hint="default" w:ascii="Times New Roman" w:hAnsi="Times New Roman" w:cs="Times New Roman"/>
                <w:b w:val="0"/>
                <w:color w:val="auto"/>
                <w:kern w:val="16"/>
                <w:sz w:val="24"/>
                <w:szCs w:val="24"/>
                <w:highlight w:val="none"/>
                <w:lang w:val="en-US" w:eastAsia="zh-CN" w:bidi="ar-SA"/>
              </w:rPr>
              <w:t>施工期产生的废水主要为建筑施工废水和施工人员日常生活污水。</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eastAsia" w:ascii="Times New Roman" w:hAnsi="Times New Roman" w:cs="Times New Roman"/>
                <w:color w:val="auto"/>
                <w:highlight w:val="none"/>
                <w:lang w:val="en-US" w:eastAsia="zh-CN"/>
              </w:rPr>
              <w:t>⑴</w:t>
            </w:r>
            <w:r>
              <w:rPr>
                <w:rFonts w:hint="default" w:ascii="Times New Roman" w:hAnsi="Times New Roman" w:cs="Times New Roman"/>
                <w:b w:val="0"/>
                <w:color w:val="auto"/>
                <w:kern w:val="16"/>
                <w:sz w:val="24"/>
                <w:szCs w:val="24"/>
                <w:highlight w:val="none"/>
                <w:lang w:val="en-US" w:eastAsia="zh-CN" w:bidi="ar-SA"/>
              </w:rPr>
              <w:t>施工废水</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项目施工期间产生的施工废水主要为施工机械冲洗废水，产生量较少，通过自建临时沉淀池，处理后回用于施工场地及道路洒水抑尘，不向外环境排放。</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eastAsia" w:ascii="Times New Roman" w:hAnsi="Times New Roman" w:cs="Times New Roman"/>
                <w:color w:val="auto"/>
                <w:highlight w:val="none"/>
                <w:lang w:val="en-US" w:eastAsia="zh-CN"/>
              </w:rPr>
              <w:t>⑵</w:t>
            </w:r>
            <w:r>
              <w:rPr>
                <w:rFonts w:hint="default" w:ascii="Times New Roman" w:hAnsi="Times New Roman" w:cs="Times New Roman"/>
                <w:b w:val="0"/>
                <w:color w:val="auto"/>
                <w:kern w:val="16"/>
                <w:sz w:val="24"/>
                <w:szCs w:val="24"/>
                <w:highlight w:val="none"/>
                <w:lang w:val="en-US" w:eastAsia="zh-CN" w:bidi="ar-SA"/>
              </w:rPr>
              <w:t>生活污水</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本项目施工人员不在施工场地内食宿，施工期生活污水主要为施工人员洗手及施工场地冲厕废水，通过自建临时化粪池收集，定期用密封罐车</w:t>
            </w:r>
            <w:r>
              <w:rPr>
                <w:rFonts w:hint="eastAsia" w:cs="Times New Roman"/>
                <w:b w:val="0"/>
                <w:color w:val="auto"/>
                <w:kern w:val="16"/>
                <w:sz w:val="24"/>
                <w:szCs w:val="24"/>
                <w:highlight w:val="none"/>
                <w:lang w:val="en-US" w:eastAsia="zh-CN" w:bidi="ar-SA"/>
              </w:rPr>
              <w:t>拉运至彭阳县第二污水处理厂。</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jc w:val="both"/>
              <w:textAlignment w:val="auto"/>
              <w:rPr>
                <w:rFonts w:hint="default" w:ascii="Times New Roman" w:hAnsi="Times New Roman" w:cs="Times New Roman"/>
                <w:b/>
                <w:bCs/>
                <w:color w:val="auto"/>
                <w:kern w:val="16"/>
                <w:sz w:val="24"/>
                <w:szCs w:val="24"/>
                <w:highlight w:val="none"/>
                <w:lang w:val="en-US" w:eastAsia="zh-CN" w:bidi="ar-SA"/>
              </w:rPr>
            </w:pPr>
            <w:r>
              <w:rPr>
                <w:rFonts w:hint="default" w:ascii="Times New Roman" w:hAnsi="Times New Roman" w:cs="Times New Roman"/>
                <w:b/>
                <w:bCs/>
                <w:color w:val="auto"/>
                <w:kern w:val="16"/>
                <w:sz w:val="24"/>
                <w:szCs w:val="24"/>
                <w:highlight w:val="none"/>
                <w:lang w:val="en-US" w:eastAsia="zh-CN" w:bidi="ar-SA"/>
              </w:rPr>
              <w:t>3.噪声防治措施</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施工期的噪声主要为机械噪声、施工作业噪声和施工车辆噪声。机械噪声主要由施工机械所造成，如挖土机械、打桩机械、混凝土搅拌机、升降机等，多为点声源；施工作业噪声主要指一些零星的敲打声、装卸车辆的撞击声、吆喝声、拆装模板的撞击声等，多为瞬间噪声；施工车辆的噪声属于交通噪声。在这些施工噪声中对声环境影响最大的是机械噪声，具有噪声源相对稳定和施工作业时间不稳定、波动性大的特点。</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施工期间，建设单位应要求施工单位的主要机械设备为低噪声，在施工过程中施工单位应设专人对设备进行定期保养和维护，并负责对现场工作人员进行培训，严格按操作规范使用各类机械；运输车辆进入施工现场避免鸣笛，并要减速慢行，装卸材料应做到轻拿轻放，最大限度地减少噪声扰民；合理</w:t>
            </w:r>
            <w:r>
              <w:rPr>
                <w:rFonts w:hint="eastAsia" w:cs="Times New Roman"/>
                <w:color w:val="auto"/>
                <w:sz w:val="24"/>
                <w:szCs w:val="24"/>
                <w:highlight w:val="none"/>
                <w:lang w:val="en-US" w:eastAsia="zh-CN"/>
              </w:rPr>
              <w:t>制定</w:t>
            </w:r>
            <w:r>
              <w:rPr>
                <w:rFonts w:hint="default" w:ascii="Times New Roman" w:hAnsi="Times New Roman" w:cs="Times New Roman"/>
                <w:color w:val="auto"/>
                <w:sz w:val="24"/>
                <w:szCs w:val="24"/>
                <w:highlight w:val="none"/>
                <w:lang w:val="en-US" w:eastAsia="zh-CN"/>
              </w:rPr>
              <w:t>施工计划，采取先进的施工工艺，缩短施工作业时间，避免高噪声设备同时工作；在施工时间安排上要合理，避免在晚上22:00~6:00之间施工作业，因特殊需要必须连续作业的，建设单位在施工前做准备，征得环保部门同意批准后，张贴告示、</w:t>
            </w:r>
            <w:r>
              <w:rPr>
                <w:rFonts w:hint="eastAsia" w:cs="Times New Roman"/>
                <w:color w:val="auto"/>
                <w:sz w:val="24"/>
                <w:szCs w:val="24"/>
                <w:highlight w:val="none"/>
                <w:lang w:val="en-US" w:eastAsia="zh-CN"/>
              </w:rPr>
              <w:t>做好</w:t>
            </w:r>
            <w:r>
              <w:rPr>
                <w:rFonts w:hint="default" w:ascii="Times New Roman" w:hAnsi="Times New Roman" w:cs="Times New Roman"/>
                <w:color w:val="auto"/>
                <w:sz w:val="24"/>
                <w:szCs w:val="24"/>
                <w:highlight w:val="none"/>
                <w:lang w:val="en-US" w:eastAsia="zh-CN"/>
              </w:rPr>
              <w:t>宣传，并告知周围居民。</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0" w:firstLineChars="0"/>
              <w:jc w:val="both"/>
              <w:textAlignment w:val="auto"/>
              <w:rPr>
                <w:rFonts w:hint="default" w:ascii="Times New Roman" w:hAnsi="Times New Roman" w:cs="Times New Roman"/>
                <w:b/>
                <w:bCs/>
                <w:color w:val="auto"/>
                <w:kern w:val="16"/>
                <w:sz w:val="24"/>
                <w:szCs w:val="24"/>
                <w:highlight w:val="none"/>
                <w:lang w:val="en-US" w:eastAsia="zh-CN" w:bidi="ar-SA"/>
              </w:rPr>
            </w:pPr>
            <w:r>
              <w:rPr>
                <w:rFonts w:hint="default" w:ascii="Times New Roman" w:hAnsi="Times New Roman" w:cs="Times New Roman"/>
                <w:b/>
                <w:bCs/>
                <w:color w:val="auto"/>
                <w:kern w:val="16"/>
                <w:sz w:val="24"/>
                <w:szCs w:val="24"/>
                <w:highlight w:val="none"/>
                <w:lang w:val="en-US" w:eastAsia="zh-CN" w:bidi="ar-SA"/>
              </w:rPr>
              <w:t>4.固体废物治理措施</w:t>
            </w:r>
          </w:p>
          <w:p>
            <w:pPr>
              <w:pStyle w:val="64"/>
              <w:keepNext/>
              <w:keepLines w:val="0"/>
              <w:pageBreakBefore w:val="0"/>
              <w:widowControl/>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本项目施工期固体废物为建筑施工产生的建筑垃圾、施工人员产生的生活垃圾。</w:t>
            </w:r>
          </w:p>
          <w:p>
            <w:pPr>
              <w:pStyle w:val="64"/>
              <w:keepNext/>
              <w:keepLines w:val="0"/>
              <w:pageBreakBefore w:val="0"/>
              <w:widowControl/>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eastAsia" w:ascii="Times New Roman" w:hAnsi="Times New Roman" w:cs="Times New Roman"/>
                <w:color w:val="auto"/>
                <w:highlight w:val="none"/>
                <w:lang w:val="en-US" w:eastAsia="zh-CN"/>
              </w:rPr>
              <w:t>⑴</w:t>
            </w:r>
            <w:r>
              <w:rPr>
                <w:rFonts w:hint="default" w:ascii="Times New Roman" w:hAnsi="Times New Roman" w:cs="Times New Roman"/>
                <w:b w:val="0"/>
                <w:color w:val="auto"/>
                <w:kern w:val="16"/>
                <w:sz w:val="24"/>
                <w:szCs w:val="24"/>
                <w:highlight w:val="none"/>
                <w:lang w:val="en-US" w:eastAsia="zh-CN" w:bidi="ar-SA"/>
              </w:rPr>
              <w:t>建筑垃圾</w:t>
            </w:r>
          </w:p>
          <w:p>
            <w:pPr>
              <w:pStyle w:val="64"/>
              <w:keepNext/>
              <w:keepLines w:val="0"/>
              <w:pageBreakBefore w:val="0"/>
              <w:widowControl/>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建筑垃圾中可回收利用部分单独分类收集使用或销售到废品收购站处理，不能回收部分和废弃土石方可送至其它建筑场地用作建筑路基、回填土方，进行综合利用，剩余部分由转运至本项目建筑垃圾专用处置场，不得随意堆放、抛弃，避免对周围环境造成不利影响。</w:t>
            </w:r>
          </w:p>
          <w:p>
            <w:pPr>
              <w:pStyle w:val="64"/>
              <w:keepNext/>
              <w:keepLines w:val="0"/>
              <w:pageBreakBefore w:val="0"/>
              <w:widowControl/>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auto"/>
                <w:kern w:val="16"/>
                <w:sz w:val="24"/>
                <w:szCs w:val="24"/>
                <w:highlight w:val="none"/>
                <w:lang w:val="en-US" w:eastAsia="zh-CN" w:bidi="ar-SA"/>
              </w:rPr>
            </w:pPr>
            <w:r>
              <w:rPr>
                <w:rFonts w:hint="eastAsia" w:ascii="Times New Roman" w:hAnsi="Times New Roman" w:cs="Times New Roman"/>
                <w:color w:val="auto"/>
                <w:highlight w:val="none"/>
                <w:lang w:val="en-US" w:eastAsia="zh-CN"/>
              </w:rPr>
              <w:t>⑵</w:t>
            </w:r>
            <w:r>
              <w:rPr>
                <w:rFonts w:hint="default" w:ascii="Times New Roman" w:hAnsi="Times New Roman" w:cs="Times New Roman"/>
                <w:b w:val="0"/>
                <w:color w:val="auto"/>
                <w:kern w:val="16"/>
                <w:sz w:val="24"/>
                <w:szCs w:val="24"/>
                <w:highlight w:val="none"/>
                <w:lang w:val="en-US" w:eastAsia="zh-CN" w:bidi="ar-SA"/>
              </w:rPr>
              <w:t>生活垃圾</w:t>
            </w:r>
          </w:p>
          <w:p>
            <w:pPr>
              <w:pStyle w:val="64"/>
              <w:keepNext/>
              <w:keepLines w:val="0"/>
              <w:pageBreakBefore w:val="0"/>
              <w:widowControl/>
              <w:numPr>
                <w:ilvl w:val="0"/>
                <w:numId w:val="0"/>
              </w:numPr>
              <w:suppressLineNumbers w:val="0"/>
              <w:kinsoku/>
              <w:wordWrap/>
              <w:overflowPunct w:val="0"/>
              <w:topLinePunct w:val="0"/>
              <w:autoSpaceDE/>
              <w:autoSpaceDN/>
              <w:bidi w:val="0"/>
              <w:adjustRightInd w:val="0"/>
              <w:snapToGrid w:val="0"/>
              <w:spacing w:before="0" w:beforeAutospacing="0" w:after="0" w:afterAutospacing="0"/>
              <w:ind w:left="0" w:right="0" w:rightChars="0" w:firstLine="480" w:firstLineChars="200"/>
              <w:jc w:val="both"/>
              <w:textAlignment w:val="auto"/>
              <w:rPr>
                <w:rFonts w:hint="default" w:ascii="Times New Roman" w:hAnsi="Times New Roman" w:cs="Times New Roman"/>
                <w:b w:val="0"/>
                <w:color w:val="FF0000"/>
                <w:kern w:val="16"/>
                <w:sz w:val="24"/>
                <w:szCs w:val="24"/>
                <w:highlight w:val="none"/>
                <w:lang w:val="en-US" w:eastAsia="zh-CN" w:bidi="ar-SA"/>
              </w:rPr>
            </w:pPr>
            <w:r>
              <w:rPr>
                <w:rFonts w:hint="default" w:ascii="Times New Roman" w:hAnsi="Times New Roman" w:cs="Times New Roman"/>
                <w:b w:val="0"/>
                <w:color w:val="auto"/>
                <w:kern w:val="16"/>
                <w:sz w:val="24"/>
                <w:szCs w:val="24"/>
                <w:highlight w:val="none"/>
                <w:lang w:val="en-US" w:eastAsia="zh-CN" w:bidi="ar-SA"/>
              </w:rPr>
              <w:t>施工期生活垃圾经临时的生活垃圾收集系统收集后，</w:t>
            </w:r>
            <w:r>
              <w:rPr>
                <w:rFonts w:hint="eastAsia" w:cs="Times New Roman"/>
                <w:b w:val="0"/>
                <w:color w:val="auto"/>
                <w:kern w:val="16"/>
                <w:sz w:val="24"/>
                <w:szCs w:val="24"/>
                <w:highlight w:val="none"/>
                <w:lang w:val="en-US" w:eastAsia="zh-CN" w:bidi="ar-SA"/>
              </w:rPr>
              <w:t>交由环卫部门处理</w:t>
            </w:r>
            <w:r>
              <w:rPr>
                <w:rFonts w:hint="default" w:ascii="Times New Roman" w:hAnsi="Times New Roman" w:cs="Times New Roman"/>
                <w:b w:val="0"/>
                <w:color w:val="auto"/>
                <w:kern w:val="16"/>
                <w:sz w:val="24"/>
                <w:szCs w:val="24"/>
                <w:highlight w:val="none"/>
                <w:lang w:val="en-US" w:eastAsia="zh-CN" w:bidi="ar-SA"/>
              </w:rPr>
              <w:t>。</w:t>
            </w:r>
          </w:p>
        </w:tc>
      </w:tr>
    </w:tbl>
    <w:p>
      <w:pPr>
        <w:pageBreakBefore w:val="0"/>
        <w:kinsoku/>
        <w:wordWrap/>
        <w:topLinePunct w:val="0"/>
        <w:bidi w:val="0"/>
        <w:adjustRightInd w:val="0"/>
        <w:snapToGrid w:val="0"/>
        <w:rPr>
          <w:rFonts w:hint="default" w:ascii="Times New Roman" w:hAnsi="Times New Roman" w:cs="Times New Roman"/>
          <w:color w:val="FF0000"/>
          <w:highlight w:val="none"/>
        </w:rPr>
        <w:sectPr>
          <w:pgSz w:w="11905" w:h="16838"/>
          <w:pgMar w:top="1701" w:right="1417" w:bottom="1701" w:left="1417" w:header="1247" w:footer="124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7"/>
        <w:tblW w:w="1401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1"/>
        <w:gridCol w:w="132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79" w:hRule="atLeast"/>
          <w:jc w:val="center"/>
        </w:trPr>
        <w:tc>
          <w:tcPr>
            <w:tcW w:w="771" w:type="dxa"/>
            <w:vAlign w:val="center"/>
          </w:tcPr>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运营期环境影响和保护措施</w:t>
            </w: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运营期环境影响和保护措施</w:t>
            </w: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运营期环境影响和保护措施</w:t>
            </w:r>
          </w:p>
          <w:p>
            <w:pPr>
              <w:keepNext w:val="0"/>
              <w:keepLines w:val="0"/>
              <w:pageBreakBefore w:val="0"/>
              <w:suppressLineNumbers w:val="0"/>
              <w:kinsoku/>
              <w:wordWrap/>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4"/>
                <w:szCs w:val="24"/>
                <w:highlight w:val="none"/>
                <w:lang w:val="en-US" w:eastAsia="zh-CN" w:bidi="ar-SA"/>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运营期环境影响和保护措施</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FF0000"/>
                <w:kern w:val="2"/>
                <w:sz w:val="24"/>
                <w:szCs w:val="24"/>
                <w:highlight w:val="none"/>
                <w:lang w:val="en-US" w:eastAsia="zh-CN" w:bidi="ar-SA"/>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3"/>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14"/>
              <w:keepNext w:val="0"/>
              <w:keepLines w:val="0"/>
              <w:suppressLineNumbers w:val="0"/>
              <w:spacing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运营期环境影响和保护措施</w:t>
            </w: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jc w:val="center"/>
              <w:rPr>
                <w:rFonts w:hint="default" w:ascii="Times New Roman" w:hAnsi="Times New Roman" w:cs="Times New Roman"/>
                <w:color w:val="FF0000"/>
                <w:kern w:val="2"/>
                <w:szCs w:val="22"/>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运营期环境影响和保护措施</w:t>
            </w: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cs="Times New Roman"/>
                <w:color w:val="FF0000"/>
                <w:szCs w:val="22"/>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运营期环境影响和保护措施</w:t>
            </w: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szCs w:val="22"/>
                <w:highlight w:val="none"/>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color w:val="FF0000"/>
                <w:szCs w:val="22"/>
                <w:highlight w:val="none"/>
                <w:lang w:val="en-US" w:eastAsia="zh-CN"/>
              </w:rPr>
            </w:pPr>
          </w:p>
          <w:p>
            <w:pPr>
              <w:pStyle w:val="48"/>
              <w:keepNext w:val="0"/>
              <w:keepLines w:val="0"/>
              <w:suppressLineNumbers w:val="0"/>
              <w:spacing w:before="0" w:beforeAutospacing="0" w:after="0" w:afterAutospacing="0"/>
              <w:ind w:left="0" w:right="0"/>
              <w:rPr>
                <w:rFonts w:hint="default" w:ascii="Times New Roman" w:hAnsi="Times New Roman" w:cs="Times New Roman"/>
                <w:color w:val="FF0000"/>
                <w:kern w:val="2"/>
                <w:highlight w:val="none"/>
                <w:lang w:val="en-US" w:eastAsia="zh-CN"/>
              </w:rPr>
            </w:pPr>
          </w:p>
          <w:p>
            <w:pPr>
              <w:pStyle w:val="57"/>
              <w:keepNext w:val="0"/>
              <w:keepLines w:val="0"/>
              <w:suppressLineNumbers w:val="0"/>
              <w:spacing w:before="0" w:beforeAutospacing="0" w:after="0" w:afterAutospacing="0"/>
              <w:ind w:left="0" w:right="0"/>
              <w:rPr>
                <w:rFonts w:hint="default" w:ascii="Times New Roman" w:hAnsi="Times New Roman" w:cs="Times New Roman"/>
                <w:color w:val="FF0000"/>
                <w:highlight w:val="none"/>
                <w:lang w:val="en-US" w:eastAsia="zh-CN"/>
              </w:rPr>
            </w:pPr>
          </w:p>
          <w:p>
            <w:pPr>
              <w:keepNext w:val="0"/>
              <w:keepLines w:val="0"/>
              <w:suppressLineNumbers w:val="0"/>
              <w:spacing w:before="0" w:beforeAutospacing="0" w:after="0" w:afterAutospacing="0"/>
              <w:ind w:left="0" w:right="0"/>
              <w:jc w:val="both"/>
              <w:rPr>
                <w:rFonts w:hint="default" w:ascii="Times New Roman" w:hAnsi="Times New Roman" w:cs="Times New Roman"/>
                <w:color w:val="FF0000"/>
                <w:szCs w:val="22"/>
                <w:highlight w:val="none"/>
                <w:lang w:val="en-US" w:eastAsia="zh-CN"/>
              </w:rPr>
            </w:pPr>
          </w:p>
        </w:tc>
        <w:tc>
          <w:tcPr>
            <w:tcW w:w="13241" w:type="dxa"/>
            <w:vAlign w:val="center"/>
          </w:tcPr>
          <w:p>
            <w:pPr>
              <w:pStyle w:val="103"/>
              <w:keepNext w:val="0"/>
              <w:keepLines w:val="0"/>
              <w:pageBreakBefore w:val="0"/>
              <w:suppressLineNumbers w:val="0"/>
              <w:kinsoku/>
              <w:wordWrap/>
              <w:topLinePunct w:val="0"/>
              <w:bidi w:val="0"/>
              <w:adjustRightInd w:val="0"/>
              <w:snapToGrid w:val="0"/>
              <w:spacing w:beforeAutospacing="0" w:afterAutospacing="0" w:line="240" w:lineRule="auto"/>
              <w:ind w:left="0" w:right="0"/>
              <w:rPr>
                <w:rFonts w:hint="default" w:ascii="Times New Roman" w:hAnsi="Times New Roman" w:cs="Times New Roman"/>
                <w:color w:val="000000" w:themeColor="text1"/>
                <w:szCs w:val="22"/>
                <w:highlight w:val="none"/>
                <w:lang w:val="en-US" w:eastAsia="zh-CN"/>
                <w14:textFill>
                  <w14:solidFill>
                    <w14:schemeClr w14:val="tx1"/>
                  </w14:solidFill>
                </w14:textFill>
              </w:rPr>
            </w:pPr>
            <w:r>
              <w:rPr>
                <w:rFonts w:hint="default" w:ascii="Times New Roman" w:hAnsi="Times New Roman" w:cs="Times New Roman"/>
                <w:color w:val="000000" w:themeColor="text1"/>
                <w:szCs w:val="22"/>
                <w:highlight w:val="none"/>
                <w:lang w:val="en-US" w:eastAsia="zh-CN"/>
                <w14:textFill>
                  <w14:solidFill>
                    <w14:schemeClr w14:val="tx1"/>
                  </w14:solidFill>
                </w14:textFill>
              </w:rPr>
              <w:t>1.</w:t>
            </w:r>
            <w:r>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废气</w:t>
            </w:r>
          </w:p>
          <w:p>
            <w:pPr>
              <w:pStyle w:val="103"/>
              <w:keepNext w:val="0"/>
              <w:keepLines w:val="0"/>
              <w:pageBreakBefore w:val="0"/>
              <w:suppressLineNumbers w:val="0"/>
              <w:kinsoku/>
              <w:wordWrap/>
              <w:topLinePunct w:val="0"/>
              <w:bidi w:val="0"/>
              <w:adjustRightInd w:val="0"/>
              <w:snapToGrid w:val="0"/>
              <w:spacing w:beforeAutospacing="0" w:afterAutospacing="0" w:line="360" w:lineRule="auto"/>
              <w:ind w:left="0" w:right="0" w:firstLine="482" w:firstLineChars="200"/>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1.1正常工况产排污环节及源强核算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本项目建筑</w:t>
            </w:r>
            <w:r>
              <w:rPr>
                <w:rFonts w:hint="eastAsia" w:eastAsia="仿宋_GB2312" w:cs="Times New Roman"/>
                <w:color w:val="auto"/>
                <w:sz w:val="24"/>
                <w:szCs w:val="24"/>
                <w:highlight w:val="none"/>
                <w:lang w:val="en-US" w:eastAsia="zh-CN"/>
              </w:rPr>
              <w:t>、装饰</w:t>
            </w:r>
            <w:r>
              <w:rPr>
                <w:rFonts w:hint="default" w:ascii="Times New Roman" w:hAnsi="Times New Roman" w:eastAsia="仿宋_GB2312" w:cs="Times New Roman"/>
                <w:color w:val="auto"/>
                <w:sz w:val="24"/>
                <w:szCs w:val="24"/>
                <w:highlight w:val="none"/>
                <w:lang w:val="en-US" w:eastAsia="zh-CN"/>
              </w:rPr>
              <w:t>垃圾再生</w:t>
            </w:r>
            <w:r>
              <w:rPr>
                <w:rFonts w:hint="eastAsia" w:eastAsia="仿宋_GB2312" w:cs="Times New Roman"/>
                <w:color w:val="auto"/>
                <w:sz w:val="24"/>
                <w:szCs w:val="24"/>
                <w:highlight w:val="none"/>
                <w:lang w:val="en-US" w:eastAsia="zh-CN"/>
              </w:rPr>
              <w:t>线产生的废气主要来源于</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车辆运输无组织粉尘、</w:t>
            </w:r>
            <w:r>
              <w:rPr>
                <w:rFonts w:hint="default" w:ascii="Times New Roman" w:hAnsi="Times New Roman" w:eastAsia="仿宋_GB2312" w:cs="Times New Roman"/>
                <w:color w:val="auto"/>
                <w:sz w:val="24"/>
                <w:szCs w:val="24"/>
                <w:highlight w:val="none"/>
                <w:lang w:val="en-US" w:eastAsia="zh-CN"/>
              </w:rPr>
              <w:t>建筑垃圾</w:t>
            </w:r>
            <w:r>
              <w:rPr>
                <w:rFonts w:hint="eastAsia" w:eastAsia="仿宋_GB2312" w:cs="Times New Roman"/>
                <w:color w:val="auto"/>
                <w:sz w:val="24"/>
                <w:szCs w:val="24"/>
                <w:highlight w:val="none"/>
                <w:lang w:val="en-US" w:eastAsia="zh-CN"/>
              </w:rPr>
              <w:t>原料堆场装卸粉尘阶段、破碎环节、筛分环节、风选环节以及再生产品堆场装卸粉尘阶段。</w:t>
            </w:r>
            <w:r>
              <w:rPr>
                <w:rFonts w:hint="default" w:ascii="Times New Roman" w:hAnsi="Times New Roman" w:eastAsia="仿宋_GB2312" w:cs="Times New Roman"/>
                <w:color w:val="auto"/>
                <w:sz w:val="24"/>
                <w:szCs w:val="24"/>
                <w:highlight w:val="none"/>
                <w:lang w:val="en-US" w:eastAsia="zh-CN"/>
              </w:rPr>
              <w:t>本项目再生混凝土制品生产</w:t>
            </w:r>
            <w:r>
              <w:rPr>
                <w:rFonts w:hint="eastAsia" w:eastAsia="仿宋_GB2312" w:cs="Times New Roman"/>
                <w:color w:val="auto"/>
                <w:sz w:val="24"/>
                <w:szCs w:val="24"/>
                <w:highlight w:val="none"/>
                <w:lang w:val="en-US" w:eastAsia="zh-CN"/>
              </w:rPr>
              <w:t>线产生的废气主要来源于</w:t>
            </w:r>
            <w:r>
              <w:rPr>
                <w:rFonts w:hint="default" w:ascii="Times New Roman" w:hAnsi="Times New Roman" w:eastAsia="仿宋_GB2312" w:cs="Times New Roman"/>
                <w:color w:val="auto"/>
                <w:sz w:val="24"/>
                <w:szCs w:val="24"/>
                <w:highlight w:val="none"/>
                <w:lang w:val="en-US" w:eastAsia="zh-CN"/>
              </w:rPr>
              <w:t>建筑垃圾</w:t>
            </w:r>
            <w:r>
              <w:rPr>
                <w:rFonts w:hint="eastAsia" w:eastAsia="仿宋_GB2312" w:cs="Times New Roman"/>
                <w:color w:val="auto"/>
                <w:sz w:val="24"/>
                <w:szCs w:val="24"/>
                <w:highlight w:val="none"/>
                <w:lang w:val="en-US" w:eastAsia="zh-CN"/>
              </w:rPr>
              <w:t>原料</w:t>
            </w:r>
            <w:r>
              <w:rPr>
                <w:rFonts w:hint="default" w:ascii="Times New Roman" w:hAnsi="Times New Roman" w:eastAsia="仿宋_GB2312" w:cs="Times New Roman"/>
                <w:color w:val="auto"/>
                <w:sz w:val="24"/>
                <w:szCs w:val="24"/>
                <w:highlight w:val="none"/>
                <w:lang w:val="en-US" w:eastAsia="zh-CN"/>
              </w:rPr>
              <w:t>运输</w:t>
            </w:r>
            <w:r>
              <w:rPr>
                <w:rFonts w:hint="eastAsia" w:eastAsia="仿宋_GB2312" w:cs="Times New Roman"/>
                <w:color w:val="auto"/>
                <w:sz w:val="24"/>
                <w:szCs w:val="24"/>
                <w:highlight w:val="none"/>
                <w:lang w:val="en-US" w:eastAsia="zh-CN"/>
              </w:rPr>
              <w:t>装卸阶段、水泥粉煤灰输送阶段以及搅拌机搅拌环节。</w:t>
            </w:r>
            <w:r>
              <w:rPr>
                <w:rFonts w:hint="default" w:ascii="Times New Roman" w:hAnsi="Times New Roman" w:eastAsia="仿宋_GB2312" w:cs="Times New Roman"/>
                <w:color w:val="auto"/>
                <w:sz w:val="24"/>
                <w:szCs w:val="24"/>
                <w:highlight w:val="none"/>
                <w:lang w:val="en-US" w:eastAsia="zh-CN"/>
              </w:rPr>
              <w:t>本项目水稳料生产</w:t>
            </w:r>
            <w:r>
              <w:rPr>
                <w:rFonts w:hint="eastAsia" w:eastAsia="仿宋_GB2312" w:cs="Times New Roman"/>
                <w:color w:val="auto"/>
                <w:sz w:val="24"/>
                <w:szCs w:val="24"/>
                <w:highlight w:val="none"/>
                <w:lang w:val="en-US" w:eastAsia="zh-CN"/>
              </w:rPr>
              <w:t>线产生的废气主要来源于混合骨料上料阶段、水泥输送阶段以及搅拌机搅拌环节。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本项目有组织排放粉尘</w:t>
            </w:r>
            <w:r>
              <w:rPr>
                <w:rFonts w:hint="eastAsia" w:eastAsia="仿宋_GB2312" w:cs="Times New Roman"/>
                <w:color w:val="000000" w:themeColor="text1"/>
                <w:sz w:val="24"/>
                <w:szCs w:val="24"/>
                <w:highlight w:val="none"/>
                <w:lang w:val="en-US" w:eastAsia="zh-CN"/>
                <w14:textFill>
                  <w14:solidFill>
                    <w14:schemeClr w14:val="tx1"/>
                  </w14:solidFill>
                </w14:textFill>
              </w:rPr>
              <w:t>来源于颚式破碎机破碎阶段、风选机风选阶段。</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在</w:t>
            </w:r>
            <w:r>
              <w:rPr>
                <w:rFonts w:hint="eastAsia" w:eastAsia="仿宋_GB2312" w:cs="Times New Roman"/>
                <w:color w:val="000000" w:themeColor="text1"/>
                <w:sz w:val="24"/>
                <w:szCs w:val="24"/>
                <w:highlight w:val="none"/>
                <w:lang w:val="en-US" w:eastAsia="zh-CN"/>
                <w14:textFill>
                  <w14:solidFill>
                    <w14:schemeClr w14:val="tx1"/>
                  </w14:solidFill>
                </w14:textFill>
              </w:rPr>
              <w:t>颚式</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破碎</w:t>
            </w:r>
            <w:r>
              <w:rPr>
                <w:rFonts w:hint="eastAsia" w:eastAsia="仿宋_GB2312" w:cs="Times New Roman"/>
                <w:color w:val="000000" w:themeColor="text1"/>
                <w:sz w:val="24"/>
                <w:szCs w:val="24"/>
                <w:highlight w:val="none"/>
                <w:lang w:val="en-US" w:eastAsia="zh-CN"/>
                <w14:textFill>
                  <w14:solidFill>
                    <w14:schemeClr w14:val="tx1"/>
                  </w14:solidFill>
                </w14:textFill>
              </w:rPr>
              <w:t>机</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、风选</w:t>
            </w:r>
            <w:r>
              <w:rPr>
                <w:rFonts w:hint="eastAsia" w:eastAsia="仿宋_GB2312" w:cs="Times New Roman"/>
                <w:color w:val="000000" w:themeColor="text1"/>
                <w:sz w:val="24"/>
                <w:szCs w:val="24"/>
                <w:highlight w:val="none"/>
                <w:lang w:val="en-US" w:eastAsia="zh-CN"/>
                <w14:textFill>
                  <w14:solidFill>
                    <w14:schemeClr w14:val="tx1"/>
                  </w14:solidFill>
                </w14:textFill>
              </w:rPr>
              <w:t>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上方分别设置集气罩（共</w:t>
            </w:r>
            <w:r>
              <w:rPr>
                <w:rFonts w:hint="eastAsia" w:eastAsia="仿宋_GB2312"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套，收集效率95%），</w:t>
            </w:r>
            <w:r>
              <w:rPr>
                <w:rFonts w:hint="eastAsia" w:eastAsia="仿宋_GB2312" w:cs="Times New Roman"/>
                <w:color w:val="000000" w:themeColor="text1"/>
                <w:sz w:val="24"/>
                <w:szCs w:val="24"/>
                <w:highlight w:val="none"/>
                <w:lang w:val="en-US" w:eastAsia="zh-CN"/>
                <w14:textFill>
                  <w14:solidFill>
                    <w14:schemeClr w14:val="tx1"/>
                  </w14:solidFill>
                </w14:textFill>
              </w:rPr>
              <w:t>颚式</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破碎</w:t>
            </w:r>
            <w:r>
              <w:rPr>
                <w:rFonts w:hint="eastAsia" w:eastAsia="仿宋_GB2312" w:cs="Times New Roman"/>
                <w:color w:val="000000" w:themeColor="text1"/>
                <w:sz w:val="24"/>
                <w:szCs w:val="24"/>
                <w:highlight w:val="none"/>
                <w:lang w:val="en-US" w:eastAsia="zh-CN"/>
                <w14:textFill>
                  <w14:solidFill>
                    <w14:schemeClr w14:val="tx1"/>
                  </w14:solidFill>
                </w14:textFill>
              </w:rPr>
              <w:t>机产生粉尘</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通过“</w:t>
            </w:r>
            <w:r>
              <w:rPr>
                <w:rFonts w:hint="eastAsia" w:eastAsia="仿宋_GB2312" w:cs="Times New Roman"/>
                <w:color w:val="000000" w:themeColor="text1"/>
                <w:sz w:val="24"/>
                <w:szCs w:val="24"/>
                <w:highlight w:val="none"/>
                <w:lang w:val="en-US" w:eastAsia="zh-CN"/>
                <w14:textFill>
                  <w14:solidFill>
                    <w14:schemeClr w14:val="tx1"/>
                  </w14:solidFill>
                </w14:textFill>
              </w:rPr>
              <w:t>密闭集气罩+</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布袋除尘器+</w:t>
            </w:r>
            <w:r>
              <w:rPr>
                <w:rFonts w:hint="eastAsia" w:eastAsia="仿宋_GB2312"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m高排气筒（DA001）”</w:t>
            </w:r>
            <w:r>
              <w:rPr>
                <w:rFonts w:hint="eastAsia" w:eastAsia="仿宋_GB2312" w:cs="Times New Roman"/>
                <w:color w:val="000000" w:themeColor="text1"/>
                <w:sz w:val="24"/>
                <w:szCs w:val="24"/>
                <w:highlight w:val="none"/>
                <w:lang w:val="en-US" w:eastAsia="zh-CN"/>
                <w14:textFill>
                  <w14:solidFill>
                    <w14:schemeClr w14:val="tx1"/>
                  </w14:solidFill>
                </w14:textFill>
              </w:rPr>
              <w:t>有组织排放，</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风选</w:t>
            </w:r>
            <w:r>
              <w:rPr>
                <w:rFonts w:hint="eastAsia" w:eastAsia="仿宋_GB2312" w:cs="Times New Roman"/>
                <w:color w:val="000000" w:themeColor="text1"/>
                <w:sz w:val="24"/>
                <w:szCs w:val="24"/>
                <w:highlight w:val="none"/>
                <w:lang w:val="en-US" w:eastAsia="zh-CN"/>
                <w14:textFill>
                  <w14:solidFill>
                    <w14:schemeClr w14:val="tx1"/>
                  </w14:solidFill>
                </w14:textFill>
              </w:rPr>
              <w:t>机产生粉尘</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通过“</w:t>
            </w:r>
            <w:r>
              <w:rPr>
                <w:rFonts w:hint="eastAsia" w:eastAsia="仿宋_GB2312" w:cs="Times New Roman"/>
                <w:color w:val="000000" w:themeColor="text1"/>
                <w:sz w:val="24"/>
                <w:szCs w:val="24"/>
                <w:highlight w:val="none"/>
                <w:lang w:val="en-US" w:eastAsia="zh-CN"/>
                <w14:textFill>
                  <w14:solidFill>
                    <w14:schemeClr w14:val="tx1"/>
                  </w14:solidFill>
                </w14:textFill>
              </w:rPr>
              <w:t>密闭集气罩+</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布袋除尘器+</w:t>
            </w:r>
            <w:r>
              <w:rPr>
                <w:rFonts w:hint="eastAsia" w:eastAsia="仿宋_GB2312"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m高排气筒（DA00</w:t>
            </w:r>
            <w:r>
              <w:rPr>
                <w:rFonts w:hint="eastAsia" w:eastAsia="仿宋_GB2312"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eastAsia="仿宋_GB2312" w:cs="Times New Roman"/>
                <w:color w:val="000000" w:themeColor="text1"/>
                <w:sz w:val="24"/>
                <w:szCs w:val="24"/>
                <w:highlight w:val="none"/>
                <w:lang w:val="en-US" w:eastAsia="zh-CN"/>
                <w14:textFill>
                  <w14:solidFill>
                    <w14:schemeClr w14:val="tx1"/>
                  </w14:solidFill>
                </w14:textFill>
              </w:rPr>
              <w:t>有组织排放。</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同时</w:t>
            </w:r>
            <w:r>
              <w:rPr>
                <w:rFonts w:hint="eastAsia" w:eastAsia="仿宋_GB2312" w:cs="Times New Roman"/>
                <w:color w:val="000000" w:themeColor="text1"/>
                <w:sz w:val="24"/>
                <w:szCs w:val="24"/>
                <w:highlight w:val="none"/>
                <w:lang w:val="en-US" w:eastAsia="zh-CN"/>
                <w14:textFill>
                  <w14:solidFill>
                    <w14:schemeClr w14:val="tx1"/>
                  </w14:solidFill>
                </w14:textFill>
              </w:rPr>
              <w:t>在车间内</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设置</w:t>
            </w:r>
            <w:r>
              <w:rPr>
                <w:rFonts w:hint="eastAsia" w:eastAsia="仿宋_GB2312" w:cs="Times New Roman"/>
                <w:color w:val="000000" w:themeColor="text1"/>
                <w:sz w:val="24"/>
                <w:szCs w:val="24"/>
                <w:highlight w:val="none"/>
                <w:lang w:val="en-US" w:eastAsia="zh-CN"/>
                <w14:textFill>
                  <w14:solidFill>
                    <w14:schemeClr w14:val="tx1"/>
                  </w14:solidFill>
                </w14:textFill>
              </w:rPr>
              <w:t>4台</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活性干雾机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，从而有效降低</w:t>
            </w:r>
            <w:r>
              <w:rPr>
                <w:rFonts w:hint="eastAsia" w:eastAsia="仿宋_GB2312" w:cs="Times New Roman"/>
                <w:color w:val="000000" w:themeColor="text1"/>
                <w:sz w:val="24"/>
                <w:szCs w:val="24"/>
                <w:highlight w:val="none"/>
                <w:lang w:val="en-US" w:eastAsia="zh-CN"/>
                <w14:textFill>
                  <w14:solidFill>
                    <w14:schemeClr w14:val="tx1"/>
                  </w14:solidFill>
                </w14:textFill>
              </w:rPr>
              <w:t>无组织</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粉尘排放。</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本项目无组织排放废气主要为</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车辆运输无组织粉尘</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auto"/>
                <w:sz w:val="24"/>
                <w:szCs w:val="24"/>
                <w:highlight w:val="none"/>
                <w:lang w:val="en-US" w:eastAsia="zh-CN"/>
              </w:rPr>
              <w:t>建筑垃圾</w:t>
            </w:r>
            <w:r>
              <w:rPr>
                <w:rFonts w:hint="eastAsia" w:eastAsia="仿宋_GB2312" w:cs="Times New Roman"/>
                <w:color w:val="auto"/>
                <w:sz w:val="24"/>
                <w:szCs w:val="24"/>
                <w:highlight w:val="none"/>
                <w:lang w:val="en-US" w:eastAsia="zh-CN"/>
              </w:rPr>
              <w:t>原料堆场装卸粉尘阶段、再生产品堆场装卸粉尘阶段、</w:t>
            </w:r>
            <w:r>
              <w:rPr>
                <w:rFonts w:hint="eastAsia" w:eastAsia="仿宋_GB2312"/>
                <w:color w:val="auto"/>
                <w:sz w:val="24"/>
                <w:szCs w:val="24"/>
                <w:highlight w:val="none"/>
              </w:rPr>
              <w:t>粉料筒仓罐输送储存粉尘</w:t>
            </w:r>
            <w:r>
              <w:rPr>
                <w:rFonts w:hint="eastAsia" w:eastAsia="仿宋_GB2312"/>
                <w:color w:val="auto"/>
                <w:sz w:val="24"/>
                <w:szCs w:val="24"/>
                <w:highlight w:val="none"/>
                <w:lang w:eastAsia="zh-CN"/>
              </w:rPr>
              <w:t>、</w:t>
            </w:r>
            <w:r>
              <w:rPr>
                <w:rFonts w:hint="eastAsia" w:eastAsia="仿宋_GB2312"/>
                <w:color w:val="auto"/>
                <w:sz w:val="24"/>
                <w:szCs w:val="24"/>
                <w:highlight w:val="none"/>
                <w:lang w:val="en-US" w:eastAsia="zh-CN"/>
              </w:rPr>
              <w:t>搅拌机逸散粉尘</w:t>
            </w:r>
            <w:r>
              <w:rPr>
                <w:rFonts w:hint="eastAsia" w:eastAsia="仿宋_GB2312" w:cs="Times New Roman"/>
                <w:color w:val="auto"/>
                <w:sz w:val="24"/>
                <w:szCs w:val="24"/>
                <w:highlight w:val="none"/>
                <w:lang w:val="en-US" w:eastAsia="zh-CN"/>
              </w:rPr>
              <w:t>及其他未收集到的粉尘</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厂区道路水泥硬化，每日对运输车辆及运输道路进行清扫，车辆减速慢行，运输车辆加盖，厂区进出道路两旁设置4台雾炮环保系统降尘，对道路进行抑尘，非雨天对产尘区域进行洒水除尘。筒仓输送储存粉尘经过筒仓顶部布袋除尘器处理后通过筒仓呼吸口排出，车辆运输粉尘、砂石料装卸粉尘、骨料投料粉尘采用洒水抑尘的方式减少颗粒物排放量</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2" w:firstLineChars="200"/>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⑴无组织废气</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①车辆运输无组织粉尘产生</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量（G1）</w:t>
            </w:r>
          </w:p>
          <w:p>
            <w:pPr>
              <w:pStyle w:val="49"/>
              <w:keepNext w:val="0"/>
              <w:keepLines w:val="0"/>
              <w:suppressLineNumbers w:val="0"/>
              <w:adjustRightInd w:val="0"/>
              <w:snapToGrid w:val="0"/>
              <w:spacing w:before="0" w:beforeAutospacing="0" w:after="0" w:afterAutospacing="0" w:line="360" w:lineRule="auto"/>
              <w:ind w:left="0" w:right="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本项目原料和产品需要运入和运出，运输工具为各种汽车，运输扬尘一般包括物料洒落扬尘和汽车引起的道路二次扬尘。本项目对运输车辆进行严格管理，防止车辆出现洒落物料情况，因此本项目运输扬尘主要为道路二次扬尘。</w:t>
            </w:r>
          </w:p>
          <w:p>
            <w:pPr>
              <w:pStyle w:val="49"/>
              <w:keepNext w:val="0"/>
              <w:keepLines w:val="0"/>
              <w:suppressLineNumbers w:val="0"/>
              <w:adjustRightInd w:val="0"/>
              <w:snapToGrid w:val="0"/>
              <w:spacing w:before="0" w:beforeAutospacing="0" w:after="0" w:afterAutospacing="0" w:line="360" w:lineRule="auto"/>
              <w:ind w:left="0" w:right="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车辆在厂区内行驶产生的扬尘在道路完全干燥的情况下，可按下列经验公式计算：</w:t>
            </w:r>
          </w:p>
          <w:p>
            <w:pPr>
              <w:pStyle w:val="49"/>
              <w:keepNext w:val="0"/>
              <w:keepLines w:val="0"/>
              <w:suppressLineNumbers w:val="0"/>
              <w:adjustRightInd w:val="0"/>
              <w:snapToGrid w:val="0"/>
              <w:spacing w:before="0" w:beforeAutospacing="0" w:after="0" w:afterAutospacing="0" w:line="360" w:lineRule="auto"/>
              <w:ind w:left="0" w:right="0"/>
              <w:jc w:val="both"/>
              <w:rPr>
                <w:rFonts w:hint="default" w:ascii="Times New Roman" w:hAnsi="Times New Roman" w:eastAsia="仿宋_GB2312" w:cs="Times New Roman"/>
                <w:color w:val="000000" w:themeColor="text1"/>
                <w:kern w:val="16"/>
                <w:sz w:val="24"/>
                <w:szCs w:val="24"/>
                <w:highlight w:val="none"/>
                <w:lang w:val="en-US"/>
                <w14:textFill>
                  <w14:solidFill>
                    <w14:schemeClr w14:val="tx1"/>
                  </w14:solidFill>
                </w14:textFill>
              </w:rPr>
            </w:pPr>
            <m:oMathPara>
              <m:oMath>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Q=0.123(</m:t>
                </m:r>
                <m:f>
                  <m:fPr>
                    <m:type m:val="lin"/>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fPr>
                  <m:num>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V</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num>
                  <m:den>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5)</m:t>
                    </m:r>
                    <m:sSup>
                      <m:sSupP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sSupPr>
                      <m:e>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m:t>
                        </m:r>
                        <m:f>
                          <m:fPr>
                            <m:type m:val="lin"/>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fPr>
                          <m:num>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W</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num>
                          <m:den>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6.8</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den>
                        </m:f>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e>
                      <m:sup>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0.85</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sup>
                    </m:sSup>
                    <m:sSup>
                      <m:sSupP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sSupPr>
                      <m:e>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m:t>
                        </m:r>
                        <m:f>
                          <m:fPr>
                            <m:type m:val="lin"/>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fPr>
                          <m:num>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P</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num>
                          <m:den>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0.5</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den>
                        </m:f>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e>
                      <m:sup>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0.75</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sup>
                    </m:sSup>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n</m:t>
                    </m:r>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×L×D/1000</m:t>
                    </m:r>
                    <m:ctrlPr>
                      <w:rPr>
                        <w:rFonts w:hint="default" w:ascii="Cambria Math" w:hAnsi="Cambria Math" w:eastAsia="仿宋_GB2312" w:cs="Times New Roman"/>
                        <w:i/>
                        <w:color w:val="000000" w:themeColor="text1"/>
                        <w:kern w:val="16"/>
                        <w:sz w:val="24"/>
                        <w:szCs w:val="24"/>
                        <w:highlight w:val="none"/>
                        <w:lang w:val="en-US" w:eastAsia="zh-CN" w:bidi="ar-SA"/>
                        <w14:textFill>
                          <w14:solidFill>
                            <w14:schemeClr w14:val="tx1"/>
                          </w14:solidFill>
                        </w14:textFill>
                      </w:rPr>
                    </m:ctrlPr>
                  </m:den>
                </m:f>
              </m:oMath>
            </m:oMathPara>
          </w:p>
          <w:p>
            <w:pPr>
              <w:pStyle w:val="49"/>
              <w:keepNext w:val="0"/>
              <w:keepLines w:val="0"/>
              <w:suppressLineNumbers w:val="0"/>
              <w:adjustRightInd w:val="0"/>
              <w:snapToGrid w:val="0"/>
              <w:spacing w:before="0" w:beforeAutospacing="0" w:after="0" w:afterAutospacing="0" w:line="360" w:lineRule="auto"/>
              <w:ind w:left="0" w:right="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式中：Q——汽车行驶时的扬尘，t/a；</w:t>
            </w:r>
          </w:p>
          <w:p>
            <w:pPr>
              <w:pStyle w:val="49"/>
              <w:keepNext w:val="0"/>
              <w:keepLines w:val="0"/>
              <w:suppressLineNumbers w:val="0"/>
              <w:adjustRightInd w:val="0"/>
              <w:snapToGrid w:val="0"/>
              <w:spacing w:before="0" w:beforeAutospacing="0" w:after="0" w:afterAutospacing="0" w:line="360" w:lineRule="auto"/>
              <w:ind w:left="0" w:right="0" w:firstLine="1200" w:firstLineChars="50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V——汽车行驶速度，km/h；</w:t>
            </w:r>
          </w:p>
          <w:p>
            <w:pPr>
              <w:pStyle w:val="49"/>
              <w:keepNext w:val="0"/>
              <w:keepLines w:val="0"/>
              <w:suppressLineNumbers w:val="0"/>
              <w:adjustRightInd w:val="0"/>
              <w:snapToGrid w:val="0"/>
              <w:spacing w:before="0" w:beforeAutospacing="0" w:after="0" w:afterAutospacing="0" w:line="360" w:lineRule="auto"/>
              <w:ind w:left="0" w:right="0" w:firstLine="1200" w:firstLineChars="50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W——汽车载重量，t；</w:t>
            </w:r>
          </w:p>
          <w:p>
            <w:pPr>
              <w:pStyle w:val="49"/>
              <w:keepNext w:val="0"/>
              <w:keepLines w:val="0"/>
              <w:suppressLineNumbers w:val="0"/>
              <w:adjustRightInd w:val="0"/>
              <w:snapToGrid w:val="0"/>
              <w:spacing w:before="0" w:beforeAutospacing="0" w:after="0" w:afterAutospacing="0" w:line="360" w:lineRule="auto"/>
              <w:ind w:left="0" w:right="0" w:firstLine="1200" w:firstLineChars="50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P——道路表面粉尘量，kg/m</w:t>
            </w:r>
            <w:r>
              <w:rPr>
                <w:rFonts w:hint="default" w:ascii="Times New Roman" w:hAnsi="Times New Roman" w:eastAsia="仿宋_GB2312" w:cs="Times New Roman"/>
                <w:color w:val="000000" w:themeColor="text1"/>
                <w:kern w:val="16"/>
                <w:sz w:val="24"/>
                <w:szCs w:val="24"/>
                <w:highlight w:val="none"/>
                <w:vertAlign w:val="superscript"/>
                <w14:textFill>
                  <w14:solidFill>
                    <w14:schemeClr w14:val="tx1"/>
                  </w14:solidFill>
                </w14:textFill>
              </w:rPr>
              <w:t>2</w:t>
            </w: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w:t>
            </w:r>
          </w:p>
          <w:p>
            <w:pPr>
              <w:pStyle w:val="49"/>
              <w:keepNext w:val="0"/>
              <w:keepLines w:val="0"/>
              <w:suppressLineNumbers w:val="0"/>
              <w:adjustRightInd w:val="0"/>
              <w:snapToGrid w:val="0"/>
              <w:spacing w:before="0" w:beforeAutospacing="0" w:after="0" w:afterAutospacing="0" w:line="360" w:lineRule="auto"/>
              <w:ind w:left="0" w:right="0" w:firstLine="1200" w:firstLineChars="50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n——日行驶车辆数；</w:t>
            </w:r>
          </w:p>
          <w:p>
            <w:pPr>
              <w:pStyle w:val="49"/>
              <w:keepNext w:val="0"/>
              <w:keepLines w:val="0"/>
              <w:suppressLineNumbers w:val="0"/>
              <w:adjustRightInd w:val="0"/>
              <w:snapToGrid w:val="0"/>
              <w:spacing w:before="0" w:beforeAutospacing="0" w:after="0" w:afterAutospacing="0" w:line="360" w:lineRule="auto"/>
              <w:ind w:left="0" w:right="0" w:firstLine="1200" w:firstLineChars="50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L——厂内运输距离，km；</w:t>
            </w:r>
          </w:p>
          <w:p>
            <w:pPr>
              <w:pStyle w:val="49"/>
              <w:keepNext w:val="0"/>
              <w:keepLines w:val="0"/>
              <w:suppressLineNumbers w:val="0"/>
              <w:adjustRightInd w:val="0"/>
              <w:snapToGrid w:val="0"/>
              <w:spacing w:before="0" w:beforeAutospacing="0" w:after="0" w:afterAutospacing="0" w:line="360" w:lineRule="auto"/>
              <w:ind w:left="0" w:right="0" w:firstLine="1200" w:firstLineChars="500"/>
              <w:jc w:val="both"/>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D——运输天数。</w:t>
            </w:r>
          </w:p>
          <w:p>
            <w:pPr>
              <w:pStyle w:val="49"/>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本项目原料、产品均采用汽车运输，在满负荷生产条件下，原料运入以单车平均载重</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14</w:t>
            </w: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t计算、产品外运以单车载重</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14</w:t>
            </w: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t计算。原料运入运输次数为</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52</w:t>
            </w: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次/d，产品运出运输次数为</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61</w:t>
            </w: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次/d。汽车厂内行驶速度为5km/h，厂内原料运距为</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100</w:t>
            </w: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m、产品运距为</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125</w:t>
            </w: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m。</w:t>
            </w:r>
          </w:p>
          <w:p>
            <w:pPr>
              <w:pStyle w:val="49"/>
              <w:keepNext w:val="0"/>
              <w:keepLines w:val="0"/>
              <w:suppressLineNumbers w:val="0"/>
              <w:snapToGrid w:val="0"/>
              <w:spacing w:before="0" w:beforeAutospacing="0" w:after="0" w:afterAutospacing="0" w:line="360" w:lineRule="auto"/>
              <w:ind w:left="0" w:right="0"/>
              <w:rPr>
                <w:rFonts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14:textFill>
                  <w14:solidFill>
                    <w14:schemeClr w14:val="tx1"/>
                  </w14:solidFill>
                </w14:textFill>
              </w:rPr>
              <w:t>为降低厂内运输道路扬尘，本项目将运输车辆行驶的路面进行硬化处理，可以减少路面扬尘。同时使用封闭式运输车辆，防止运输过程中物料洒落和粉尘飞扬，车辆行驶过后使用高压喷雾系统在车辆行驶的路线上喷雾洒水，可将道路表面粉尘量控制在＜0.03kg/m²，因此本项目取值为0.03kg/m²。厂内运输车辆扬尘计算参数及结果见表4-1。</w:t>
            </w:r>
          </w:p>
          <w:p>
            <w:pPr>
              <w:pStyle w:val="36"/>
              <w:keepNext w:val="0"/>
              <w:keepLines w:val="0"/>
              <w:suppressLineNumbers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0"/>
                <w:sz w:val="24"/>
                <w:szCs w:val="24"/>
                <w:highlight w:val="none"/>
                <w14:textFill>
                  <w14:solidFill>
                    <w14:schemeClr w14:val="tx1"/>
                  </w14:solidFill>
                </w14:textFill>
              </w:rPr>
            </w:pP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表4-1</w:t>
            </w:r>
            <w:r>
              <w:rPr>
                <w:rFonts w:eastAsia="黑体" w:cs="Times New Roman"/>
                <w:sz w:val="24"/>
                <w:szCs w:val="24"/>
              </w:rPr>
              <w:t xml:space="preserve"> </w:t>
            </w:r>
            <w:r>
              <w:rPr>
                <w:rFonts w:hint="eastAsia" w:eastAsia="黑体" w:cs="Times New Roman"/>
                <w:sz w:val="24"/>
                <w:szCs w:val="24"/>
                <w:lang w:val="en-US" w:eastAsia="zh-CN"/>
              </w:rPr>
              <w:t xml:space="preserve"> </w:t>
            </w:r>
            <w:r>
              <w:rPr>
                <w:rFonts w:eastAsia="黑体" w:cs="Times New Roman"/>
                <w:sz w:val="24"/>
                <w:szCs w:val="24"/>
              </w:rPr>
              <w:t xml:space="preserve"> </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厂内运输车辆扬尘计算参数及结果一览表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Layout w:type="fixed"/>
              <w:tblCellMar>
                <w:top w:w="0" w:type="dxa"/>
                <w:left w:w="108" w:type="dxa"/>
                <w:bottom w:w="0" w:type="dxa"/>
                <w:right w:w="108" w:type="dxa"/>
              </w:tblCellMar>
            </w:tblPr>
            <w:tblGrid>
              <w:gridCol w:w="887"/>
              <w:gridCol w:w="1127"/>
              <w:gridCol w:w="2813"/>
              <w:gridCol w:w="2630"/>
              <w:gridCol w:w="55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cantSplit/>
                <w:jc w:val="center"/>
              </w:trPr>
              <w:tc>
                <w:tcPr>
                  <w:tcW w:w="341"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zCs w:val="22"/>
                    </w:rPr>
                  </w:pPr>
                  <w:r>
                    <w:rPr>
                      <w:rFonts w:cs="Times New Roman"/>
                      <w:b/>
                      <w:bCs/>
                      <w:szCs w:val="22"/>
                    </w:rPr>
                    <w:t>参数符号</w:t>
                  </w:r>
                </w:p>
              </w:tc>
              <w:tc>
                <w:tcPr>
                  <w:tcW w:w="433"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zCs w:val="22"/>
                    </w:rPr>
                  </w:pPr>
                  <w:r>
                    <w:rPr>
                      <w:rFonts w:cs="Times New Roman"/>
                      <w:b/>
                      <w:bCs/>
                      <w:szCs w:val="22"/>
                    </w:rPr>
                    <w:t>单位</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zCs w:val="22"/>
                    </w:rPr>
                  </w:pPr>
                  <w:r>
                    <w:rPr>
                      <w:rFonts w:cs="Times New Roman"/>
                      <w:b/>
                      <w:bCs/>
                      <w:szCs w:val="22"/>
                    </w:rPr>
                    <w:t>原料运输车</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zCs w:val="22"/>
                    </w:rPr>
                  </w:pPr>
                  <w:r>
                    <w:rPr>
                      <w:rFonts w:cs="Times New Roman"/>
                      <w:b/>
                      <w:bCs/>
                      <w:szCs w:val="22"/>
                    </w:rPr>
                    <w:t>产品罐车</w:t>
                  </w:r>
                </w:p>
              </w:tc>
              <w:tc>
                <w:tcPr>
                  <w:tcW w:w="2129"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zCs w:val="22"/>
                    </w:rPr>
                  </w:pPr>
                  <w:r>
                    <w:rPr>
                      <w:rFonts w:cs="Times New Roman"/>
                      <w:b/>
                      <w:bCs/>
                      <w:szCs w:val="22"/>
                    </w:rPr>
                    <w:t>选值依据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cantSplit/>
                <w:jc w:val="center"/>
              </w:trPr>
              <w:tc>
                <w:tcPr>
                  <w:tcW w:w="34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p>
              </w:tc>
              <w:tc>
                <w:tcPr>
                  <w:tcW w:w="433"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zCs w:val="22"/>
                    </w:rPr>
                  </w:pPr>
                  <w:r>
                    <w:rPr>
                      <w:rFonts w:cs="Times New Roman"/>
                      <w:b/>
                      <w:bCs/>
                      <w:szCs w:val="22"/>
                    </w:rPr>
                    <w:t>入厂</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
                      <w:bCs/>
                      <w:szCs w:val="22"/>
                    </w:rPr>
                  </w:pPr>
                  <w:r>
                    <w:rPr>
                      <w:rFonts w:cs="Times New Roman"/>
                      <w:b/>
                      <w:bCs/>
                      <w:szCs w:val="22"/>
                    </w:rPr>
                    <w:t>入厂</w:t>
                  </w:r>
                </w:p>
              </w:tc>
              <w:tc>
                <w:tcPr>
                  <w:tcW w:w="2129"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cantSplit/>
                <w:jc w:val="center"/>
              </w:trPr>
              <w:tc>
                <w:tcPr>
                  <w:tcW w:w="34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V</w:t>
                  </w:r>
                </w:p>
              </w:tc>
              <w:tc>
                <w:tcPr>
                  <w:tcW w:w="43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km/h</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hint="eastAsia" w:cs="Times New Roman"/>
                      <w:szCs w:val="22"/>
                    </w:rPr>
                    <w:t>5</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hint="eastAsia" w:cs="Times New Roman"/>
                      <w:szCs w:val="22"/>
                    </w:rPr>
                    <w:t>5</w:t>
                  </w:r>
                </w:p>
              </w:tc>
              <w:tc>
                <w:tcPr>
                  <w:tcW w:w="212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cs="Times New Roman"/>
                      <w:bCs/>
                      <w:szCs w:val="22"/>
                    </w:rPr>
                    <w:t>汽车厂内行驶速度为</w:t>
                  </w:r>
                  <w:r>
                    <w:rPr>
                      <w:rFonts w:hint="eastAsia" w:cs="Times New Roman"/>
                      <w:bCs/>
                      <w:szCs w:val="22"/>
                    </w:rPr>
                    <w:t>5</w:t>
                  </w:r>
                  <w:r>
                    <w:rPr>
                      <w:rFonts w:cs="Times New Roman"/>
                      <w:bCs/>
                      <w:szCs w:val="22"/>
                    </w:rPr>
                    <w:t>km/h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cantSplit/>
                <w:jc w:val="center"/>
              </w:trPr>
              <w:tc>
                <w:tcPr>
                  <w:tcW w:w="34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W</w:t>
                  </w:r>
                </w:p>
              </w:tc>
              <w:tc>
                <w:tcPr>
                  <w:tcW w:w="43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t</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szCs w:val="22"/>
                      <w:lang w:val="en-US" w:eastAsia="zh-CN"/>
                    </w:rPr>
                  </w:pPr>
                  <w:r>
                    <w:rPr>
                      <w:rFonts w:hint="eastAsia" w:cs="Times New Roman"/>
                      <w:szCs w:val="22"/>
                      <w:lang w:val="en-US" w:eastAsia="zh-CN"/>
                    </w:rPr>
                    <w:t>14</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szCs w:val="22"/>
                      <w:lang w:val="en-US" w:eastAsia="zh-CN"/>
                    </w:rPr>
                  </w:pPr>
                  <w:r>
                    <w:rPr>
                      <w:rFonts w:hint="eastAsia" w:cs="Times New Roman"/>
                      <w:bCs/>
                      <w:szCs w:val="22"/>
                      <w:lang w:val="en-US" w:eastAsia="zh-CN"/>
                    </w:rPr>
                    <w:t>14</w:t>
                  </w:r>
                </w:p>
              </w:tc>
              <w:tc>
                <w:tcPr>
                  <w:tcW w:w="212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cs="Times New Roman"/>
                      <w:bCs/>
                      <w:szCs w:val="22"/>
                    </w:rPr>
                    <w:t>按照汽车载重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cantSplit/>
                <w:jc w:val="center"/>
              </w:trPr>
              <w:tc>
                <w:tcPr>
                  <w:tcW w:w="34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P</w:t>
                  </w:r>
                </w:p>
              </w:tc>
              <w:tc>
                <w:tcPr>
                  <w:tcW w:w="43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kg/m</w:t>
                  </w:r>
                  <w:r>
                    <w:rPr>
                      <w:rFonts w:cs="Times New Roman"/>
                      <w:szCs w:val="22"/>
                      <w:vertAlign w:val="superscript"/>
                    </w:rPr>
                    <w:t>2</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cs="Times New Roman"/>
                      <w:szCs w:val="22"/>
                    </w:rPr>
                    <w:t>0.03</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cs="Times New Roman"/>
                      <w:bCs/>
                      <w:szCs w:val="22"/>
                    </w:rPr>
                    <w:t>0.03</w:t>
                  </w:r>
                </w:p>
              </w:tc>
              <w:tc>
                <w:tcPr>
                  <w:tcW w:w="212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cs="Times New Roman"/>
                      <w:bCs/>
                      <w:szCs w:val="22"/>
                    </w:rPr>
                    <w:t>在采取控制措施前提下，控制在</w:t>
                  </w:r>
                  <w:r>
                    <w:rPr>
                      <w:rFonts w:cs="Times New Roman"/>
                      <w:szCs w:val="22"/>
                    </w:rPr>
                    <w:t>0.03kg/m</w:t>
                  </w:r>
                  <w:r>
                    <w:rPr>
                      <w:rFonts w:cs="Times New Roman"/>
                      <w:szCs w:val="22"/>
                      <w:vertAlign w:val="superscript"/>
                    </w:rPr>
                    <w:t>2</w:t>
                  </w:r>
                  <w:r>
                    <w:rPr>
                      <w:rFonts w:cs="Times New Roman"/>
                      <w:bCs/>
                      <w:szCs w:val="22"/>
                    </w:rPr>
                    <w:t>以下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cantSplit/>
                <w:jc w:val="center"/>
              </w:trPr>
              <w:tc>
                <w:tcPr>
                  <w:tcW w:w="34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n</w:t>
                  </w:r>
                </w:p>
              </w:tc>
              <w:tc>
                <w:tcPr>
                  <w:tcW w:w="43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辆</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szCs w:val="22"/>
                      <w:lang w:val="en-US" w:eastAsia="zh-CN"/>
                    </w:rPr>
                  </w:pPr>
                  <w:r>
                    <w:rPr>
                      <w:rFonts w:hint="eastAsia" w:cs="Times New Roman"/>
                      <w:szCs w:val="22"/>
                      <w:lang w:val="en-US" w:eastAsia="zh-CN"/>
                    </w:rPr>
                    <w:t>52</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szCs w:val="22"/>
                      <w:lang w:val="en-US" w:eastAsia="zh-CN"/>
                    </w:rPr>
                  </w:pPr>
                  <w:r>
                    <w:rPr>
                      <w:rFonts w:hint="eastAsia" w:cs="Times New Roman"/>
                      <w:bCs/>
                      <w:szCs w:val="22"/>
                      <w:lang w:val="en-US" w:eastAsia="zh-CN"/>
                    </w:rPr>
                    <w:t>61</w:t>
                  </w:r>
                </w:p>
              </w:tc>
              <w:tc>
                <w:tcPr>
                  <w:tcW w:w="212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cs="Times New Roman"/>
                      <w:bCs/>
                      <w:szCs w:val="22"/>
                    </w:rPr>
                    <w:t>按照原料日用量、产品产生量分别计算得到运输频次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cantSplit/>
                <w:jc w:val="center"/>
              </w:trPr>
              <w:tc>
                <w:tcPr>
                  <w:tcW w:w="34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highlight w:val="none"/>
                    </w:rPr>
                  </w:pPr>
                  <w:r>
                    <w:rPr>
                      <w:rFonts w:cs="Times New Roman"/>
                      <w:szCs w:val="22"/>
                      <w:highlight w:val="none"/>
                    </w:rPr>
                    <w:t>L</w:t>
                  </w:r>
                </w:p>
              </w:tc>
              <w:tc>
                <w:tcPr>
                  <w:tcW w:w="43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highlight w:val="none"/>
                    </w:rPr>
                  </w:pPr>
                  <w:r>
                    <w:rPr>
                      <w:rFonts w:cs="Times New Roman"/>
                      <w:szCs w:val="22"/>
                      <w:highlight w:val="none"/>
                    </w:rPr>
                    <w:t>km</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szCs w:val="22"/>
                      <w:highlight w:val="none"/>
                      <w:lang w:val="en-US" w:eastAsia="zh-CN"/>
                    </w:rPr>
                  </w:pPr>
                  <w:r>
                    <w:rPr>
                      <w:rFonts w:hint="eastAsia" w:cs="Times New Roman"/>
                      <w:szCs w:val="22"/>
                      <w:highlight w:val="none"/>
                      <w:lang w:val="en-US" w:eastAsia="zh-CN"/>
                    </w:rPr>
                    <w:t>0.1</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szCs w:val="22"/>
                      <w:highlight w:val="none"/>
                      <w:lang w:val="en-US" w:eastAsia="zh-CN"/>
                    </w:rPr>
                  </w:pPr>
                  <w:r>
                    <w:rPr>
                      <w:rFonts w:hint="eastAsia" w:cs="Times New Roman"/>
                      <w:bCs/>
                      <w:szCs w:val="22"/>
                      <w:highlight w:val="none"/>
                      <w:lang w:val="en-US" w:eastAsia="zh-CN"/>
                    </w:rPr>
                    <w:t>0.125</w:t>
                  </w:r>
                </w:p>
              </w:tc>
              <w:tc>
                <w:tcPr>
                  <w:tcW w:w="212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highlight w:val="none"/>
                    </w:rPr>
                  </w:pPr>
                  <w:r>
                    <w:rPr>
                      <w:rFonts w:hint="eastAsia" w:cs="Times New Roman"/>
                      <w:bCs/>
                      <w:szCs w:val="22"/>
                      <w:highlight w:val="none"/>
                    </w:rPr>
                    <w:t>原料厂内运距约</w:t>
                  </w:r>
                  <w:r>
                    <w:rPr>
                      <w:rFonts w:hint="eastAsia" w:cs="Times New Roman"/>
                      <w:bCs/>
                      <w:szCs w:val="22"/>
                      <w:highlight w:val="none"/>
                      <w:lang w:val="en-US" w:eastAsia="zh-CN"/>
                    </w:rPr>
                    <w:t>100</w:t>
                  </w:r>
                  <w:r>
                    <w:rPr>
                      <w:rFonts w:cs="Times New Roman"/>
                      <w:bCs/>
                      <w:szCs w:val="22"/>
                      <w:highlight w:val="none"/>
                    </w:rPr>
                    <w:t>m</w:t>
                  </w:r>
                  <w:r>
                    <w:rPr>
                      <w:rFonts w:hint="eastAsia" w:cs="Times New Roman"/>
                      <w:bCs/>
                      <w:szCs w:val="22"/>
                      <w:highlight w:val="none"/>
                    </w:rPr>
                    <w:t>，产品厂内运距</w:t>
                  </w:r>
                  <w:r>
                    <w:rPr>
                      <w:rFonts w:hint="eastAsia" w:cs="Times New Roman"/>
                      <w:bCs/>
                      <w:szCs w:val="22"/>
                      <w:highlight w:val="none"/>
                      <w:lang w:val="en-US" w:eastAsia="zh-CN"/>
                    </w:rPr>
                    <w:t>125</w:t>
                  </w:r>
                  <w:r>
                    <w:rPr>
                      <w:rFonts w:cs="Times New Roman"/>
                      <w:bCs/>
                      <w:szCs w:val="22"/>
                      <w:highlight w:val="none"/>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cantSplit/>
                <w:trHeight w:val="272" w:hRule="atLeast"/>
                <w:jc w:val="center"/>
              </w:trPr>
              <w:tc>
                <w:tcPr>
                  <w:tcW w:w="34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D</w:t>
                  </w:r>
                </w:p>
              </w:tc>
              <w:tc>
                <w:tcPr>
                  <w:tcW w:w="43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d</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hint="eastAsia" w:cs="Times New Roman"/>
                      <w:szCs w:val="22"/>
                    </w:rPr>
                    <w:t>2</w:t>
                  </w:r>
                  <w:r>
                    <w:rPr>
                      <w:rFonts w:hint="eastAsia" w:cs="Times New Roman"/>
                      <w:szCs w:val="22"/>
                      <w:lang w:val="en-US" w:eastAsia="zh-CN"/>
                    </w:rPr>
                    <w:t>1</w:t>
                  </w:r>
                  <w:r>
                    <w:rPr>
                      <w:rFonts w:hint="eastAsia" w:cs="Times New Roman"/>
                      <w:szCs w:val="22"/>
                    </w:rPr>
                    <w:t>0</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hint="eastAsia" w:cs="Times New Roman"/>
                      <w:bCs/>
                      <w:szCs w:val="22"/>
                    </w:rPr>
                    <w:t>2</w:t>
                  </w:r>
                  <w:r>
                    <w:rPr>
                      <w:rFonts w:hint="eastAsia" w:cs="Times New Roman"/>
                      <w:bCs/>
                      <w:szCs w:val="22"/>
                      <w:lang w:val="en-US" w:eastAsia="zh-CN"/>
                    </w:rPr>
                    <w:t>1</w:t>
                  </w:r>
                  <w:r>
                    <w:rPr>
                      <w:rFonts w:hint="eastAsia" w:cs="Times New Roman"/>
                      <w:bCs/>
                      <w:szCs w:val="22"/>
                    </w:rPr>
                    <w:t>0</w:t>
                  </w:r>
                </w:p>
              </w:tc>
              <w:tc>
                <w:tcPr>
                  <w:tcW w:w="212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cs="Times New Roman"/>
                      <w:bCs/>
                      <w:szCs w:val="22"/>
                    </w:rPr>
                    <w:t>年生产天数</w:t>
                  </w:r>
                  <w:r>
                    <w:rPr>
                      <w:rFonts w:hint="eastAsia" w:cs="Times New Roman"/>
                      <w:bCs/>
                      <w:szCs w:val="22"/>
                    </w:rPr>
                    <w:t>2</w:t>
                  </w:r>
                  <w:r>
                    <w:rPr>
                      <w:rFonts w:hint="eastAsia" w:cs="Times New Roman"/>
                      <w:bCs/>
                      <w:szCs w:val="22"/>
                      <w:lang w:val="en-US" w:eastAsia="zh-CN"/>
                    </w:rPr>
                    <w:t>1</w:t>
                  </w:r>
                  <w:r>
                    <w:rPr>
                      <w:rFonts w:hint="eastAsia" w:cs="Times New Roman"/>
                      <w:bCs/>
                      <w:szCs w:val="22"/>
                    </w:rPr>
                    <w:t>0</w:t>
                  </w:r>
                  <w:r>
                    <w:rPr>
                      <w:rFonts w:cs="Times New Roman"/>
                      <w:bCs/>
                      <w:szCs w:val="22"/>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2" w:space="0"/>
                </w:tblBorders>
                <w:tblCellMar>
                  <w:top w:w="0" w:type="dxa"/>
                  <w:left w:w="108" w:type="dxa"/>
                  <w:bottom w:w="0" w:type="dxa"/>
                  <w:right w:w="108" w:type="dxa"/>
                </w:tblCellMar>
              </w:tblPrEx>
              <w:trPr>
                <w:cantSplit/>
                <w:jc w:val="center"/>
              </w:trPr>
              <w:tc>
                <w:tcPr>
                  <w:tcW w:w="34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Q</w:t>
                  </w:r>
                </w:p>
              </w:tc>
              <w:tc>
                <w:tcPr>
                  <w:tcW w:w="43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szCs w:val="22"/>
                    </w:rPr>
                  </w:pPr>
                  <w:r>
                    <w:rPr>
                      <w:rFonts w:cs="Times New Roman"/>
                      <w:szCs w:val="22"/>
                    </w:rPr>
                    <w:t>t/a</w:t>
                  </w:r>
                </w:p>
              </w:tc>
              <w:tc>
                <w:tcPr>
                  <w:tcW w:w="10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hint="eastAsia" w:cs="Times New Roman"/>
                      <w:bCs/>
                      <w:szCs w:val="22"/>
                    </w:rPr>
                    <w:t>0.039</w:t>
                  </w:r>
                </w:p>
              </w:tc>
              <w:tc>
                <w:tcPr>
                  <w:tcW w:w="101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hint="eastAsia" w:cs="Times New Roman"/>
                      <w:bCs/>
                      <w:szCs w:val="22"/>
                    </w:rPr>
                    <w:t>0.054</w:t>
                  </w:r>
                </w:p>
              </w:tc>
              <w:tc>
                <w:tcPr>
                  <w:tcW w:w="212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cs="Times New Roman"/>
                      <w:bCs/>
                      <w:szCs w:val="22"/>
                    </w:rPr>
                  </w:pPr>
                  <w:r>
                    <w:rPr>
                      <w:rFonts w:hint="eastAsia" w:cs="Times New Roman"/>
                      <w:bCs/>
                      <w:szCs w:val="22"/>
                    </w:rPr>
                    <w:t>-</w:t>
                  </w:r>
                </w:p>
              </w:tc>
            </w:tr>
          </w:tbl>
          <w:p>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14:textFill>
                  <w14:solidFill>
                    <w14:schemeClr w14:val="tx1"/>
                  </w14:solidFill>
                </w14:textFill>
              </w:rPr>
              <w:t>由上表可知，在采取车辆管控、洒水降尘等措施条件下，厂内原料运输道路扬尘产生量为0.0</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3</w:t>
            </w:r>
            <w:r>
              <w:rPr>
                <w:rFonts w:hint="eastAsia" w:ascii="Times New Roman" w:hAnsi="Times New Roman" w:eastAsia="仿宋_GB2312" w:cs="Times New Roman"/>
                <w:color w:val="000000" w:themeColor="text1"/>
                <w:kern w:val="16"/>
                <w:sz w:val="24"/>
                <w:szCs w:val="24"/>
                <w:highlight w:val="none"/>
                <w14:textFill>
                  <w14:solidFill>
                    <w14:schemeClr w14:val="tx1"/>
                  </w14:solidFill>
                </w14:textFill>
              </w:rPr>
              <w:t>t/a，厂内产品运输道路扬尘产生量为0.0</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44</w:t>
            </w:r>
            <w:r>
              <w:rPr>
                <w:rFonts w:hint="eastAsia" w:ascii="Times New Roman" w:hAnsi="Times New Roman" w:eastAsia="仿宋_GB2312" w:cs="Times New Roman"/>
                <w:color w:val="000000" w:themeColor="text1"/>
                <w:kern w:val="16"/>
                <w:sz w:val="24"/>
                <w:szCs w:val="24"/>
                <w:highlight w:val="none"/>
                <w14:textFill>
                  <w14:solidFill>
                    <w14:schemeClr w14:val="tx1"/>
                  </w14:solidFill>
                </w14:textFill>
              </w:rPr>
              <w:t>t/a。因此，厂内运输车辆无组织粉尘排放量合计为0.0</w:t>
            </w: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74</w:t>
            </w:r>
            <w:r>
              <w:rPr>
                <w:rFonts w:hint="eastAsia" w:ascii="Times New Roman" w:hAnsi="Times New Roman" w:eastAsia="仿宋_GB2312" w:cs="Times New Roman"/>
                <w:color w:val="000000" w:themeColor="text1"/>
                <w:kern w:val="16"/>
                <w:sz w:val="24"/>
                <w:szCs w:val="24"/>
                <w:highlight w:val="none"/>
                <w14:textFill>
                  <w14:solidFill>
                    <w14:schemeClr w14:val="tx1"/>
                  </w14:solidFill>
                </w14:textFill>
              </w:rPr>
              <w:t>t/a。</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②建筑垃圾原料</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堆场装卸</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粉尘产生量</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（G2）</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建筑垃圾原料堆放于室外原料堆场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，平时用防尘网罩盖，避免扬尘飞起。</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根据《排放源统计调查产排污核算方法和系数手册》（生态环境部公告 2021年24号文）附表工业源固体物料堆场颗粒物核算系数手册，工业企业固体物料堆存颗粒物包括装卸场尘和风蚀扬尘。颗粒物产生量公式如下：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Cs/>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Cs/>
                <w:color w:val="000000" w:themeColor="text1"/>
                <w:sz w:val="24"/>
                <w:szCs w:val="24"/>
                <w:lang w:val="en-US" w:eastAsia="zh-CN"/>
                <w14:textFill>
                  <w14:solidFill>
                    <w14:schemeClr w14:val="tx1"/>
                  </w14:solidFill>
                </w14:textFill>
              </w:rPr>
              <w:t>P=ZC</w:t>
            </w:r>
            <w:r>
              <w:rPr>
                <w:rFonts w:hint="default" w:ascii="Times New Roman" w:hAnsi="Times New Roman" w:eastAsia="仿宋_GB2312" w:cs="Times New Roman"/>
                <w:bCs/>
                <w:color w:val="000000" w:themeColor="text1"/>
                <w:sz w:val="24"/>
                <w:szCs w:val="24"/>
                <w:vertAlign w:val="subscript"/>
                <w:lang w:val="en-US" w:eastAsia="zh-CN"/>
                <w14:textFill>
                  <w14:solidFill>
                    <w14:schemeClr w14:val="tx1"/>
                  </w14:solidFill>
                </w14:textFill>
              </w:rPr>
              <w:t>y</w:t>
            </w:r>
            <w:r>
              <w:rPr>
                <w:rFonts w:hint="default" w:ascii="Times New Roman" w:hAnsi="Times New Roman" w:eastAsia="仿宋_GB2312" w:cs="Times New Roman"/>
                <w:bCs/>
                <w:color w:val="000000" w:themeColor="text1"/>
                <w:sz w:val="24"/>
                <w:szCs w:val="24"/>
                <w:lang w:val="en-US" w:eastAsia="zh-CN"/>
                <w14:textFill>
                  <w14:solidFill>
                    <w14:schemeClr w14:val="tx1"/>
                  </w14:solidFill>
                </w14:textFill>
              </w:rPr>
              <w:t>+FC</w:t>
            </w:r>
            <w:r>
              <w:rPr>
                <w:rFonts w:hint="default" w:ascii="Times New Roman" w:hAnsi="Times New Roman" w:eastAsia="仿宋_GB2312" w:cs="Times New Roman"/>
                <w:bCs/>
                <w:color w:val="000000" w:themeColor="text1"/>
                <w:sz w:val="24"/>
                <w:szCs w:val="24"/>
                <w:vertAlign w:val="subscript"/>
                <w:lang w:val="en-US" w:eastAsia="zh-CN"/>
                <w14:textFill>
                  <w14:solidFill>
                    <w14:schemeClr w14:val="tx1"/>
                  </w14:solidFill>
                </w14:textFill>
              </w:rPr>
              <w:t>y</w:t>
            </w:r>
            <w:r>
              <w:rPr>
                <w:rFonts w:hint="default" w:ascii="Times New Roman" w:hAnsi="Times New Roman" w:eastAsia="仿宋_GB2312" w:cs="Times New Roman"/>
                <w:bCs/>
                <w:color w:val="000000" w:themeColor="text1"/>
                <w:sz w:val="24"/>
                <w:szCs w:val="24"/>
                <w:lang w:val="en-US" w:eastAsia="zh-CN"/>
                <w14:textFill>
                  <w14:solidFill>
                    <w14:schemeClr w14:val="tx1"/>
                  </w14:solidFill>
                </w14:textFill>
              </w:rPr>
              <w:t>={N</w:t>
            </w:r>
            <w:r>
              <w:rPr>
                <w:rFonts w:hint="default" w:ascii="Times New Roman" w:hAnsi="Times New Roman" w:eastAsia="仿宋_GB2312" w:cs="Times New Roman"/>
                <w:bCs/>
                <w:color w:val="000000" w:themeColor="text1"/>
                <w:sz w:val="24"/>
                <w:szCs w:val="24"/>
                <w:vertAlign w:val="subscript"/>
                <w:lang w:val="en-US" w:eastAsia="zh-CN"/>
                <w14:textFill>
                  <w14:solidFill>
                    <w14:schemeClr w14:val="tx1"/>
                  </w14:solidFill>
                </w14:textFill>
              </w:rPr>
              <w:t>C</w:t>
            </w:r>
            <w:r>
              <w:rPr>
                <w:rFonts w:hint="default" w:ascii="Times New Roman" w:hAnsi="Times New Roman" w:eastAsia="仿宋_GB2312" w:cs="Times New Roman"/>
                <w:bCs/>
                <w:color w:val="000000" w:themeColor="text1"/>
                <w:sz w:val="24"/>
                <w:szCs w:val="24"/>
                <w:lang w:val="en-US" w:eastAsia="zh-CN"/>
                <w14:textFill>
                  <w14:solidFill>
                    <w14:schemeClr w14:val="tx1"/>
                  </w14:solidFill>
                </w14:textFill>
              </w:rPr>
              <w:t>×D×（a/b）+2×E</w:t>
            </w:r>
            <w:r>
              <w:rPr>
                <w:rFonts w:hint="default" w:ascii="Times New Roman" w:hAnsi="Times New Roman" w:eastAsia="仿宋_GB2312" w:cs="Times New Roman"/>
                <w:bCs/>
                <w:color w:val="000000" w:themeColor="text1"/>
                <w:sz w:val="24"/>
                <w:szCs w:val="24"/>
                <w:vertAlign w:val="subscript"/>
                <w:lang w:val="en-US" w:eastAsia="zh-CN"/>
                <w14:textFill>
                  <w14:solidFill>
                    <w14:schemeClr w14:val="tx1"/>
                  </w14:solidFill>
                </w14:textFill>
              </w:rPr>
              <w:t>f</w:t>
            </w:r>
            <w:r>
              <w:rPr>
                <w:rFonts w:hint="default" w:ascii="Times New Roman" w:hAnsi="Times New Roman" w:eastAsia="仿宋_GB2312" w:cs="Times New Roman"/>
                <w:bCs/>
                <w:color w:val="000000" w:themeColor="text1"/>
                <w:sz w:val="24"/>
                <w:szCs w:val="24"/>
                <w:lang w:val="en-US" w:eastAsia="zh-CN"/>
                <w14:textFill>
                  <w14:solidFill>
                    <w14:schemeClr w14:val="tx1"/>
                  </w14:solidFill>
                </w14:textFill>
              </w:rPr>
              <w:t>×S}×10</w:t>
            </w:r>
            <w:r>
              <w:rPr>
                <w:rFonts w:hint="default" w:ascii="Times New Roman" w:hAnsi="Times New Roman" w:eastAsia="仿宋_GB2312" w:cs="Times New Roman"/>
                <w:bCs/>
                <w:color w:val="000000" w:themeColor="text1"/>
                <w:sz w:val="24"/>
                <w:szCs w:val="24"/>
                <w:vertAlign w:val="superscript"/>
                <w:lang w:val="en-US" w:eastAsia="zh-CN"/>
                <w14:textFill>
                  <w14:solidFill>
                    <w14:schemeClr w14:val="tx1"/>
                  </w14:solidFill>
                </w14:textFill>
              </w:rPr>
              <w:t>-3</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式中：P指颗粒物产生量（单位：吨）；</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ZCy指装卸扬尘产生量（单位：吨）；</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FCy指风蚀扬尘产生量（单位：吨）；</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Nc指年物料运载车次（单位：车）</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本项目取</w:t>
            </w:r>
            <w:r>
              <w:rPr>
                <w:rFonts w:hint="eastAsia" w:eastAsia="仿宋_GB2312" w:cs="Times New Roman"/>
                <w:color w:val="000000" w:themeColor="text1"/>
                <w:sz w:val="24"/>
                <w:szCs w:val="24"/>
                <w:lang w:val="en-US" w:eastAsia="zh-CN"/>
                <w14:textFill>
                  <w14:solidFill>
                    <w14:schemeClr w14:val="tx1"/>
                  </w14:solidFill>
                </w14:textFill>
              </w:rPr>
              <w:t>10715</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车</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D指单车平均运载量（单位：吨/车）</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，本项目取14t</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(a/b)指装卸扬尘概化系数（单位：千克/吨），a指各省风速概化系数=0.0015，b指物料含水率概化系数，块矿b=0.00</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4；</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Ef指堆场风蚀扬尘概化系数，按块矿Ef=0（单位：千克/平方米）；</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S指堆场占地面积（单位：平方米）</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，本项目取300</w:t>
            </w:r>
            <w:r>
              <w:rPr>
                <w:rFonts w:hint="eastAsia" w:eastAsia="仿宋_GB2312" w:cs="Times New Roman"/>
                <w:color w:val="000000" w:themeColor="text1"/>
                <w:sz w:val="24"/>
                <w:szCs w:val="24"/>
                <w:lang w:val="en-US" w:eastAsia="zh-CN"/>
                <w14:textFill>
                  <w14:solidFill>
                    <w14:schemeClr w14:val="tx1"/>
                  </w14:solidFill>
                </w14:textFill>
              </w:rPr>
              <w:t>0</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m</w:t>
            </w:r>
            <w:r>
              <w:rPr>
                <w:rFonts w:hint="eastAsia" w:ascii="Times New Roman" w:hAnsi="Times New Roman" w:eastAsia="仿宋_GB2312"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经公式计算得，本项目</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建筑</w:t>
            </w:r>
            <w:r>
              <w:rPr>
                <w:rFonts w:hint="eastAsia" w:eastAsia="仿宋_GB2312" w:cs="Times New Roman"/>
                <w:color w:val="000000" w:themeColor="text1"/>
                <w:sz w:val="24"/>
                <w:szCs w:val="24"/>
                <w:lang w:val="en-US" w:eastAsia="zh-CN"/>
                <w14:textFill>
                  <w14:solidFill>
                    <w14:schemeClr w14:val="tx1"/>
                  </w14:solidFill>
                </w14:textFill>
              </w:rPr>
              <w:t>垃圾原料堆场</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颗粒物产生量为</w:t>
            </w:r>
            <w:r>
              <w:rPr>
                <w:rFonts w:hint="eastAsia" w:cs="Times New Roman"/>
                <w:color w:val="000000" w:themeColor="text1"/>
                <w:sz w:val="24"/>
                <w:szCs w:val="24"/>
                <w:lang w:val="en-US" w:eastAsia="zh-CN"/>
                <w14:textFill>
                  <w14:solidFill>
                    <w14:schemeClr w14:val="tx1"/>
                  </w14:solidFill>
                </w14:textFill>
              </w:rPr>
              <w:t>30.41</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t/a。</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颗粒物排放量核算公式如下：</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Uc=P×(1-Cm)×(1-Tm)</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式中：P指颗粒物产生量（单位：吨）；</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U</w:t>
            </w:r>
            <w:r>
              <w:rPr>
                <w:rFonts w:hint="default" w:ascii="Times New Roman" w:hAnsi="Times New Roman" w:eastAsia="仿宋_GB2312" w:cs="Times New Roman"/>
                <w:color w:val="000000" w:themeColor="text1"/>
                <w:sz w:val="24"/>
                <w:szCs w:val="24"/>
                <w:vertAlign w:val="subscript"/>
                <w:lang w:val="en-US" w:eastAsia="zh-CN"/>
                <w14:textFill>
                  <w14:solidFill>
                    <w14:schemeClr w14:val="tx1"/>
                  </w14:solidFill>
                </w14:textFill>
              </w:rPr>
              <w:t>C</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指颗粒物排放量（单位：吨）；</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Cm指颗粒物控制措施控制效率（单位：%）</w:t>
            </w:r>
            <w:r>
              <w:rPr>
                <w:rFonts w:hint="eastAsia" w:cs="Times New Roman"/>
                <w:color w:val="000000" w:themeColor="text1"/>
                <w:sz w:val="24"/>
                <w:szCs w:val="24"/>
                <w:lang w:val="en-US" w:eastAsia="zh-CN"/>
                <w14:textFill>
                  <w14:solidFill>
                    <w14:schemeClr w14:val="tx1"/>
                  </w14:solidFill>
                </w14:textFill>
              </w:rPr>
              <w:t>。</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表4-</w:t>
            </w:r>
            <w:r>
              <w:rPr>
                <w:rFonts w:hint="eastAsia" w:ascii="Times New Roman" w:hAnsi="Times New Roman" w:eastAsia="宋体" w:cs="Times New Roman"/>
                <w:color w:val="auto"/>
                <w:kern w:val="0"/>
                <w:sz w:val="21"/>
                <w:szCs w:val="21"/>
                <w:highlight w:val="none"/>
                <w:lang w:val="en-US" w:eastAsia="zh-CN" w:bidi="ar-SA"/>
              </w:rPr>
              <w:t>2</w:t>
            </w:r>
            <w:r>
              <w:rPr>
                <w:rFonts w:hint="eastAsia" w:ascii="宋体" w:hAnsi="宋体" w:eastAsia="宋体" w:cs="宋体"/>
                <w:color w:val="auto"/>
                <w:sz w:val="24"/>
                <w:szCs w:val="24"/>
                <w:lang w:val="en-US" w:eastAsia="zh-CN"/>
              </w:rPr>
              <w:t xml:space="preserve"> </w:t>
            </w:r>
            <w:r>
              <w:rPr>
                <w:rFonts w:hint="eastAsia" w:ascii="宋体" w:hAnsi="宋体" w:eastAsia="宋体" w:cs="宋体"/>
                <w:b/>
                <w:bCs/>
                <w:color w:val="auto"/>
                <w:sz w:val="24"/>
                <w:szCs w:val="24"/>
                <w:lang w:val="en-US" w:eastAsia="zh-CN"/>
              </w:rPr>
              <w:t xml:space="preserve">  </w:t>
            </w:r>
            <w:r>
              <w:rPr>
                <w:rFonts w:hint="eastAsia" w:ascii="Times New Roman" w:hAnsi="Times New Roman" w:eastAsia="宋体" w:cs="Times New Roman"/>
                <w:b/>
                <w:bCs/>
                <w:color w:val="auto"/>
                <w:kern w:val="0"/>
                <w:sz w:val="24"/>
                <w:szCs w:val="24"/>
                <w:highlight w:val="none"/>
                <w:lang w:val="en-US" w:eastAsia="zh-CN" w:bidi="ar-SA"/>
              </w:rPr>
              <w:t>粉尘控制措施控制效率</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99"/>
              <w:gridCol w:w="5864"/>
              <w:gridCol w:w="4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序号</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控制措施</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控制效率%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洒水</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围挡</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化学剂</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编制覆盖</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出入车辆冲洗</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78</w:t>
                  </w:r>
                </w:p>
              </w:tc>
            </w:tr>
          </w:tbl>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Tm指堆场类型控制效率（单位：%）。</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表4-</w:t>
            </w:r>
            <w:r>
              <w:rPr>
                <w:rFonts w:hint="eastAsia" w:ascii="Times New Roman" w:hAnsi="Times New Roman" w:eastAsia="宋体" w:cs="Times New Roman"/>
                <w:color w:val="auto"/>
                <w:kern w:val="0"/>
                <w:sz w:val="21"/>
                <w:szCs w:val="21"/>
                <w:highlight w:val="none"/>
                <w:lang w:val="en-US" w:eastAsia="zh-CN" w:bidi="ar-SA"/>
              </w:rPr>
              <w:t>3</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bCs/>
                <w:color w:val="auto"/>
                <w:kern w:val="0"/>
                <w:sz w:val="24"/>
                <w:szCs w:val="24"/>
                <w:highlight w:val="none"/>
                <w:lang w:val="en-US" w:eastAsia="zh-CN" w:bidi="ar-SA"/>
              </w:rPr>
              <w:t>堆场类型控制效率</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99"/>
              <w:gridCol w:w="5864"/>
              <w:gridCol w:w="4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序号</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堆场类型</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控制效率%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敞开式</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密闭式</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3644"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半敞开式</w:t>
                  </w:r>
                </w:p>
              </w:tc>
              <w:tc>
                <w:tcPr>
                  <w:tcW w:w="2692"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60</w:t>
                  </w:r>
                </w:p>
              </w:tc>
            </w:tr>
          </w:tbl>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建筑垃圾原料堆放于室外原料堆场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项目</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建筑垃圾原料</w:t>
            </w:r>
            <w:r>
              <w:rPr>
                <w:rFonts w:hint="eastAsia" w:eastAsia="仿宋_GB2312" w:cs="Times New Roman"/>
                <w:color w:val="000000" w:themeColor="text1"/>
                <w:sz w:val="24"/>
                <w:szCs w:val="24"/>
                <w:lang w:val="en-US" w:eastAsia="zh-CN"/>
                <w14:textFill>
                  <w14:solidFill>
                    <w14:schemeClr w14:val="tx1"/>
                  </w14:solidFill>
                </w14:textFill>
              </w:rPr>
              <w:t>堆场</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卸料环节过程设置</w:t>
            </w:r>
            <w:r>
              <w:rPr>
                <w:rFonts w:hint="eastAsia" w:eastAsia="仿宋_GB2312" w:cs="Times New Roman"/>
                <w:color w:val="000000" w:themeColor="text1"/>
                <w:sz w:val="24"/>
                <w:szCs w:val="24"/>
                <w:lang w:val="en-US" w:eastAsia="zh-CN"/>
                <w14:textFill>
                  <w14:solidFill>
                    <w14:schemeClr w14:val="tx1"/>
                  </w14:solidFill>
                </w14:textFill>
              </w:rPr>
              <w:t>于室外，</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平时用</w:t>
            </w:r>
            <w:r>
              <w:rPr>
                <w:rFonts w:hint="eastAsia" w:ascii="Times New Roman" w:hAnsi="Times New Roman" w:eastAsia="仿宋_GB2312" w:cs="Times New Roman"/>
                <w:color w:val="000000" w:themeColor="text1"/>
                <w:sz w:val="24"/>
                <w:szCs w:val="24"/>
                <w:vertAlign w:val="baseline"/>
                <w:lang w:val="en-US" w:eastAsia="zh-CN"/>
                <w14:textFill>
                  <w14:solidFill>
                    <w14:schemeClr w14:val="tx1"/>
                  </w14:solidFill>
                </w14:textFill>
              </w:rPr>
              <w:t>编制覆盖及洒水措施</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，避免扬尘飞起</w:t>
            </w:r>
            <w:r>
              <w:rPr>
                <w:rFonts w:hint="eastAsia" w:eastAsia="仿宋_GB2312" w:cs="Times New Roman"/>
                <w:color w:val="000000" w:themeColor="text1"/>
                <w:sz w:val="24"/>
                <w:szCs w:val="24"/>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由表4-1、4-2可得Cm=86%，Tm=</w:t>
            </w:r>
            <w:r>
              <w:rPr>
                <w:rFonts w:hint="eastAsia" w:eastAsia="仿宋_GB2312" w:cs="Times New Roman"/>
                <w:color w:val="000000" w:themeColor="text1"/>
                <w:sz w:val="24"/>
                <w:szCs w:val="24"/>
                <w:lang w:val="en-US" w:eastAsia="zh-CN"/>
                <w14:textFill>
                  <w14:solidFill>
                    <w14:schemeClr w14:val="tx1"/>
                  </w14:solidFill>
                </w14:textFill>
              </w:rPr>
              <w:t>0</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w:t>
            </w:r>
          </w:p>
          <w:p>
            <w:pPr>
              <w:pStyle w:val="49"/>
              <w:keepNext w:val="0"/>
              <w:keepLines w:val="0"/>
              <w:widowControl w:val="0"/>
              <w:suppressLineNumbers w:val="0"/>
              <w:adjustRightInd w:val="0"/>
              <w:snapToGrid w:val="0"/>
              <w:spacing w:before="0" w:beforeAutospacing="0" w:after="0" w:afterAutospacing="0" w:line="360" w:lineRule="auto"/>
              <w:ind w:left="0" w:right="0"/>
              <w:jc w:val="both"/>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经公式计算得，本项目接收区粉尘无组织排放量为</w:t>
            </w:r>
            <w:r>
              <w:rPr>
                <w:rFonts w:hint="eastAsia" w:eastAsia="仿宋_GB2312" w:cs="Times New Roman"/>
                <w:color w:val="000000" w:themeColor="text1"/>
                <w:sz w:val="24"/>
                <w:szCs w:val="24"/>
                <w:lang w:val="en-US" w:eastAsia="zh-CN"/>
                <w14:textFill>
                  <w14:solidFill>
                    <w14:schemeClr w14:val="tx1"/>
                  </w14:solidFill>
                </w14:textFill>
              </w:rPr>
              <w:t>4.26</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t/a。</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建筑垃圾原料</w:t>
            </w:r>
            <w:r>
              <w:rPr>
                <w:rFonts w:hint="eastAsia" w:eastAsia="仿宋_GB2312" w:cs="Times New Roman"/>
                <w:color w:val="000000" w:themeColor="text1"/>
                <w:sz w:val="24"/>
                <w:szCs w:val="24"/>
                <w:lang w:val="en-US" w:eastAsia="zh-CN"/>
                <w14:textFill>
                  <w14:solidFill>
                    <w14:schemeClr w14:val="tx1"/>
                  </w14:solidFill>
                </w14:textFill>
              </w:rPr>
              <w:t>堆场</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卸料环节设置</w:t>
            </w:r>
            <w:r>
              <w:rPr>
                <w:rFonts w:hint="eastAsia" w:ascii="Times New Roman" w:hAnsi="Times New Roman" w:eastAsia="仿宋_GB2312" w:cs="Times New Roman"/>
                <w:color w:val="auto"/>
                <w:sz w:val="24"/>
                <w:szCs w:val="24"/>
                <w:highlight w:val="none"/>
                <w:lang w:val="en-US" w:eastAsia="zh-CN"/>
              </w:rPr>
              <w:t>雾炮环保系统</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用来在</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建筑垃圾原料</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卸车</w:t>
            </w:r>
            <w:r>
              <w:rPr>
                <w:rFonts w:hint="eastAsia" w:eastAsia="仿宋_GB2312" w:cs="Times New Roman"/>
                <w:color w:val="000000" w:themeColor="text1"/>
                <w:sz w:val="24"/>
                <w:szCs w:val="24"/>
                <w:lang w:val="en-US" w:eastAsia="zh-CN"/>
                <w14:textFill>
                  <w14:solidFill>
                    <w14:schemeClr w14:val="tx1"/>
                  </w14:solidFill>
                </w14:textFill>
              </w:rPr>
              <w:t>时使用</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，达到降尘的目的。</w:t>
            </w:r>
          </w:p>
          <w:p>
            <w:pPr>
              <w:pStyle w:val="49"/>
              <w:keepNext w:val="0"/>
              <w:keepLines w:val="0"/>
              <w:suppressLineNumbers w:val="0"/>
              <w:overflowPunct/>
              <w:spacing w:before="0" w:beforeAutospacing="0" w:after="0" w:afterAutospacing="0" w:line="360" w:lineRule="auto"/>
              <w:ind w:left="0" w:right="0"/>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③</w:t>
            </w:r>
            <w:r>
              <w:rPr>
                <w:rFonts w:hint="eastAsia" w:eastAsia="仿宋_GB2312" w:cs="Times New Roman"/>
                <w:color w:val="auto"/>
                <w:sz w:val="24"/>
                <w:szCs w:val="24"/>
                <w:highlight w:val="none"/>
                <w:lang w:val="en-US" w:eastAsia="zh-CN"/>
              </w:rPr>
              <w:t>再生产品堆场装卸粉尘</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产生量</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（G3）</w:t>
            </w:r>
          </w:p>
          <w:p>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根据骨料及混凝土装卸过程中产生粉尘，参照《污染源源强核算技术指南准则》（</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HJ884-2018</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）要求，本次源强核算采用产排污系数法。</w:t>
            </w:r>
            <w:r>
              <w:rPr>
                <w:rFonts w:hint="eastAsia" w:eastAsia="仿宋_GB2312" w:cs="Times New Roman"/>
                <w:color w:val="auto"/>
                <w:sz w:val="24"/>
                <w:szCs w:val="24"/>
                <w:highlight w:val="none"/>
                <w:lang w:val="en-US" w:eastAsia="zh-CN"/>
              </w:rPr>
              <w:t>再生产品堆场</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装卸过程扬尘排放系数参考《扬尘源颗粒物排放清单编制技术指南（试行）》（环境保护部公告</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2014</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年第</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24</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号）。</w:t>
            </w:r>
          </w:p>
          <w:p>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m:oMathPara>
              <m:oMath>
                <m:sSub>
                  <m:sSubPr>
                    <m:ctrlPr>
                      <w:rPr>
                        <w:rFonts w:hint="default" w:ascii="Cambria Math" w:hAnsi="Cambria Math" w:eastAsia="仿宋_GB2312" w:cs="Times New Roman"/>
                        <w:b w:val="0"/>
                        <w:bCs w:val="0"/>
                        <w:i/>
                        <w:color w:val="000000" w:themeColor="text1"/>
                        <w:kern w:val="16"/>
                        <w:sz w:val="24"/>
                        <w:szCs w:val="24"/>
                        <w:highlight w:val="none"/>
                        <w:lang w:val="en-US" w:eastAsia="zh-CN" w:bidi="ar-SA"/>
                        <w14:textFill>
                          <w14:solidFill>
                            <w14:schemeClr w14:val="tx1"/>
                          </w14:solidFill>
                        </w14:textFill>
                      </w:rPr>
                    </m:ctrlPr>
                  </m:sSubPr>
                  <m:e>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E</m:t>
                    </m:r>
                    <m:ctrlPr>
                      <w:rPr>
                        <w:rFonts w:hint="default" w:ascii="Cambria Math" w:hAnsi="Cambria Math" w:eastAsia="仿宋_GB2312" w:cs="Times New Roman"/>
                        <w:b w:val="0"/>
                        <w:bCs w:val="0"/>
                        <w:i/>
                        <w:color w:val="000000" w:themeColor="text1"/>
                        <w:kern w:val="16"/>
                        <w:sz w:val="24"/>
                        <w:szCs w:val="24"/>
                        <w:highlight w:val="none"/>
                        <w:lang w:val="en-US" w:eastAsia="zh-CN" w:bidi="ar-SA"/>
                        <w14:textFill>
                          <w14:solidFill>
                            <w14:schemeClr w14:val="tx1"/>
                          </w14:solidFill>
                        </w14:textFill>
                      </w:rPr>
                    </m:ctrlPr>
                  </m:e>
                  <m:sub>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ℎ</m:t>
                    </m:r>
                    <m:ctrlPr>
                      <w:rPr>
                        <w:rFonts w:hint="default" w:ascii="Cambria Math" w:hAnsi="Cambria Math" w:eastAsia="仿宋_GB2312" w:cs="Times New Roman"/>
                        <w:b w:val="0"/>
                        <w:bCs w:val="0"/>
                        <w:i/>
                        <w:color w:val="000000" w:themeColor="text1"/>
                        <w:kern w:val="16"/>
                        <w:sz w:val="24"/>
                        <w:szCs w:val="24"/>
                        <w:highlight w:val="none"/>
                        <w:lang w:val="en-US" w:eastAsia="zh-CN" w:bidi="ar-SA"/>
                        <w14:textFill>
                          <w14:solidFill>
                            <w14:schemeClr w14:val="tx1"/>
                          </w14:solidFill>
                        </w14:textFill>
                      </w:rPr>
                    </m:ctrlPr>
                  </m:sub>
                </m:sSub>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m:t>
                </m:r>
                <m:sSub>
                  <m:sSubPr>
                    <m:ctrlPr>
                      <w:rPr>
                        <w:rFonts w:hint="default" w:ascii="Cambria Math" w:hAnsi="Cambria Math" w:eastAsia="仿宋_GB2312" w:cs="Times New Roman"/>
                        <w:b w:val="0"/>
                        <w:bCs w:val="0"/>
                        <w:i/>
                        <w:color w:val="000000" w:themeColor="text1"/>
                        <w:kern w:val="16"/>
                        <w:sz w:val="24"/>
                        <w:szCs w:val="24"/>
                        <w:highlight w:val="none"/>
                        <w:lang w:val="en-US" w:eastAsia="zh-CN" w:bidi="ar-SA"/>
                        <w14:textFill>
                          <w14:solidFill>
                            <w14:schemeClr w14:val="tx1"/>
                          </w14:solidFill>
                        </w14:textFill>
                      </w:rPr>
                    </m:ctrlPr>
                  </m:sSubPr>
                  <m:e>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k</m:t>
                    </m:r>
                    <m:ctrlPr>
                      <w:rPr>
                        <w:rFonts w:hint="default" w:ascii="Cambria Math" w:hAnsi="Cambria Math" w:eastAsia="仿宋_GB2312" w:cs="Times New Roman"/>
                        <w:b w:val="0"/>
                        <w:bCs w:val="0"/>
                        <w:i/>
                        <w:color w:val="000000" w:themeColor="text1"/>
                        <w:kern w:val="16"/>
                        <w:sz w:val="24"/>
                        <w:szCs w:val="24"/>
                        <w:highlight w:val="none"/>
                        <w:lang w:val="en-US" w:eastAsia="zh-CN" w:bidi="ar-SA"/>
                        <w14:textFill>
                          <w14:solidFill>
                            <w14:schemeClr w14:val="tx1"/>
                          </w14:solidFill>
                        </w14:textFill>
                      </w:rPr>
                    </m:ctrlPr>
                  </m:e>
                  <m:sub>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i</m:t>
                    </m:r>
                    <m:ctrlPr>
                      <w:rPr>
                        <w:rFonts w:hint="default" w:ascii="Cambria Math" w:hAnsi="Cambria Math" w:eastAsia="仿宋_GB2312" w:cs="Times New Roman"/>
                        <w:b w:val="0"/>
                        <w:bCs w:val="0"/>
                        <w:i/>
                        <w:color w:val="000000" w:themeColor="text1"/>
                        <w:kern w:val="16"/>
                        <w:sz w:val="24"/>
                        <w:szCs w:val="24"/>
                        <w:highlight w:val="none"/>
                        <w:lang w:val="en-US" w:eastAsia="zh-CN" w:bidi="ar-SA"/>
                        <w14:textFill>
                          <w14:solidFill>
                            <w14:schemeClr w14:val="tx1"/>
                          </w14:solidFill>
                        </w14:textFill>
                      </w:rPr>
                    </m:ctrlPr>
                  </m:sub>
                </m:sSub>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r>
                  <m:rPr/>
                  <w:rPr>
                    <w:rFonts w:hint="default" w:ascii="Cambria Math" w:hAnsi="Cambria Math" w:eastAsia="仿宋_GB2312" w:cs="Times New Roman"/>
                    <w:color w:val="000000" w:themeColor="text1"/>
                    <w:kern w:val="16"/>
                    <w:sz w:val="24"/>
                    <w:szCs w:val="24"/>
                    <w:highlight w:val="none"/>
                    <w:lang w:val="en-US" w:eastAsia="zh-CN" w:bidi="ar-SA"/>
                    <w14:textFill>
                      <w14:solidFill>
                        <w14:schemeClr w14:val="tx1"/>
                      </w14:solidFill>
                    </w14:textFill>
                  </w:rPr>
                  <m:t>0.0016</m:t>
                </m:r>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f>
                  <m:fP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fPr>
                  <m:num>
                    <m:sSup>
                      <m:sSupP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sSupPr>
                      <m:e>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f>
                          <m:fPr>
                            <m:ctrlPr>
                              <w:rPr>
                                <w:rFonts w:hint="eastAsia"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fPr>
                          <m:num>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u</m:t>
                            </m:r>
                            <m:ctrlPr>
                              <w:rPr>
                                <w:rFonts w:hint="eastAsia"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num>
                          <m:den>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2.2</m:t>
                            </m:r>
                            <m:ctrlPr>
                              <w:rPr>
                                <w:rFonts w:hint="eastAsia"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den>
                        </m:f>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e>
                      <m:sup>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1.3</m:t>
                        </m: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sup>
                    </m:sSup>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num>
                  <m:den>
                    <m:sSup>
                      <m:sSupP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sSupPr>
                      <m:e>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f>
                          <m:fP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fPr>
                          <m:num>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m:t>
                            </m: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num>
                          <m:den>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2</m:t>
                            </m: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den>
                        </m:f>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e>
                      <m:sup>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1.4</m:t>
                        </m:r>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sup>
                    </m:sSup>
                    <m:ctrlPr>
                      <w:rPr>
                        <w:rFonts w:hint="default" w:ascii="Cambria Math" w:hAnsi="Cambria Math" w:eastAsia="仿宋_GB2312" w:cs="Arial"/>
                        <w:i/>
                        <w:color w:val="000000" w:themeColor="text1"/>
                        <w:kern w:val="16"/>
                        <w:sz w:val="24"/>
                        <w:szCs w:val="24"/>
                        <w:highlight w:val="none"/>
                        <w:lang w:val="en-US" w:eastAsia="zh-CN" w:bidi="ar-SA"/>
                        <w14:textFill>
                          <w14:solidFill>
                            <w14:schemeClr w14:val="tx1"/>
                          </w14:solidFill>
                        </w14:textFill>
                      </w:rPr>
                    </m:ctrlPr>
                  </m:den>
                </m:f>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×(1−</m:t>
                </m:r>
                <m:r>
                  <m:rPr>
                    <m:sty m:val="p"/>
                  </m:rPr>
                  <w:rPr>
                    <w:rFonts w:hint="default" w:ascii="Times New Roman" w:hAnsi="Times New Roman" w:eastAsia="仿宋_GB2312" w:cs="Times New Roman"/>
                    <w:color w:val="000000" w:themeColor="text1"/>
                    <w:kern w:val="16"/>
                    <w:sz w:val="24"/>
                    <w:szCs w:val="24"/>
                    <w:highlight w:val="none"/>
                    <w:lang w:val="en-US" w:eastAsia="zh-CN" w:bidi="ar-SA"/>
                    <w14:textFill>
                      <w14:solidFill>
                        <w14:schemeClr w14:val="tx1"/>
                      </w14:solidFill>
                    </w14:textFill>
                  </w:rPr>
                  <m:t>η</m:t>
                </m:r>
                <m:r>
                  <m:rPr/>
                  <w:rPr>
                    <w:rFonts w:hint="default" w:ascii="Cambria Math" w:hAnsi="Cambria Math" w:eastAsia="仿宋_GB2312" w:cs="Arial"/>
                    <w:color w:val="000000" w:themeColor="text1"/>
                    <w:kern w:val="16"/>
                    <w:sz w:val="24"/>
                    <w:szCs w:val="24"/>
                    <w:highlight w:val="none"/>
                    <w:lang w:val="en-US" w:eastAsia="zh-CN" w:bidi="ar-SA"/>
                    <w14:textFill>
                      <w14:solidFill>
                        <w14:schemeClr w14:val="tx1"/>
                      </w14:solidFill>
                    </w14:textFill>
                  </w:rPr>
                  <m:t>)</m:t>
                </m:r>
              </m:oMath>
            </m:oMathPara>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式中：</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E</w:t>
            </w:r>
            <w:r>
              <w:rPr>
                <w:rFonts w:hint="default" w:ascii="Times New Roman" w:hAnsi="Times New Roman" w:eastAsia="仿宋_GB2312" w:cs="Times New Roman"/>
                <w:b w:val="0"/>
                <w:bCs w:val="0"/>
                <w:color w:val="000000" w:themeColor="text1"/>
                <w:kern w:val="16"/>
                <w:sz w:val="24"/>
                <w:szCs w:val="24"/>
                <w:highlight w:val="none"/>
                <w:vertAlign w:val="subscript"/>
                <w:lang w:val="en-US" w:eastAsia="zh-CN" w:bidi="ar-SA"/>
                <w14:textFill>
                  <w14:solidFill>
                    <w14:schemeClr w14:val="tx1"/>
                  </w14:solidFill>
                </w14:textFill>
              </w:rPr>
              <w:t>h</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堆场装卸扬尘的排放系数，</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kg/t</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p>
          <w:p>
            <w:pPr>
              <w:keepNext w:val="0"/>
              <w:keepLines w:val="0"/>
              <w:widowControl/>
              <w:suppressLineNumbers w:val="0"/>
              <w:spacing w:before="0" w:beforeAutospacing="0" w:after="0" w:afterAutospacing="0" w:line="360" w:lineRule="auto"/>
              <w:ind w:left="0" w:right="0" w:firstLine="1200" w:firstLineChars="500"/>
              <w:jc w:val="left"/>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ki——</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 xml:space="preserve">物料的粒度乘数； </w:t>
            </w:r>
          </w:p>
          <w:p>
            <w:pPr>
              <w:keepNext w:val="0"/>
              <w:keepLines w:val="0"/>
              <w:widowControl/>
              <w:suppressLineNumbers w:val="0"/>
              <w:spacing w:before="0" w:beforeAutospacing="0" w:after="0" w:afterAutospacing="0" w:line="360" w:lineRule="auto"/>
              <w:ind w:left="0" w:right="0" w:firstLine="1200" w:firstLineChars="500"/>
              <w:jc w:val="left"/>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u——</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地面平均风速，</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m/s</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 xml:space="preserve">； </w:t>
            </w:r>
          </w:p>
          <w:p>
            <w:pPr>
              <w:keepNext w:val="0"/>
              <w:keepLines w:val="0"/>
              <w:widowControl/>
              <w:suppressLineNumbers w:val="0"/>
              <w:spacing w:before="0" w:beforeAutospacing="0" w:after="0" w:afterAutospacing="0" w:line="360" w:lineRule="auto"/>
              <w:ind w:left="0" w:right="0" w:firstLine="1200" w:firstLineChars="500"/>
              <w:jc w:val="left"/>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物料含水量，</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 xml:space="preserve">； </w:t>
            </w:r>
          </w:p>
          <w:p>
            <w:pPr>
              <w:keepNext w:val="0"/>
              <w:keepLines w:val="0"/>
              <w:widowControl/>
              <w:suppressLineNumbers w:val="0"/>
              <w:spacing w:before="0" w:beforeAutospacing="0" w:after="0" w:afterAutospacing="0" w:line="360" w:lineRule="auto"/>
              <w:ind w:left="0" w:right="0" w:firstLine="1200" w:firstLineChars="500"/>
              <w:jc w:val="left"/>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η——</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污染控制技术对扬尘的去除效率，</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 xml:space="preserve">% </w:t>
            </w:r>
          </w:p>
          <w:p>
            <w:pPr>
              <w:keepNext w:val="0"/>
              <w:keepLines w:val="0"/>
              <w:widowControl/>
              <w:suppressLineNumbers w:val="0"/>
              <w:spacing w:before="0" w:beforeAutospacing="0" w:after="0" w:afterAutospacing="0" w:line="360" w:lineRule="auto"/>
              <w:ind w:left="0" w:right="0" w:firstLine="480" w:firstLineChars="200"/>
              <w:jc w:val="left"/>
              <w:rPr>
                <w:rFonts w:eastAsia="黑体" w:cs="Times New Roman"/>
                <w:color w:val="000000"/>
                <w:sz w:val="24"/>
                <w:szCs w:val="24"/>
                <w:lang w:bidi="ar"/>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本项目建筑垃圾再生骨料装卸扬尘相关计算参数见表</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4-</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4。</w:t>
            </w:r>
          </w:p>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表4-</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w:t>
            </w:r>
            <w:r>
              <w:rPr>
                <w:rFonts w:eastAsia="黑体" w:cs="Times New Roman"/>
                <w:color w:val="000000" w:themeColor="text1"/>
                <w:sz w:val="24"/>
                <w:szCs w:val="24"/>
                <w:lang w:bidi="ar"/>
                <w14:textFill>
                  <w14:solidFill>
                    <w14:schemeClr w14:val="tx1"/>
                  </w14:solidFill>
                </w14:textFill>
              </w:rPr>
              <w:t xml:space="preserve"> </w:t>
            </w:r>
            <w:r>
              <w:rPr>
                <w:rFonts w:hint="eastAsia" w:eastAsia="黑体" w:cs="Times New Roman"/>
                <w:color w:val="000000" w:themeColor="text1"/>
                <w:sz w:val="24"/>
                <w:szCs w:val="24"/>
                <w:lang w:val="en-US" w:eastAsia="zh-CN" w:bidi="ar"/>
                <w14:textFill>
                  <w14:solidFill>
                    <w14:schemeClr w14:val="tx1"/>
                  </w14:solidFill>
                </w14:textFill>
              </w:rPr>
              <w:t xml:space="preserve"> </w:t>
            </w:r>
            <w:r>
              <w:rPr>
                <w:rFonts w:eastAsia="黑体" w:cs="Times New Roman"/>
                <w:color w:val="000000" w:themeColor="text1"/>
                <w:sz w:val="24"/>
                <w:szCs w:val="24"/>
                <w:lang w:bidi="ar"/>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建筑垃圾再生骨料装卸扬尘产生量计算参数一览表</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454"/>
              <w:gridCol w:w="1688"/>
              <w:gridCol w:w="81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bCs/>
                      <w:sz w:val="21"/>
                      <w:szCs w:val="21"/>
                    </w:rPr>
                  </w:pPr>
                  <w:r>
                    <w:rPr>
                      <w:rFonts w:hint="default" w:cs="Times New Roman"/>
                      <w:b/>
                      <w:bCs/>
                      <w:sz w:val="21"/>
                      <w:szCs w:val="21"/>
                    </w:rPr>
                    <w:t>参数符号</w:t>
                  </w:r>
                </w:p>
              </w:tc>
              <w:tc>
                <w:tcPr>
                  <w:tcW w:w="75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bCs/>
                      <w:sz w:val="21"/>
                      <w:szCs w:val="21"/>
                    </w:rPr>
                  </w:pPr>
                  <w:r>
                    <w:rPr>
                      <w:rFonts w:hint="default" w:cs="Times New Roman"/>
                      <w:b/>
                      <w:bCs/>
                      <w:sz w:val="21"/>
                      <w:szCs w:val="21"/>
                    </w:rPr>
                    <w:t>单位</w:t>
                  </w:r>
                </w:p>
              </w:tc>
              <w:tc>
                <w:tcPr>
                  <w:tcW w:w="109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bCs/>
                      <w:sz w:val="21"/>
                      <w:szCs w:val="21"/>
                    </w:rPr>
                  </w:pPr>
                  <w:r>
                    <w:rPr>
                      <w:rFonts w:hint="default" w:cs="Times New Roman"/>
                      <w:b/>
                      <w:bCs/>
                      <w:sz w:val="21"/>
                      <w:szCs w:val="21"/>
                    </w:rPr>
                    <w:t>取值</w:t>
                  </w:r>
                </w:p>
              </w:tc>
              <w:tc>
                <w:tcPr>
                  <w:tcW w:w="5377"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bCs/>
                      <w:sz w:val="21"/>
                      <w:szCs w:val="21"/>
                    </w:rPr>
                  </w:pPr>
                  <w:r>
                    <w:rPr>
                      <w:rFonts w:hint="default" w:cs="Times New Roman"/>
                      <w:b/>
                      <w:bCs/>
                      <w:sz w:val="21"/>
                      <w:szCs w:val="21"/>
                    </w:rPr>
                    <w:t>取值依据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K</w:t>
                  </w:r>
                  <w:r>
                    <w:rPr>
                      <w:rFonts w:hint="default" w:cs="Times New Roman"/>
                      <w:b w:val="0"/>
                      <w:bCs w:val="0"/>
                      <w:sz w:val="21"/>
                      <w:szCs w:val="21"/>
                      <w:vertAlign w:val="subscript"/>
                    </w:rPr>
                    <w:t>i</w:t>
                  </w:r>
                </w:p>
              </w:tc>
              <w:tc>
                <w:tcPr>
                  <w:tcW w:w="75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w:t>
                  </w:r>
                </w:p>
              </w:tc>
              <w:tc>
                <w:tcPr>
                  <w:tcW w:w="109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0.74</w:t>
                  </w:r>
                </w:p>
              </w:tc>
              <w:tc>
                <w:tcPr>
                  <w:tcW w:w="5377"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根据《扬尘源颗粒物排放清单编制技术指南（试行）》表10，TSP粒度乘数为0.74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07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u</w:t>
                  </w:r>
                </w:p>
              </w:tc>
              <w:tc>
                <w:tcPr>
                  <w:tcW w:w="75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m/s</w:t>
                  </w:r>
                </w:p>
              </w:tc>
              <w:tc>
                <w:tcPr>
                  <w:tcW w:w="109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eastAsia" w:cs="Times New Roman"/>
                      <w:b w:val="0"/>
                      <w:bCs w:val="0"/>
                      <w:sz w:val="21"/>
                      <w:szCs w:val="21"/>
                    </w:rPr>
                    <w:t>2</w:t>
                  </w:r>
                </w:p>
              </w:tc>
              <w:tc>
                <w:tcPr>
                  <w:tcW w:w="5377" w:type="dxa"/>
                  <w:tcBorders>
                    <w:tl2br w:val="nil"/>
                    <w:tr2bl w:val="nil"/>
                  </w:tcBorders>
                  <w:vAlign w:val="center"/>
                </w:tcPr>
                <w:p>
                  <w:pPr>
                    <w:pStyle w:val="34"/>
                    <w:keepNext w:val="0"/>
                    <w:keepLines w:val="0"/>
                    <w:widowControl/>
                    <w:suppressLineNumbers w:val="0"/>
                    <w:adjustRightInd w:val="0"/>
                    <w:snapToGrid w:val="0"/>
                    <w:spacing w:beforeAutospacing="0" w:afterAutospacing="0"/>
                    <w:ind w:left="0" w:right="0"/>
                    <w:rPr>
                      <w:rFonts w:hint="default" w:ascii="Times New Roman" w:hAnsi="Times New Roman" w:cs="Times New Roman"/>
                      <w:b w:val="0"/>
                      <w:bCs w:val="0"/>
                      <w:sz w:val="21"/>
                    </w:rPr>
                  </w:pPr>
                  <w:r>
                    <w:rPr>
                      <w:rFonts w:hint="default" w:ascii="Times New Roman" w:hAnsi="Times New Roman" w:cs="Times New Roman"/>
                      <w:b w:val="0"/>
                      <w:bCs w:val="0"/>
                      <w:sz w:val="21"/>
                    </w:rPr>
                    <w:t>根据</w:t>
                  </w:r>
                  <w:r>
                    <w:rPr>
                      <w:rFonts w:hint="default" w:ascii="Times New Roman" w:hAnsi="Times New Roman" w:cs="Times New Roman"/>
                      <w:b w:val="0"/>
                      <w:bCs w:val="0"/>
                      <w:color w:val="171A1D"/>
                      <w:sz w:val="21"/>
                    </w:rPr>
                    <w:t>宁夏彭阳县区域地质、气象概况中的信息，彭阳县的多年平均风速为2米/秒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M</w:t>
                  </w:r>
                </w:p>
              </w:tc>
              <w:tc>
                <w:tcPr>
                  <w:tcW w:w="75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w:t>
                  </w:r>
                </w:p>
              </w:tc>
              <w:tc>
                <w:tcPr>
                  <w:tcW w:w="109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3</w:t>
                  </w:r>
                </w:p>
              </w:tc>
              <w:tc>
                <w:tcPr>
                  <w:tcW w:w="5377"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根据建设单位提供资料，含水率为3%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η</w:t>
                  </w:r>
                </w:p>
              </w:tc>
              <w:tc>
                <w:tcPr>
                  <w:tcW w:w="75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w:t>
                  </w:r>
                </w:p>
              </w:tc>
              <w:tc>
                <w:tcPr>
                  <w:tcW w:w="109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0</w:t>
                  </w:r>
                </w:p>
              </w:tc>
              <w:tc>
                <w:tcPr>
                  <w:tcW w:w="5377"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合算产生系数时，η取0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E</w:t>
                  </w:r>
                  <w:r>
                    <w:rPr>
                      <w:rFonts w:hint="default" w:cs="Times New Roman"/>
                      <w:b w:val="0"/>
                      <w:bCs w:val="0"/>
                      <w:sz w:val="21"/>
                      <w:szCs w:val="21"/>
                      <w:vertAlign w:val="subscript"/>
                    </w:rPr>
                    <w:t>h</w:t>
                  </w:r>
                </w:p>
              </w:tc>
              <w:tc>
                <w:tcPr>
                  <w:tcW w:w="75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eastAsia" w:cs="Times New Roman"/>
                      <w:b w:val="0"/>
                      <w:bCs w:val="0"/>
                      <w:sz w:val="21"/>
                      <w:szCs w:val="21"/>
                    </w:rPr>
                    <w:t>k</w:t>
                  </w:r>
                  <w:r>
                    <w:rPr>
                      <w:rFonts w:hint="default" w:cs="Times New Roman"/>
                      <w:b w:val="0"/>
                      <w:bCs w:val="0"/>
                      <w:sz w:val="21"/>
                      <w:szCs w:val="21"/>
                    </w:rPr>
                    <w:t>g/t</w:t>
                  </w:r>
                </w:p>
              </w:tc>
              <w:tc>
                <w:tcPr>
                  <w:tcW w:w="109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eastAsia="宋体" w:cs="Times New Roman"/>
                      <w:b w:val="0"/>
                      <w:bCs w:val="0"/>
                      <w:sz w:val="21"/>
                      <w:szCs w:val="21"/>
                      <w:lang w:val="en-US" w:eastAsia="zh-CN"/>
                    </w:rPr>
                  </w:pPr>
                  <w:r>
                    <w:rPr>
                      <w:rFonts w:hint="eastAsia" w:cs="Times New Roman"/>
                      <w:b w:val="0"/>
                      <w:bCs w:val="0"/>
                      <w:sz w:val="21"/>
                      <w:szCs w:val="21"/>
                      <w:lang w:val="en-US" w:eastAsia="zh-CN"/>
                    </w:rPr>
                    <w:t>0.0027</w:t>
                  </w:r>
                </w:p>
              </w:tc>
              <w:tc>
                <w:tcPr>
                  <w:tcW w:w="5377"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计算得出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W</w:t>
                  </w:r>
                </w:p>
              </w:tc>
              <w:tc>
                <w:tcPr>
                  <w:tcW w:w="750"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b w:val="0"/>
                      <w:bCs w:val="0"/>
                      <w:sz w:val="21"/>
                      <w:szCs w:val="21"/>
                    </w:rPr>
                  </w:pPr>
                  <w:r>
                    <w:rPr>
                      <w:rFonts w:hint="default" w:cs="Times New Roman"/>
                      <w:b w:val="0"/>
                      <w:bCs w:val="0"/>
                      <w:sz w:val="21"/>
                      <w:szCs w:val="21"/>
                    </w:rPr>
                    <w:t>t/a</w:t>
                  </w:r>
                </w:p>
              </w:tc>
              <w:tc>
                <w:tcPr>
                  <w:tcW w:w="1095"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eastAsia="宋体" w:cs="Times New Roman"/>
                      <w:b w:val="0"/>
                      <w:bCs w:val="0"/>
                      <w:sz w:val="21"/>
                      <w:szCs w:val="21"/>
                      <w:lang w:val="en-US" w:eastAsia="zh-CN"/>
                    </w:rPr>
                  </w:pPr>
                  <w:r>
                    <w:rPr>
                      <w:rFonts w:hint="eastAsia" w:cs="Times New Roman"/>
                      <w:b w:val="0"/>
                      <w:bCs w:val="0"/>
                      <w:sz w:val="21"/>
                      <w:szCs w:val="21"/>
                      <w:lang w:val="en-US" w:eastAsia="zh-CN"/>
                    </w:rPr>
                    <w:t>0.19</w:t>
                  </w:r>
                </w:p>
              </w:tc>
              <w:tc>
                <w:tcPr>
                  <w:tcW w:w="5377" w:type="dxa"/>
                  <w:tcBorders>
                    <w:tl2br w:val="nil"/>
                    <w:tr2bl w:val="nil"/>
                  </w:tcBorders>
                  <w:vAlign w:val="center"/>
                </w:tcPr>
                <w:p>
                  <w:pPr>
                    <w:pStyle w:val="36"/>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rPr>
                    <w:t>颗粒物产生量，根据E</w:t>
                  </w:r>
                  <w:r>
                    <w:rPr>
                      <w:rFonts w:hint="default" w:ascii="Times New Roman" w:hAnsi="Times New Roman" w:cs="Times New Roman"/>
                      <w:b w:val="0"/>
                      <w:bCs w:val="0"/>
                      <w:sz w:val="21"/>
                      <w:szCs w:val="21"/>
                      <w:vertAlign w:val="subscript"/>
                    </w:rPr>
                    <w:t>h</w:t>
                  </w:r>
                  <w:r>
                    <w:rPr>
                      <w:rFonts w:hint="default" w:ascii="Times New Roman" w:hAnsi="Times New Roman" w:cs="Times New Roman"/>
                      <w:b w:val="0"/>
                      <w:bCs w:val="0"/>
                      <w:sz w:val="21"/>
                      <w:szCs w:val="21"/>
                    </w:rPr>
                    <w:t>与全年</w:t>
                  </w:r>
                  <w:r>
                    <w:rPr>
                      <w:rFonts w:hint="eastAsia" w:ascii="Times New Roman" w:hAnsi="Times New Roman" w:eastAsia="宋体" w:cs="Times New Roman"/>
                      <w:b w:val="0"/>
                      <w:bCs w:val="0"/>
                      <w:sz w:val="21"/>
                      <w:szCs w:val="21"/>
                      <w:lang w:val="en-US" w:eastAsia="zh-CN"/>
                    </w:rPr>
                    <w:t>建筑垃圾再生骨料</w:t>
                  </w:r>
                  <w:r>
                    <w:rPr>
                      <w:rFonts w:hint="default" w:ascii="Times New Roman" w:hAnsi="Times New Roman" w:cs="Times New Roman"/>
                      <w:b w:val="0"/>
                      <w:bCs w:val="0"/>
                      <w:sz w:val="21"/>
                      <w:szCs w:val="21"/>
                    </w:rPr>
                    <w:t>的装卸量的乘积计算，年装卸量取值</w:t>
                  </w:r>
                  <w:r>
                    <w:rPr>
                      <w:rFonts w:hint="eastAsia" w:ascii="Times New Roman" w:hAnsi="Times New Roman" w:cs="Times New Roman"/>
                      <w:b w:val="0"/>
                      <w:bCs w:val="0"/>
                      <w:sz w:val="21"/>
                      <w:szCs w:val="21"/>
                      <w:lang w:val="en-US" w:eastAsia="zh-CN"/>
                    </w:rPr>
                    <w:t>70500</w:t>
                  </w:r>
                </w:p>
              </w:tc>
            </w:tr>
          </w:tbl>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本项目混合骨料暂存间无组织粉尘的产生量为0.19t/a，0.11kg/h，通过洒水抑尘，粉尘抑制率可达74%，无组织粉尘排放量为0.05t/a，0.029kg/h。</w:t>
            </w:r>
          </w:p>
          <w:p>
            <w:pPr>
              <w:pStyle w:val="36"/>
              <w:keepNext w:val="0"/>
              <w:keepLines w:val="0"/>
              <w:suppressLineNumbers w:val="0"/>
              <w:snapToGrid/>
              <w:spacing w:before="0" w:beforeAutospacing="0" w:after="0" w:afterAutospacing="0" w:line="360" w:lineRule="auto"/>
              <w:ind w:left="0" w:right="0" w:firstLine="480" w:firstLineChars="200"/>
              <w:rPr>
                <w:rFonts w:hint="eastAsia" w:ascii="Times New Roman" w:hAnsi="Times New Roman" w:eastAsia="仿宋_GB2312" w:cs="Times New Roman"/>
                <w:b w:val="0"/>
                <w:bCs w:val="0"/>
                <w:color w:val="000000" w:themeColor="text1"/>
                <w:kern w:val="16"/>
                <w:sz w:val="24"/>
                <w:szCs w:val="24"/>
                <w:highlight w:val="no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④</w:t>
            </w:r>
            <w:r>
              <w:rPr>
                <w:rFonts w:hint="eastAsia" w:eastAsia="仿宋_GB2312" w:cs="Times New Roman"/>
                <w:b w:val="0"/>
                <w:bCs w:val="0"/>
                <w:color w:val="000000" w:themeColor="text1"/>
                <w:kern w:val="16"/>
                <w:sz w:val="24"/>
                <w:szCs w:val="24"/>
                <w:highlight w:val="none"/>
                <w:lang w:val="en-US" w:eastAsia="zh-CN"/>
                <w14:textFill>
                  <w14:solidFill>
                    <w14:schemeClr w14:val="tx1"/>
                  </w14:solidFill>
                </w14:textFill>
              </w:rPr>
              <w:t>粉料筒仓罐</w:t>
            </w:r>
            <w:r>
              <w:rPr>
                <w:rFonts w:hint="default" w:ascii="Times New Roman" w:hAnsi="Times New Roman" w:eastAsia="仿宋_GB2312" w:cs="Times New Roman"/>
                <w:b w:val="0"/>
                <w:bCs w:val="0"/>
                <w:color w:val="000000" w:themeColor="text1"/>
                <w:kern w:val="16"/>
                <w:sz w:val="24"/>
                <w:szCs w:val="24"/>
                <w:highlight w:val="none"/>
                <w14:textFill>
                  <w14:solidFill>
                    <w14:schemeClr w14:val="tx1"/>
                  </w14:solidFill>
                </w14:textFill>
              </w:rPr>
              <w:t>输送储存</w:t>
            </w:r>
            <w:r>
              <w:rPr>
                <w:rFonts w:ascii="Times New Roman" w:hAnsi="Times New Roman" w:eastAsia="仿宋_GB2312" w:cs="Times New Roman"/>
                <w:b w:val="0"/>
                <w:bCs w:val="0"/>
                <w:color w:val="000000" w:themeColor="text1"/>
                <w:kern w:val="16"/>
                <w:sz w:val="24"/>
                <w:szCs w:val="24"/>
                <w:highlight w:val="none"/>
                <w14:textFill>
                  <w14:solidFill>
                    <w14:schemeClr w14:val="tx1"/>
                  </w14:solidFill>
                </w14:textFill>
              </w:rPr>
              <w:t>粉尘</w:t>
            </w:r>
            <w:r>
              <w:rPr>
                <w:rFonts w:hint="eastAsia" w:eastAsia="仿宋_GB2312" w:cs="Times New Roman"/>
                <w:b w:val="0"/>
                <w:bCs w:val="0"/>
                <w:color w:val="000000" w:themeColor="text1"/>
                <w:kern w:val="16"/>
                <w:sz w:val="24"/>
                <w:szCs w:val="24"/>
                <w:highlight w:val="none"/>
                <w:lang w:val="en-US" w:eastAsia="zh-CN"/>
                <w14:textFill>
                  <w14:solidFill>
                    <w14:schemeClr w14:val="tx1"/>
                  </w14:solidFill>
                </w14:textFill>
              </w:rPr>
              <w:t>量（G4）</w:t>
            </w:r>
          </w:p>
          <w:p>
            <w:pPr>
              <w:keepNext w:val="0"/>
              <w:keepLines w:val="0"/>
              <w:widowControl/>
              <w:suppressLineNumbers w:val="0"/>
              <w:spacing w:before="0" w:beforeAutospacing="0" w:after="0" w:afterAutospacing="0" w:line="360" w:lineRule="auto"/>
              <w:ind w:left="0" w:right="0" w:firstLine="480" w:firstLineChars="200"/>
              <w:jc w:val="left"/>
              <w:rPr>
                <w:rFonts w:ascii="Times New Roman" w:hAnsi="Times New Roman" w:eastAsia="仿宋_GB2312" w:cs="Times New Roman"/>
                <w:color w:val="000000" w:themeColor="text1"/>
                <w:kern w:val="16"/>
                <w:sz w:val="24"/>
                <w:szCs w:val="24"/>
                <w:highlight w:val="none"/>
                <w14:textFill>
                  <w14:solidFill>
                    <w14:schemeClr w14:val="tx1"/>
                  </w14:solidFill>
                </w14:textFill>
              </w:rPr>
            </w:pP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本项目水泥、粉煤灰采用</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贮存</w:t>
            </w:r>
            <w:r>
              <w:rPr>
                <w:rFonts w:hint="eastAsia" w:eastAsia="仿宋_GB2312" w:cs="Times New Roman"/>
                <w:color w:val="000000" w:themeColor="text1"/>
                <w:kern w:val="16"/>
                <w:sz w:val="24"/>
                <w:szCs w:val="24"/>
                <w:highlight w:val="none"/>
                <w:lang w:eastAsia="zh-CN" w:bidi="ar-SA"/>
                <w14:textFill>
                  <w14:solidFill>
                    <w14:schemeClr w14:val="tx1"/>
                  </w14:solidFill>
                </w14:textFill>
              </w:rPr>
              <w:t>。</w:t>
            </w:r>
            <w:r>
              <w:rPr>
                <w:rFonts w:hint="eastAsia" w:eastAsia="仿宋_GB2312"/>
                <w:color w:val="000000" w:themeColor="text1"/>
                <w:kern w:val="16"/>
                <w:sz w:val="24"/>
                <w:szCs w:val="24"/>
                <w:highlight w:val="none"/>
                <w14:textFill>
                  <w14:solidFill>
                    <w14:schemeClr w14:val="tx1"/>
                  </w14:solidFill>
                </w14:textFill>
              </w:rPr>
              <w:t>再生混凝土生产线和水稳料生产线各配套2</w:t>
            </w:r>
            <w:r>
              <w:rPr>
                <w:rFonts w:hint="eastAsia" w:eastAsia="仿宋_GB2312"/>
                <w:color w:val="000000" w:themeColor="text1"/>
                <w:kern w:val="16"/>
                <w:sz w:val="24"/>
                <w:szCs w:val="24"/>
                <w:highlight w:val="none"/>
                <w:lang w:val="en-US" w:eastAsia="zh-CN"/>
                <w14:textFill>
                  <w14:solidFill>
                    <w14:schemeClr w14:val="tx1"/>
                  </w14:solidFill>
                </w14:textFill>
              </w:rPr>
              <w:t>座</w:t>
            </w:r>
            <w:r>
              <w:rPr>
                <w:rFonts w:hint="eastAsia" w:eastAsia="仿宋_GB2312"/>
                <w:color w:val="000000" w:themeColor="text1"/>
                <w:kern w:val="16"/>
                <w:sz w:val="24"/>
                <w:szCs w:val="24"/>
                <w:highlight w:val="none"/>
                <w14:textFill>
                  <w14:solidFill>
                    <w14:schemeClr w14:val="tx1"/>
                  </w14:solidFill>
                </w14:textFill>
              </w:rPr>
              <w:t>粉料筒仓罐，储量60~100吨左右，主要是不同标号水泥胶凝材料</w:t>
            </w:r>
            <w:r>
              <w:rPr>
                <w:rFonts w:hint="eastAsia" w:eastAsia="仿宋_GB2312"/>
                <w:color w:val="000000" w:themeColor="text1"/>
                <w:kern w:val="16"/>
                <w:sz w:val="24"/>
                <w:szCs w:val="24"/>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每个</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粉料筒仓罐</w:t>
            </w:r>
            <w:r>
              <w:rPr>
                <w:rFonts w:hint="eastAsia" w:ascii="Times New Roman" w:hAnsi="Times New Roman" w:eastAsia="仿宋_GB2312" w:cs="Times New Roman"/>
                <w:color w:val="000000" w:themeColor="text1"/>
                <w:kern w:val="16"/>
                <w:sz w:val="24"/>
                <w:szCs w:val="24"/>
                <w:highlight w:val="none"/>
                <w:lang w:val="en-US" w:eastAsia="zh-CN" w:bidi="ar-SA"/>
                <w14:textFill>
                  <w14:solidFill>
                    <w14:schemeClr w14:val="tx1"/>
                  </w14:solidFill>
                </w14:textFill>
              </w:rPr>
              <w:t>罐</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顶均有</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1</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台布袋除尘器。在水泥、粉煤灰的灌装过程中，由于通过管道进入</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时进料口在</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下方，灌装车通过</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管式螺旋</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输送将粉料送至</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，此时粉尘会随</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里的空气从</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顶部的排气孔排出。产污系数参考《排放源统计调查产排污核算方法和系数手册》</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公告</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2021</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年第</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24</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号</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中“</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3021</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水泥制品制造</w:t>
            </w:r>
            <w:r>
              <w:rPr>
                <w:rFonts w:hint="eastAsia" w:eastAsia="仿宋_GB2312" w:cs="Times New Roman"/>
                <w:color w:val="000000" w:themeColor="text1"/>
                <w:kern w:val="16"/>
                <w:sz w:val="24"/>
                <w:szCs w:val="24"/>
                <w:highlight w:val="none"/>
                <w:lang w:eastAsia="zh-CN" w:bidi="ar-SA"/>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含</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3022</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砼结构构件制造、</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3029</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其他水泥类似制品制造</w:t>
            </w:r>
            <w:r>
              <w:rPr>
                <w:rFonts w:hint="eastAsia" w:eastAsia="仿宋_GB2312" w:cs="Times New Roman"/>
                <w:color w:val="000000" w:themeColor="text1"/>
                <w:kern w:val="16"/>
                <w:sz w:val="24"/>
                <w:szCs w:val="24"/>
                <w:highlight w:val="none"/>
                <w:lang w:eastAsia="zh-CN" w:bidi="ar-SA"/>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行业系数手册，相关系数见表</w:t>
            </w:r>
            <w:r>
              <w:rPr>
                <w:rFonts w:ascii="Times New Roman" w:hAnsi="Times New Roman" w:eastAsia="仿宋_GB2312" w:cs="Times New Roman"/>
                <w:color w:val="000000" w:themeColor="text1"/>
                <w:kern w:val="16"/>
                <w:sz w:val="24"/>
                <w:szCs w:val="24"/>
                <w:highlight w:val="none"/>
                <w:lang w:bidi="ar-SA"/>
                <w14:textFill>
                  <w14:solidFill>
                    <w14:schemeClr w14:val="tx1"/>
                  </w14:solidFill>
                </w14:textFill>
              </w:rPr>
              <w:t>4-</w:t>
            </w:r>
            <w:r>
              <w:rPr>
                <w:rFonts w:hint="eastAsia" w:eastAsia="仿宋_GB2312" w:cs="Times New Roman"/>
                <w:color w:val="000000" w:themeColor="text1"/>
                <w:kern w:val="16"/>
                <w:sz w:val="24"/>
                <w:szCs w:val="24"/>
                <w:highlight w:val="none"/>
                <w:lang w:val="en-US" w:eastAsia="zh-CN" w:bidi="ar-SA"/>
                <w14:textFill>
                  <w14:solidFill>
                    <w14:schemeClr w14:val="tx1"/>
                  </w14:solidFill>
                </w14:textFill>
              </w:rPr>
              <w:t>5</w:t>
            </w:r>
            <w:r>
              <w:rPr>
                <w:rFonts w:hint="default" w:ascii="Times New Roman" w:hAnsi="Times New Roman" w:eastAsia="仿宋_GB2312" w:cs="Times New Roman"/>
                <w:color w:val="000000" w:themeColor="text1"/>
                <w:kern w:val="16"/>
                <w:sz w:val="24"/>
                <w:szCs w:val="24"/>
                <w:highlight w:val="none"/>
                <w:lang w:bidi="ar-SA"/>
                <w14:textFill>
                  <w14:solidFill>
                    <w14:schemeClr w14:val="tx1"/>
                  </w14:solidFill>
                </w14:textFill>
              </w:rPr>
              <w:t>。</w:t>
            </w:r>
          </w:p>
          <w:p>
            <w:pPr>
              <w:keepNext w:val="0"/>
              <w:keepLines w:val="0"/>
              <w:widowControl/>
              <w:suppressLineNumbers w:val="0"/>
              <w:adjustRightInd w:val="0"/>
              <w:snapToGrid w:val="0"/>
              <w:spacing w:before="0" w:beforeAutospacing="0" w:after="0" w:afterAutospacing="0"/>
              <w:ind w:left="0" w:right="0"/>
              <w:jc w:val="center"/>
              <w:rPr>
                <w:rFonts w:eastAsia="宋体" w:cs="Times New Roman"/>
                <w:b/>
                <w:bCs/>
                <w:snapToGrid/>
                <w:color w:val="auto"/>
                <w:kern w:val="0"/>
                <w:sz w:val="24"/>
                <w:szCs w:val="24"/>
                <w:highlight w:val="none"/>
              </w:rPr>
            </w:pPr>
            <w:r>
              <w:rPr>
                <w:rFonts w:eastAsia="宋体" w:cs="Times New Roman"/>
                <w:bCs w:val="0"/>
                <w:snapToGrid/>
                <w:color w:val="auto"/>
                <w:kern w:val="0"/>
                <w:sz w:val="21"/>
                <w:szCs w:val="21"/>
                <w:highlight w:val="none"/>
              </w:rPr>
              <w:t>表4-</w:t>
            </w:r>
            <w:r>
              <w:rPr>
                <w:rFonts w:hint="eastAsia" w:cs="Times New Roman"/>
                <w:bCs w:val="0"/>
                <w:snapToGrid/>
                <w:color w:val="auto"/>
                <w:kern w:val="0"/>
                <w:sz w:val="21"/>
                <w:szCs w:val="21"/>
                <w:highlight w:val="none"/>
                <w:lang w:val="en-US" w:eastAsia="zh-CN"/>
              </w:rPr>
              <w:t>5</w:t>
            </w:r>
            <w:r>
              <w:rPr>
                <w:rFonts w:eastAsia="黑体" w:cs="Times New Roman"/>
                <w:bCs/>
                <w:snapToGrid/>
                <w:sz w:val="24"/>
                <w:szCs w:val="24"/>
              </w:rPr>
              <w:t xml:space="preserve">  </w:t>
            </w:r>
            <w:r>
              <w:rPr>
                <w:rFonts w:hint="eastAsia" w:eastAsia="黑体" w:cs="Times New Roman"/>
                <w:bCs/>
                <w:snapToGrid/>
                <w:sz w:val="24"/>
                <w:szCs w:val="24"/>
                <w:lang w:val="en-US" w:eastAsia="zh-CN"/>
              </w:rPr>
              <w:t xml:space="preserve"> </w:t>
            </w:r>
            <w:r>
              <w:rPr>
                <w:rFonts w:ascii="Times New Roman" w:hAnsi="Times New Roman" w:eastAsia="宋体" w:cs="Times New Roman"/>
                <w:b/>
                <w:bCs/>
                <w:color w:val="auto"/>
                <w:kern w:val="0"/>
                <w:sz w:val="24"/>
                <w:szCs w:val="24"/>
                <w:highlight w:val="none"/>
                <w:lang w:bidi="ar-SA"/>
              </w:rPr>
              <w:t>水泥制品制造行业系数一览表</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5"/>
              <w:gridCol w:w="1403"/>
              <w:gridCol w:w="1211"/>
              <w:gridCol w:w="1142"/>
              <w:gridCol w:w="1487"/>
              <w:gridCol w:w="1583"/>
              <w:gridCol w:w="1298"/>
              <w:gridCol w:w="1287"/>
              <w:gridCol w:w="1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工段名称</w:t>
                  </w:r>
                </w:p>
              </w:tc>
              <w:tc>
                <w:tcPr>
                  <w:tcW w:w="70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产品名称</w:t>
                  </w:r>
                </w:p>
              </w:tc>
              <w:tc>
                <w:tcPr>
                  <w:tcW w:w="9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原料名称</w:t>
                  </w:r>
                </w:p>
              </w:tc>
              <w:tc>
                <w:tcPr>
                  <w:tcW w:w="78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工艺名称</w:t>
                  </w:r>
                </w:p>
              </w:tc>
              <w:tc>
                <w:tcPr>
                  <w:tcW w:w="73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规模等级</w:t>
                  </w: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污染物指标</w:t>
                  </w:r>
                </w:p>
              </w:tc>
              <w:tc>
                <w:tcPr>
                  <w:tcW w:w="10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系数单位</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产污系数</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末端治理技术名称</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物料输送</w:t>
                  </w:r>
                </w:p>
              </w:tc>
              <w:tc>
                <w:tcPr>
                  <w:tcW w:w="70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lang w:val="en-US" w:eastAsia="zh-CN"/>
                    </w:rPr>
                    <w:t>各种水泥</w:t>
                  </w:r>
                  <w:r>
                    <w:rPr>
                      <w:rFonts w:hint="eastAsia" w:cs="Times New Roman" w:eastAsiaTheme="minorEastAsia"/>
                      <w:bCs/>
                      <w:snapToGrid/>
                      <w:szCs w:val="20"/>
                    </w:rPr>
                    <w:t>制品</w:t>
                  </w:r>
                </w:p>
              </w:tc>
              <w:tc>
                <w:tcPr>
                  <w:tcW w:w="90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水泥、砂子、石子、钢筋</w:t>
                  </w:r>
                </w:p>
              </w:tc>
              <w:tc>
                <w:tcPr>
                  <w:tcW w:w="78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w:t>
                  </w:r>
                  <w:r>
                    <w:rPr>
                      <w:rFonts w:hint="eastAsia" w:cs="Times New Roman" w:eastAsiaTheme="minorEastAsia"/>
                      <w:bCs/>
                      <w:snapToGrid/>
                      <w:szCs w:val="20"/>
                    </w:rPr>
                    <w:t>输送储存</w:t>
                  </w:r>
                </w:p>
              </w:tc>
              <w:tc>
                <w:tcPr>
                  <w:tcW w:w="73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所有规模</w:t>
                  </w: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废气量</w:t>
                  </w:r>
                </w:p>
              </w:tc>
              <w:tc>
                <w:tcPr>
                  <w:tcW w:w="10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Nm</w:t>
                  </w:r>
                  <w:r>
                    <w:rPr>
                      <w:rFonts w:hint="default" w:cs="Times New Roman" w:eastAsiaTheme="minorEastAsia"/>
                      <w:bCs/>
                      <w:snapToGrid/>
                      <w:szCs w:val="20"/>
                      <w:vertAlign w:val="superscript"/>
                    </w:rPr>
                    <w:t>3</w:t>
                  </w:r>
                  <w:r>
                    <w:rPr>
                      <w:rFonts w:hint="default" w:cs="Times New Roman" w:eastAsiaTheme="minorEastAsia"/>
                      <w:bCs/>
                      <w:snapToGrid/>
                      <w:szCs w:val="20"/>
                    </w:rPr>
                    <w:t>/吨-产品</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rPr>
                    <w:t>41.82</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90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8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颗粒物</w:t>
                  </w:r>
                </w:p>
              </w:tc>
              <w:tc>
                <w:tcPr>
                  <w:tcW w:w="10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kg/吨-产品</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rPr>
                    <w:t>0.19</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袋式除尘</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99</w:t>
                  </w:r>
                  <w:r>
                    <w:rPr>
                      <w:rFonts w:hint="eastAsia" w:cs="Times New Roman" w:eastAsiaTheme="minorEastAsia"/>
                      <w:bCs/>
                      <w:snapToGrid/>
                      <w:szCs w:val="20"/>
                      <w:lang w:val="en-US" w:eastAsia="zh-CN"/>
                    </w:rPr>
                    <w:t>.7</w:t>
                  </w: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2" w:type="dxa"/>
                  <w:gridSpan w:val="10"/>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单位换算系数：2.3吨=1立方米。适用于商砼、水泥制品及含钢筋类预制构件。</w:t>
                  </w:r>
                </w:p>
              </w:tc>
            </w:tr>
          </w:tbl>
          <w:p>
            <w:pPr>
              <w:keepNext w:val="0"/>
              <w:keepLines w:val="0"/>
              <w:widowControl/>
              <w:suppressLineNumbers w:val="0"/>
              <w:adjustRightInd w:val="0"/>
              <w:snapToGrid w:val="0"/>
              <w:spacing w:before="0" w:beforeAutospacing="0" w:after="0" w:afterAutospacing="0"/>
              <w:ind w:left="0" w:right="0"/>
              <w:jc w:val="center"/>
              <w:rPr>
                <w:rFonts w:eastAsia="宋体" w:cs="Times New Roman"/>
                <w:b/>
                <w:bCs/>
                <w:snapToGrid/>
                <w:color w:val="auto"/>
                <w:kern w:val="0"/>
                <w:sz w:val="24"/>
                <w:szCs w:val="24"/>
                <w:highlight w:val="none"/>
              </w:rPr>
            </w:pPr>
            <w:r>
              <w:rPr>
                <w:rFonts w:hint="eastAsia" w:cs="Times New Roman"/>
                <w:bCs w:val="0"/>
                <w:snapToGrid/>
                <w:color w:val="auto"/>
                <w:kern w:val="0"/>
                <w:sz w:val="21"/>
                <w:szCs w:val="21"/>
                <w:highlight w:val="none"/>
                <w:lang w:val="en-US" w:eastAsia="zh-CN"/>
              </w:rPr>
              <w:t>续</w:t>
            </w:r>
            <w:r>
              <w:rPr>
                <w:rFonts w:eastAsia="宋体" w:cs="Times New Roman"/>
                <w:bCs w:val="0"/>
                <w:snapToGrid/>
                <w:color w:val="auto"/>
                <w:kern w:val="0"/>
                <w:sz w:val="21"/>
                <w:szCs w:val="21"/>
                <w:highlight w:val="none"/>
              </w:rPr>
              <w:t>表4-</w:t>
            </w:r>
            <w:r>
              <w:rPr>
                <w:rFonts w:hint="eastAsia" w:cs="Times New Roman"/>
                <w:bCs w:val="0"/>
                <w:snapToGrid/>
                <w:color w:val="auto"/>
                <w:kern w:val="0"/>
                <w:sz w:val="21"/>
                <w:szCs w:val="21"/>
                <w:highlight w:val="none"/>
                <w:lang w:val="en-US" w:eastAsia="zh-CN"/>
              </w:rPr>
              <w:t>5</w:t>
            </w:r>
            <w:r>
              <w:rPr>
                <w:rFonts w:eastAsia="黑体" w:cs="Times New Roman"/>
                <w:bCs/>
                <w:snapToGrid/>
                <w:sz w:val="24"/>
                <w:szCs w:val="24"/>
              </w:rPr>
              <w:t xml:space="preserve">  </w:t>
            </w:r>
            <w:r>
              <w:rPr>
                <w:rFonts w:hint="eastAsia" w:eastAsia="黑体" w:cs="Times New Roman"/>
                <w:bCs/>
                <w:snapToGrid/>
                <w:sz w:val="24"/>
                <w:szCs w:val="24"/>
                <w:lang w:val="en-US" w:eastAsia="zh-CN"/>
              </w:rPr>
              <w:t xml:space="preserve"> </w:t>
            </w:r>
            <w:r>
              <w:rPr>
                <w:rFonts w:ascii="Times New Roman" w:hAnsi="Times New Roman" w:eastAsia="宋体" w:cs="Times New Roman"/>
                <w:b/>
                <w:bCs/>
                <w:color w:val="auto"/>
                <w:kern w:val="0"/>
                <w:sz w:val="24"/>
                <w:szCs w:val="24"/>
                <w:highlight w:val="none"/>
                <w:lang w:bidi="ar-SA"/>
              </w:rPr>
              <w:t>水泥制品制造行业系数一览表</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5"/>
              <w:gridCol w:w="1403"/>
              <w:gridCol w:w="1211"/>
              <w:gridCol w:w="1142"/>
              <w:gridCol w:w="1487"/>
              <w:gridCol w:w="1583"/>
              <w:gridCol w:w="1298"/>
              <w:gridCol w:w="1287"/>
              <w:gridCol w:w="1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工段名称</w:t>
                  </w:r>
                </w:p>
              </w:tc>
              <w:tc>
                <w:tcPr>
                  <w:tcW w:w="109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产品名称</w:t>
                  </w:r>
                </w:p>
              </w:tc>
              <w:tc>
                <w:tcPr>
                  <w:tcW w:w="140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原料名称</w:t>
                  </w:r>
                </w:p>
              </w:tc>
              <w:tc>
                <w:tcPr>
                  <w:tcW w:w="1211"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工艺名称</w:t>
                  </w:r>
                </w:p>
              </w:tc>
              <w:tc>
                <w:tcPr>
                  <w:tcW w:w="114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规模等级</w:t>
                  </w:r>
                </w:p>
              </w:tc>
              <w:tc>
                <w:tcPr>
                  <w:tcW w:w="148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污染物指标</w:t>
                  </w:r>
                </w:p>
              </w:tc>
              <w:tc>
                <w:tcPr>
                  <w:tcW w:w="158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系数单位</w:t>
                  </w:r>
                </w:p>
              </w:tc>
              <w:tc>
                <w:tcPr>
                  <w:tcW w:w="1298"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产污系数</w:t>
                  </w:r>
                </w:p>
              </w:tc>
              <w:tc>
                <w:tcPr>
                  <w:tcW w:w="128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末端治理技术名称</w:t>
                  </w:r>
                </w:p>
              </w:tc>
              <w:tc>
                <w:tcPr>
                  <w:tcW w:w="139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物料输送</w:t>
                  </w:r>
                </w:p>
              </w:tc>
              <w:tc>
                <w:tcPr>
                  <w:tcW w:w="109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lang w:val="en-US" w:eastAsia="zh-CN"/>
                    </w:rPr>
                    <w:t>混凝土</w:t>
                  </w:r>
                  <w:r>
                    <w:rPr>
                      <w:rFonts w:hint="eastAsia" w:cs="Times New Roman" w:eastAsiaTheme="minorEastAsia"/>
                      <w:bCs/>
                      <w:snapToGrid/>
                      <w:szCs w:val="20"/>
                    </w:rPr>
                    <w:t>制品</w:t>
                  </w:r>
                </w:p>
              </w:tc>
              <w:tc>
                <w:tcPr>
                  <w:tcW w:w="1403"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水泥、砂子、石子、钢筋</w:t>
                  </w:r>
                </w:p>
              </w:tc>
              <w:tc>
                <w:tcPr>
                  <w:tcW w:w="1211"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w:t>
                  </w:r>
                  <w:r>
                    <w:rPr>
                      <w:rFonts w:hint="eastAsia" w:cs="Times New Roman" w:eastAsiaTheme="minorEastAsia"/>
                      <w:bCs/>
                      <w:snapToGrid/>
                      <w:szCs w:val="20"/>
                    </w:rPr>
                    <w:t>输送储存</w:t>
                  </w:r>
                </w:p>
              </w:tc>
              <w:tc>
                <w:tcPr>
                  <w:tcW w:w="1142"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所有规模</w:t>
                  </w:r>
                </w:p>
              </w:tc>
              <w:tc>
                <w:tcPr>
                  <w:tcW w:w="148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废气量</w:t>
                  </w:r>
                </w:p>
              </w:tc>
              <w:tc>
                <w:tcPr>
                  <w:tcW w:w="158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Nm</w:t>
                  </w:r>
                  <w:r>
                    <w:rPr>
                      <w:rFonts w:hint="default" w:cs="Times New Roman" w:eastAsiaTheme="minorEastAsia"/>
                      <w:bCs/>
                      <w:snapToGrid/>
                      <w:szCs w:val="20"/>
                      <w:vertAlign w:val="superscript"/>
                    </w:rPr>
                    <w:t>3</w:t>
                  </w:r>
                  <w:r>
                    <w:rPr>
                      <w:rFonts w:hint="default" w:cs="Times New Roman" w:eastAsiaTheme="minorEastAsia"/>
                      <w:bCs/>
                      <w:snapToGrid/>
                      <w:szCs w:val="20"/>
                    </w:rPr>
                    <w:t>/吨-产品</w:t>
                  </w:r>
                </w:p>
              </w:tc>
              <w:tc>
                <w:tcPr>
                  <w:tcW w:w="1298"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lang w:val="en-US" w:eastAsia="zh-CN"/>
                    </w:rPr>
                  </w:pPr>
                  <w:r>
                    <w:rPr>
                      <w:rFonts w:hint="eastAsia" w:cs="Times New Roman" w:eastAsiaTheme="minorEastAsia"/>
                      <w:bCs/>
                      <w:snapToGrid/>
                      <w:szCs w:val="20"/>
                      <w:lang w:val="en-US" w:eastAsia="zh-CN"/>
                    </w:rPr>
                    <w:t>22</w:t>
                  </w:r>
                </w:p>
              </w:tc>
              <w:tc>
                <w:tcPr>
                  <w:tcW w:w="128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c>
                <w:tcPr>
                  <w:tcW w:w="139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109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140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1211"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1142"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148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颗粒物</w:t>
                  </w:r>
                </w:p>
              </w:tc>
              <w:tc>
                <w:tcPr>
                  <w:tcW w:w="158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kg/吨-产品</w:t>
                  </w:r>
                </w:p>
              </w:tc>
              <w:tc>
                <w:tcPr>
                  <w:tcW w:w="1298"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eastAsiaTheme="minorEastAsia"/>
                      <w:bCs/>
                      <w:snapToGrid/>
                      <w:szCs w:val="20"/>
                      <w:lang w:eastAsia="zh-CN"/>
                    </w:rPr>
                  </w:pPr>
                  <w:r>
                    <w:rPr>
                      <w:rFonts w:hint="eastAsia" w:cs="Times New Roman" w:eastAsiaTheme="minorEastAsia"/>
                      <w:bCs/>
                      <w:snapToGrid/>
                      <w:szCs w:val="20"/>
                    </w:rPr>
                    <w:t>0.1</w:t>
                  </w:r>
                  <w:r>
                    <w:rPr>
                      <w:rFonts w:hint="eastAsia" w:cs="Times New Roman" w:eastAsiaTheme="minorEastAsia"/>
                      <w:bCs/>
                      <w:snapToGrid/>
                      <w:szCs w:val="20"/>
                      <w:lang w:val="en-US" w:eastAsia="zh-CN"/>
                    </w:rPr>
                    <w:t>2</w:t>
                  </w:r>
                </w:p>
              </w:tc>
              <w:tc>
                <w:tcPr>
                  <w:tcW w:w="128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袋式除尘</w:t>
                  </w:r>
                </w:p>
              </w:tc>
              <w:tc>
                <w:tcPr>
                  <w:tcW w:w="139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99</w:t>
                  </w:r>
                  <w:r>
                    <w:rPr>
                      <w:rFonts w:hint="eastAsia" w:cs="Times New Roman" w:eastAsiaTheme="minorEastAsia"/>
                      <w:bCs/>
                      <w:snapToGrid/>
                      <w:szCs w:val="20"/>
                      <w:lang w:val="en-US" w:eastAsia="zh-CN"/>
                    </w:rPr>
                    <w:t>.7</w:t>
                  </w: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5" w:type="dxa"/>
                  <w:gridSpan w:val="10"/>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单位换算系数：2.3吨=1立方米。适用于商砼、水泥制品及含钢筋类预制构件。</w:t>
                  </w:r>
                </w:p>
              </w:tc>
            </w:tr>
          </w:tbl>
          <w:p>
            <w:pPr>
              <w:pStyle w:val="36"/>
              <w:keepNext w:val="0"/>
              <w:keepLines w:val="0"/>
              <w:suppressLineNumbers w:val="0"/>
              <w:spacing w:before="0" w:beforeAutospacing="0" w:afterAutospacing="0" w:line="360" w:lineRule="auto"/>
              <w:ind w:left="0" w:right="0" w:firstLine="480" w:firstLineChars="200"/>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pPr>
            <w:r>
              <w:rPr>
                <w:rFonts w:hint="eastAsia" w:eastAsia="仿宋_GB2312" w:cs="Times New Roman"/>
                <w:b w:val="0"/>
                <w:bCs w:val="0"/>
                <w:snapToGrid/>
                <w:color w:val="000000" w:themeColor="text1"/>
                <w:kern w:val="16"/>
                <w:sz w:val="24"/>
                <w:szCs w:val="24"/>
                <w:highlight w:val="none"/>
                <w:lang w:val="en-US" w:eastAsia="zh-CN"/>
                <w14:textFill>
                  <w14:solidFill>
                    <w14:schemeClr w14:val="tx1"/>
                  </w14:solidFill>
                </w14:textFill>
              </w:rPr>
              <w:t>1）</w:t>
            </w:r>
            <w:r>
              <w:rPr>
                <w:rFonts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本项目</w:t>
            </w:r>
            <w:r>
              <w:rPr>
                <w:rFonts w:hint="eastAsia" w:eastAsia="仿宋_GB2312" w:cs="Times New Roman"/>
                <w:b w:val="0"/>
                <w:bCs w:val="0"/>
                <w:snapToGrid/>
                <w:color w:val="000000" w:themeColor="text1"/>
                <w:kern w:val="16"/>
                <w:sz w:val="24"/>
                <w:szCs w:val="24"/>
                <w:highlight w:val="none"/>
                <w:lang w:val="en-US" w:eastAsia="zh-CN"/>
                <w14:textFill>
                  <w14:solidFill>
                    <w14:schemeClr w14:val="tx1"/>
                  </w14:solidFill>
                </w14:textFill>
              </w:rPr>
              <w:t>年产</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15.5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万</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m</w:t>
            </w:r>
            <w:r>
              <w:rPr>
                <w:rFonts w:hint="eastAsia"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再生混凝土制品（</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以</w:t>
            </w:r>
            <w:r>
              <w:rPr>
                <w:rFonts w:hint="eastAsia" w:ascii="Times New Roman" w:hAnsi="Times New Roman" w:eastAsia="仿宋_GB2312" w:cs="Times New Roman"/>
                <w:b w:val="0"/>
                <w:bCs w:val="0"/>
                <w:color w:val="000000" w:themeColor="text1"/>
                <w:kern w:val="16"/>
                <w:sz w:val="24"/>
                <w:szCs w:val="24"/>
                <w:highlight w:val="none"/>
                <w:lang w:val="en-US" w:eastAsia="zh-CN"/>
                <w14:textFill>
                  <w14:solidFill>
                    <w14:schemeClr w14:val="tx1"/>
                  </w14:solidFill>
                </w14:textFill>
              </w:rPr>
              <w:t>水泥、粉煤灰消耗量计，</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约</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5565.43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/a</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），年工作时间</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1680</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w:t>
            </w:r>
            <w:r>
              <w:rPr>
                <w:rFonts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因此物料储存工序废气量为</w:t>
            </w:r>
            <w:r>
              <w:rPr>
                <w:rFonts w:hint="eastAsia" w:eastAsia="仿宋_GB2312" w:cs="Times New Roman"/>
                <w:b w:val="0"/>
                <w:bCs w:val="0"/>
                <w:snapToGrid/>
                <w:color w:val="000000" w:themeColor="text1"/>
                <w:kern w:val="16"/>
                <w:sz w:val="24"/>
                <w:szCs w:val="24"/>
                <w:highlight w:val="none"/>
                <w:lang w:val="en-US" w:eastAsia="zh-CN"/>
                <w14:textFill>
                  <w14:solidFill>
                    <w14:schemeClr w14:val="tx1"/>
                  </w14:solidFill>
                </w14:textFill>
              </w:rPr>
              <w:t>72.88</w:t>
            </w:r>
            <w:r>
              <w:rPr>
                <w:rFonts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m</w:t>
            </w:r>
            <w:r>
              <w:rPr>
                <w:rFonts w:ascii="Times New Roman" w:hAnsi="Times New Roman" w:eastAsia="仿宋_GB2312" w:cs="Times New Roman"/>
                <w:b w:val="0"/>
                <w:bCs w:val="0"/>
                <w:snapToGrid/>
                <w:color w:val="000000" w:themeColor="text1"/>
                <w:kern w:val="16"/>
                <w:sz w:val="24"/>
                <w:szCs w:val="24"/>
                <w:highlight w:val="none"/>
                <w:vertAlign w:val="superscript"/>
                <w14:textFill>
                  <w14:solidFill>
                    <w14:schemeClr w14:val="tx1"/>
                  </w14:solidFill>
                </w14:textFill>
              </w:rPr>
              <w:t>3</w:t>
            </w:r>
            <w:r>
              <w:rPr>
                <w:rFonts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/h，粉尘产生总量为</w:t>
            </w:r>
            <w:r>
              <w:rPr>
                <w:rFonts w:hint="eastAsia" w:eastAsia="仿宋_GB2312" w:cs="Times New Roman"/>
                <w:b w:val="0"/>
                <w:bCs w:val="0"/>
                <w:snapToGrid/>
                <w:color w:val="000000" w:themeColor="text1"/>
                <w:kern w:val="16"/>
                <w:sz w:val="24"/>
                <w:szCs w:val="24"/>
                <w:highlight w:val="none"/>
                <w:lang w:val="en-US" w:eastAsia="zh-CN"/>
                <w14:textFill>
                  <w14:solidFill>
                    <w14:schemeClr w14:val="tx1"/>
                  </w14:solidFill>
                </w14:textFill>
              </w:rPr>
              <w:t>0.67</w:t>
            </w:r>
            <w:r>
              <w:rPr>
                <w:rFonts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t/a</w:t>
            </w:r>
            <w:r>
              <w:rPr>
                <w:rFonts w:hint="eastAsia" w:ascii="Times New Roman" w:hAnsi="Times New Roman" w:eastAsia="仿宋_GB2312" w:cs="Times New Roman"/>
                <w:b w:val="0"/>
                <w:bCs w:val="0"/>
                <w:snapToGrid/>
                <w:color w:val="000000" w:themeColor="text1"/>
                <w:kern w:val="16"/>
                <w:sz w:val="24"/>
                <w:szCs w:val="24"/>
                <w:highlight w:val="none"/>
                <w:vertAlign w:val="baseline"/>
                <w:lang w:eastAsia="zh-CN"/>
                <w14:textFill>
                  <w14:solidFill>
                    <w14:schemeClr w14:val="tx1"/>
                  </w14:solidFill>
                </w14:textFill>
              </w:rPr>
              <w:t>。</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项目每个</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排气孔处均安装有布袋除尘器</w:t>
            </w:r>
            <w:r>
              <w:rPr>
                <w:rFonts w:hint="eastAsia" w:ascii="Times New Roman" w:hAnsi="Times New Roman" w:eastAsia="仿宋_GB2312" w:cs="Times New Roman"/>
                <w:b w:val="0"/>
                <w:bCs w:val="0"/>
                <w:color w:val="000000" w:themeColor="text1"/>
                <w:kern w:val="16"/>
                <w:sz w:val="24"/>
                <w:szCs w:val="24"/>
                <w:highlight w:val="none"/>
                <w:lang w:eastAsia="zh-CN" w:bidi="ar"/>
                <w14:textFill>
                  <w14:solidFill>
                    <w14:schemeClr w14:val="tx1"/>
                  </w14:solidFill>
                </w14:textFill>
              </w:rPr>
              <w:t>（</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除尘效率</w:t>
            </w:r>
            <w:r>
              <w:rPr>
                <w:rFonts w:hint="eastAsia" w:eastAsia="仿宋_GB2312" w:cs="Times New Roman"/>
                <w:b w:val="0"/>
                <w:bCs w:val="0"/>
                <w:color w:val="000000" w:themeColor="text1"/>
                <w:kern w:val="16"/>
                <w:sz w:val="24"/>
                <w:szCs w:val="24"/>
                <w:highlight w:val="none"/>
                <w:lang w:val="en-US" w:eastAsia="zh-CN" w:bidi="ar"/>
                <w14:textFill>
                  <w14:solidFill>
                    <w14:schemeClr w14:val="tx1"/>
                  </w14:solidFill>
                </w14:textFill>
              </w:rPr>
              <w:t>99.7</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w:t>
            </w:r>
            <w:r>
              <w:rPr>
                <w:rFonts w:hint="eastAsia" w:ascii="Times New Roman" w:hAnsi="Times New Roman" w:eastAsia="仿宋_GB2312" w:cs="Times New Roman"/>
                <w:b w:val="0"/>
                <w:bCs w:val="0"/>
                <w:color w:val="000000" w:themeColor="text1"/>
                <w:kern w:val="16"/>
                <w:sz w:val="24"/>
                <w:szCs w:val="24"/>
                <w:highlight w:val="none"/>
                <w:lang w:eastAsia="zh-CN" w:bidi="ar"/>
                <w14:textFill>
                  <w14:solidFill>
                    <w14:schemeClr w14:val="tx1"/>
                  </w14:solidFill>
                </w14:textFill>
              </w:rPr>
              <w:t>）</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，在往</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中输送时，产生的粉尘经</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罐</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顶的布袋除尘器处理</w:t>
            </w:r>
            <w:r>
              <w:rPr>
                <w:rFonts w:hint="default"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后</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，排放量为</w:t>
            </w:r>
            <w:r>
              <w:rPr>
                <w:rFonts w:hint="eastAsia" w:eastAsia="仿宋_GB2312" w:cs="Times New Roman"/>
                <w:b w:val="0"/>
                <w:bCs w:val="0"/>
                <w:color w:val="000000" w:themeColor="text1"/>
                <w:kern w:val="16"/>
                <w:sz w:val="24"/>
                <w:szCs w:val="24"/>
                <w:highlight w:val="none"/>
                <w:lang w:val="en-US" w:eastAsia="zh-CN" w:bidi="ar"/>
                <w14:textFill>
                  <w14:solidFill>
                    <w14:schemeClr w14:val="tx1"/>
                  </w14:solidFill>
                </w14:textFill>
              </w:rPr>
              <w:t>0.002</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t/a</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，产生的粉尘通过</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呼吸口排出，属于无组织排放。</w:t>
            </w:r>
          </w:p>
          <w:p>
            <w:pPr>
              <w:pStyle w:val="36"/>
              <w:keepNext w:val="0"/>
              <w:keepLines w:val="0"/>
              <w:suppressLineNumbers w:val="0"/>
              <w:spacing w:before="0" w:beforeAutospacing="0" w:afterAutospacing="0" w:line="360" w:lineRule="auto"/>
              <w:ind w:left="0" w:right="0" w:firstLine="480" w:firstLineChars="200"/>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pP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2）</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本项目年产</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14.5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万</w:t>
            </w:r>
            <w:r>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t>吨水泥稳定再生骨料无机混合料</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（以</w:t>
            </w:r>
            <w:r>
              <w:rPr>
                <w:rFonts w:hint="eastAsia" w:ascii="Times New Roman" w:hAnsi="Times New Roman" w:eastAsia="仿宋_GB2312" w:cs="Times New Roman"/>
                <w:b w:val="0"/>
                <w:bCs w:val="0"/>
                <w:color w:val="000000" w:themeColor="text1"/>
                <w:kern w:val="16"/>
                <w:sz w:val="24"/>
                <w:szCs w:val="24"/>
                <w:highlight w:val="none"/>
                <w:lang w:val="en-US" w:eastAsia="zh-CN"/>
                <w14:textFill>
                  <w14:solidFill>
                    <w14:schemeClr w14:val="tx1"/>
                  </w14:solidFill>
                </w14:textFill>
              </w:rPr>
              <w:t>水泥消耗量计，</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约</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7000</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/a）</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，年工作时间</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390</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h，因此</w:t>
            </w:r>
            <w:r>
              <w:rPr>
                <w:rFonts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物料储存工序废气量</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750.62</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/h，粉尘产生总量为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1.33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项目每个</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排气孔处均安装有布袋除尘器</w:t>
            </w:r>
            <w:r>
              <w:rPr>
                <w:rFonts w:hint="eastAsia" w:ascii="Times New Roman" w:hAnsi="Times New Roman" w:eastAsia="仿宋_GB2312" w:cs="Times New Roman"/>
                <w:b w:val="0"/>
                <w:bCs w:val="0"/>
                <w:color w:val="000000" w:themeColor="text1"/>
                <w:kern w:val="16"/>
                <w:sz w:val="24"/>
                <w:szCs w:val="24"/>
                <w:highlight w:val="none"/>
                <w:lang w:eastAsia="zh-CN" w:bidi="ar"/>
                <w14:textFill>
                  <w14:solidFill>
                    <w14:schemeClr w14:val="tx1"/>
                  </w14:solidFill>
                </w14:textFill>
              </w:rPr>
              <w:t>（</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除尘效率</w:t>
            </w:r>
            <w:r>
              <w:rPr>
                <w:rFonts w:hint="eastAsia" w:eastAsia="仿宋_GB2312" w:cs="Times New Roman"/>
                <w:b w:val="0"/>
                <w:bCs w:val="0"/>
                <w:color w:val="000000" w:themeColor="text1"/>
                <w:kern w:val="16"/>
                <w:sz w:val="24"/>
                <w:szCs w:val="24"/>
                <w:highlight w:val="none"/>
                <w:lang w:val="en-US" w:eastAsia="zh-CN" w:bidi="ar"/>
                <w14:textFill>
                  <w14:solidFill>
                    <w14:schemeClr w14:val="tx1"/>
                  </w14:solidFill>
                </w14:textFill>
              </w:rPr>
              <w:t>99.7</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w:t>
            </w:r>
            <w:r>
              <w:rPr>
                <w:rFonts w:hint="eastAsia" w:ascii="Times New Roman" w:hAnsi="Times New Roman" w:eastAsia="仿宋_GB2312" w:cs="Times New Roman"/>
                <w:b w:val="0"/>
                <w:bCs w:val="0"/>
                <w:color w:val="000000" w:themeColor="text1"/>
                <w:kern w:val="16"/>
                <w:sz w:val="24"/>
                <w:szCs w:val="24"/>
                <w:highlight w:val="none"/>
                <w:lang w:eastAsia="zh-CN" w:bidi="ar"/>
                <w14:textFill>
                  <w14:solidFill>
                    <w14:schemeClr w14:val="tx1"/>
                  </w14:solidFill>
                </w14:textFill>
              </w:rPr>
              <w:t>）</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，在往</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中输送时，产生的粉尘经</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罐</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顶的布袋除尘器处理</w:t>
            </w:r>
            <w:r>
              <w:rPr>
                <w:rFonts w:hint="default"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后</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，排放量为</w:t>
            </w:r>
            <w:r>
              <w:rPr>
                <w:rFonts w:hint="eastAsia" w:eastAsia="仿宋_GB2312" w:cs="Times New Roman"/>
                <w:b w:val="0"/>
                <w:bCs w:val="0"/>
                <w:color w:val="000000" w:themeColor="text1"/>
                <w:kern w:val="16"/>
                <w:sz w:val="24"/>
                <w:szCs w:val="24"/>
                <w:highlight w:val="none"/>
                <w:lang w:val="en-US" w:eastAsia="zh-CN" w:bidi="ar"/>
                <w14:textFill>
                  <w14:solidFill>
                    <w14:schemeClr w14:val="tx1"/>
                  </w14:solidFill>
                </w14:textFill>
              </w:rPr>
              <w:t>0.004</w:t>
            </w:r>
            <w:r>
              <w:rPr>
                <w:rFonts w:ascii="Times New Roman" w:hAnsi="Times New Roman" w:eastAsia="仿宋_GB2312" w:cs="Times New Roman"/>
                <w:b w:val="0"/>
                <w:bCs w:val="0"/>
                <w:color w:val="000000" w:themeColor="text1"/>
                <w:kern w:val="16"/>
                <w:sz w:val="24"/>
                <w:szCs w:val="24"/>
                <w:highlight w:val="none"/>
                <w:lang w:bidi="ar"/>
                <w14:textFill>
                  <w14:solidFill>
                    <w14:schemeClr w14:val="tx1"/>
                  </w14:solidFill>
                </w14:textFill>
              </w:rPr>
              <w:t>t/a，</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产生的粉尘通过</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粉料筒仓罐</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呼吸口排出，属于无组织排放。</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⑤</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搅拌机逸散</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粉尘产生量</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（G5）</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各种物料进入搅拌设备时，小粒径颗粒物会飘散形成粉尘，尤其是加入搅拌设备内的水泥、粉煤灰。虽然由于水的加入在一定程度上可抑制粉尘的产生，但在水泥、粉煤灰落料过程中会有少量粉尘产生。产污系数参考《排放源统计调查产排污核算方法和系数手册》(公告2021年第24号)中“3021水泥制品制造</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含3022砼结构构件制造、3029其他水泥类似制品制造</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行业系数手册，相关系数见表4-</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6</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p>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表4-</w:t>
            </w:r>
            <w:r>
              <w:rPr>
                <w:rFonts w:hint="eastAsia" w:cs="Times New Roman"/>
                <w:color w:val="auto"/>
                <w:kern w:val="0"/>
                <w:sz w:val="21"/>
                <w:szCs w:val="21"/>
                <w:highlight w:val="none"/>
                <w:lang w:val="en-US" w:eastAsia="zh-CN" w:bidi="ar-SA"/>
              </w:rPr>
              <w:t>6</w:t>
            </w:r>
            <w:r>
              <w:rPr>
                <w:rFonts w:eastAsia="黑体" w:cs="Times New Roman"/>
                <w:bCs/>
                <w:snapToGrid/>
                <w:sz w:val="24"/>
                <w:szCs w:val="24"/>
              </w:rPr>
              <w:t xml:space="preserve">  </w:t>
            </w:r>
            <w:r>
              <w:rPr>
                <w:rFonts w:hint="eastAsia" w:eastAsia="黑体" w:cs="Times New Roman"/>
                <w:bCs/>
                <w:snapToGrid/>
                <w:sz w:val="24"/>
                <w:szCs w:val="24"/>
                <w:lang w:val="en-US" w:eastAsia="zh-CN"/>
              </w:rPr>
              <w:t xml:space="preserve"> </w:t>
            </w:r>
            <w:r>
              <w:rPr>
                <w:rFonts w:hint="default" w:ascii="Times New Roman" w:hAnsi="Times New Roman" w:eastAsia="宋体" w:cs="Times New Roman"/>
                <w:b/>
                <w:bCs/>
                <w:color w:val="auto"/>
                <w:kern w:val="0"/>
                <w:sz w:val="24"/>
                <w:szCs w:val="24"/>
                <w:highlight w:val="none"/>
                <w:lang w:val="en-US" w:eastAsia="zh-CN" w:bidi="ar-SA"/>
              </w:rPr>
              <w:t>水泥制品制造行业系数一览表</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6"/>
              <w:gridCol w:w="1403"/>
              <w:gridCol w:w="1212"/>
              <w:gridCol w:w="1143"/>
              <w:gridCol w:w="1487"/>
              <w:gridCol w:w="1583"/>
              <w:gridCol w:w="1298"/>
              <w:gridCol w:w="1287"/>
              <w:gridCol w:w="1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工段名称</w:t>
                  </w:r>
                </w:p>
              </w:tc>
              <w:tc>
                <w:tcPr>
                  <w:tcW w:w="70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产品名称</w:t>
                  </w:r>
                </w:p>
              </w:tc>
              <w:tc>
                <w:tcPr>
                  <w:tcW w:w="9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原料名称</w:t>
                  </w:r>
                </w:p>
              </w:tc>
              <w:tc>
                <w:tcPr>
                  <w:tcW w:w="78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工艺名称</w:t>
                  </w:r>
                </w:p>
              </w:tc>
              <w:tc>
                <w:tcPr>
                  <w:tcW w:w="73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规模等级</w:t>
                  </w: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污染物指标</w:t>
                  </w:r>
                </w:p>
              </w:tc>
              <w:tc>
                <w:tcPr>
                  <w:tcW w:w="10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系数单位</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产污系数</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末端治理技术名称</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w:t>
                  </w:r>
                  <w:r>
                    <w:rPr>
                      <w:rFonts w:hint="eastAsia" w:cs="Times New Roman" w:eastAsiaTheme="minorEastAsia"/>
                      <w:bCs/>
                      <w:snapToGrid/>
                      <w:szCs w:val="20"/>
                    </w:rPr>
                    <w:t>搅拌</w:t>
                  </w:r>
                </w:p>
              </w:tc>
              <w:tc>
                <w:tcPr>
                  <w:tcW w:w="70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lang w:val="en-US" w:eastAsia="zh-CN"/>
                    </w:rPr>
                    <w:t>各种水泥</w:t>
                  </w:r>
                  <w:r>
                    <w:rPr>
                      <w:rFonts w:hint="eastAsia" w:cs="Times New Roman" w:eastAsiaTheme="minorEastAsia"/>
                      <w:bCs/>
                      <w:snapToGrid/>
                      <w:szCs w:val="20"/>
                    </w:rPr>
                    <w:t>制品</w:t>
                  </w:r>
                </w:p>
              </w:tc>
              <w:tc>
                <w:tcPr>
                  <w:tcW w:w="90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水泥、砂子、石子、钢筋</w:t>
                  </w:r>
                </w:p>
              </w:tc>
              <w:tc>
                <w:tcPr>
                  <w:tcW w:w="78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w:t>
                  </w:r>
                  <w:r>
                    <w:rPr>
                      <w:rFonts w:hint="eastAsia" w:cs="Times New Roman" w:eastAsiaTheme="minorEastAsia"/>
                      <w:bCs/>
                      <w:snapToGrid/>
                      <w:szCs w:val="20"/>
                    </w:rPr>
                    <w:t>混合搅拌</w:t>
                  </w:r>
                </w:p>
              </w:tc>
              <w:tc>
                <w:tcPr>
                  <w:tcW w:w="73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所有规模</w:t>
                  </w: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废气量</w:t>
                  </w:r>
                </w:p>
              </w:tc>
              <w:tc>
                <w:tcPr>
                  <w:tcW w:w="10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Nm</w:t>
                  </w:r>
                  <w:r>
                    <w:rPr>
                      <w:rFonts w:hint="default" w:cs="Times New Roman" w:eastAsiaTheme="minorEastAsia"/>
                      <w:bCs/>
                      <w:snapToGrid/>
                      <w:szCs w:val="20"/>
                      <w:vertAlign w:val="superscript"/>
                    </w:rPr>
                    <w:t>3</w:t>
                  </w:r>
                  <w:r>
                    <w:rPr>
                      <w:rFonts w:hint="default" w:cs="Times New Roman" w:eastAsiaTheme="minorEastAsia"/>
                      <w:bCs/>
                      <w:snapToGrid/>
                      <w:szCs w:val="20"/>
                    </w:rPr>
                    <w:t>/吨-产品</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rPr>
                    <w:t>129</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90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8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96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颗粒物</w:t>
                  </w:r>
                </w:p>
              </w:tc>
              <w:tc>
                <w:tcPr>
                  <w:tcW w:w="1017"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kg/吨-产品</w:t>
                  </w:r>
                </w:p>
              </w:tc>
              <w:tc>
                <w:tcPr>
                  <w:tcW w:w="83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rPr>
                    <w:t>0.523</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袋式除尘</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9</w:t>
                  </w:r>
                  <w:r>
                    <w:rPr>
                      <w:rFonts w:hint="eastAsia" w:cs="Times New Roman" w:eastAsiaTheme="minorEastAsia"/>
                      <w:bCs/>
                      <w:snapToGrid/>
                      <w:szCs w:val="20"/>
                      <w:lang w:val="en-US" w:eastAsia="zh-CN"/>
                    </w:rPr>
                    <w:t>9.7</w:t>
                  </w: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90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78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7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9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101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83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rPr>
                    <w:t>直排</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2" w:type="dxa"/>
                  <w:gridSpan w:val="10"/>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单位换算系数：2.3吨=1立方米。适用于商砼、水泥制品及含钢筋类预制构件。</w:t>
                  </w:r>
                </w:p>
              </w:tc>
            </w:tr>
          </w:tbl>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szCs w:val="24"/>
                <w:highlight w:val="none"/>
                <w:lang w:val="en-US" w:eastAsia="zh-CN" w:bidi="ar-SA"/>
              </w:rPr>
            </w:pPr>
            <w:r>
              <w:rPr>
                <w:rFonts w:hint="eastAsia" w:cs="Times New Roman"/>
                <w:color w:val="auto"/>
                <w:kern w:val="0"/>
                <w:sz w:val="21"/>
                <w:szCs w:val="21"/>
                <w:highlight w:val="none"/>
                <w:lang w:val="en-US" w:eastAsia="zh-CN" w:bidi="ar-SA"/>
              </w:rPr>
              <w:t>续</w:t>
            </w:r>
            <w:r>
              <w:rPr>
                <w:rFonts w:hint="default" w:ascii="Times New Roman" w:hAnsi="Times New Roman" w:eastAsia="宋体" w:cs="Times New Roman"/>
                <w:color w:val="auto"/>
                <w:kern w:val="0"/>
                <w:sz w:val="21"/>
                <w:szCs w:val="21"/>
                <w:highlight w:val="none"/>
                <w:lang w:val="en-US" w:eastAsia="zh-CN" w:bidi="ar-SA"/>
              </w:rPr>
              <w:t>表4-</w:t>
            </w:r>
            <w:r>
              <w:rPr>
                <w:rFonts w:hint="eastAsia" w:cs="Times New Roman"/>
                <w:color w:val="auto"/>
                <w:kern w:val="0"/>
                <w:sz w:val="21"/>
                <w:szCs w:val="21"/>
                <w:highlight w:val="none"/>
                <w:lang w:val="en-US" w:eastAsia="zh-CN" w:bidi="ar-SA"/>
              </w:rPr>
              <w:t>6</w:t>
            </w:r>
            <w:r>
              <w:rPr>
                <w:rFonts w:eastAsia="黑体" w:cs="Times New Roman"/>
                <w:bCs/>
                <w:snapToGrid/>
                <w:sz w:val="24"/>
                <w:szCs w:val="24"/>
              </w:rPr>
              <w:t xml:space="preserve">  </w:t>
            </w:r>
            <w:r>
              <w:rPr>
                <w:rFonts w:hint="eastAsia" w:eastAsia="黑体" w:cs="Times New Roman"/>
                <w:bCs/>
                <w:snapToGrid/>
                <w:sz w:val="24"/>
                <w:szCs w:val="24"/>
                <w:lang w:val="en-US" w:eastAsia="zh-CN"/>
              </w:rPr>
              <w:t xml:space="preserve"> </w:t>
            </w:r>
            <w:r>
              <w:rPr>
                <w:rFonts w:hint="default" w:ascii="Times New Roman" w:hAnsi="Times New Roman" w:eastAsia="宋体" w:cs="Times New Roman"/>
                <w:b/>
                <w:bCs/>
                <w:color w:val="auto"/>
                <w:kern w:val="0"/>
                <w:sz w:val="24"/>
                <w:szCs w:val="24"/>
                <w:highlight w:val="none"/>
                <w:lang w:val="en-US" w:eastAsia="zh-CN" w:bidi="ar-SA"/>
              </w:rPr>
              <w:t>水泥制品制造行业系数一览表</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6"/>
              <w:gridCol w:w="1403"/>
              <w:gridCol w:w="1212"/>
              <w:gridCol w:w="1143"/>
              <w:gridCol w:w="1487"/>
              <w:gridCol w:w="1583"/>
              <w:gridCol w:w="1298"/>
              <w:gridCol w:w="1287"/>
              <w:gridCol w:w="1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工段名称</w:t>
                  </w:r>
                </w:p>
              </w:tc>
              <w:tc>
                <w:tcPr>
                  <w:tcW w:w="70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产品名称</w:t>
                  </w:r>
                </w:p>
              </w:tc>
              <w:tc>
                <w:tcPr>
                  <w:tcW w:w="9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原料名称</w:t>
                  </w:r>
                </w:p>
              </w:tc>
              <w:tc>
                <w:tcPr>
                  <w:tcW w:w="78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工艺名称</w:t>
                  </w:r>
                </w:p>
              </w:tc>
              <w:tc>
                <w:tcPr>
                  <w:tcW w:w="73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规模等级</w:t>
                  </w: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污染物指标</w:t>
                  </w:r>
                </w:p>
              </w:tc>
              <w:tc>
                <w:tcPr>
                  <w:tcW w:w="10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系数单位</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产污系数</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末端治理技术名称</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
                      <w:snapToGrid/>
                      <w:szCs w:val="20"/>
                    </w:rPr>
                  </w:pPr>
                  <w:r>
                    <w:rPr>
                      <w:rFonts w:hint="default" w:cs="Times New Roman" w:eastAsiaTheme="minorEastAsia"/>
                      <w:b/>
                      <w:snapToGrid/>
                      <w:szCs w:val="20"/>
                    </w:rPr>
                    <w:t>末端治理技术效率（%）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w:t>
                  </w:r>
                  <w:r>
                    <w:rPr>
                      <w:rFonts w:hint="eastAsia" w:cs="Times New Roman" w:eastAsiaTheme="minorEastAsia"/>
                      <w:bCs/>
                      <w:snapToGrid/>
                      <w:szCs w:val="20"/>
                    </w:rPr>
                    <w:t>搅拌</w:t>
                  </w:r>
                </w:p>
              </w:tc>
              <w:tc>
                <w:tcPr>
                  <w:tcW w:w="70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rPr>
                    <w:t>混凝土制品</w:t>
                  </w:r>
                </w:p>
              </w:tc>
              <w:tc>
                <w:tcPr>
                  <w:tcW w:w="90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水泥、砂子、石子、钢筋</w:t>
                  </w:r>
                </w:p>
              </w:tc>
              <w:tc>
                <w:tcPr>
                  <w:tcW w:w="78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物料</w:t>
                  </w:r>
                  <w:r>
                    <w:rPr>
                      <w:rFonts w:hint="eastAsia" w:cs="Times New Roman" w:eastAsiaTheme="minorEastAsia"/>
                      <w:bCs/>
                      <w:snapToGrid/>
                      <w:szCs w:val="20"/>
                    </w:rPr>
                    <w:t>混合搅拌</w:t>
                  </w:r>
                </w:p>
              </w:tc>
              <w:tc>
                <w:tcPr>
                  <w:tcW w:w="73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所有规模</w:t>
                  </w: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废气量</w:t>
                  </w:r>
                </w:p>
              </w:tc>
              <w:tc>
                <w:tcPr>
                  <w:tcW w:w="101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Nm</w:t>
                  </w:r>
                  <w:r>
                    <w:rPr>
                      <w:rFonts w:hint="default" w:cs="Times New Roman" w:eastAsiaTheme="minorEastAsia"/>
                      <w:bCs/>
                      <w:snapToGrid/>
                      <w:szCs w:val="20"/>
                      <w:vertAlign w:val="superscript"/>
                    </w:rPr>
                    <w:t>3</w:t>
                  </w:r>
                  <w:r>
                    <w:rPr>
                      <w:rFonts w:hint="default" w:cs="Times New Roman" w:eastAsiaTheme="minorEastAsia"/>
                      <w:bCs/>
                      <w:snapToGrid/>
                      <w:szCs w:val="20"/>
                    </w:rPr>
                    <w:t>/吨-产品</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lang w:val="en-US" w:eastAsia="zh-CN"/>
                    </w:rPr>
                  </w:pPr>
                  <w:r>
                    <w:rPr>
                      <w:rFonts w:hint="eastAsia" w:cs="Times New Roman" w:eastAsiaTheme="minorEastAsia"/>
                      <w:bCs/>
                      <w:snapToGrid/>
                      <w:szCs w:val="20"/>
                      <w:lang w:val="en-US" w:eastAsia="zh-CN"/>
                    </w:rPr>
                    <w:t>25</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90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8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7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zCs w:val="20"/>
                    </w:rPr>
                  </w:pPr>
                </w:p>
              </w:tc>
              <w:tc>
                <w:tcPr>
                  <w:tcW w:w="96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颗粒物</w:t>
                  </w:r>
                </w:p>
              </w:tc>
              <w:tc>
                <w:tcPr>
                  <w:tcW w:w="1017"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kg/吨-产品</w:t>
                  </w:r>
                </w:p>
              </w:tc>
              <w:tc>
                <w:tcPr>
                  <w:tcW w:w="83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lang w:val="en-US" w:eastAsia="zh-CN"/>
                    </w:rPr>
                  </w:pPr>
                  <w:r>
                    <w:rPr>
                      <w:rFonts w:hint="eastAsia" w:cs="Times New Roman" w:eastAsiaTheme="minorEastAsia"/>
                      <w:bCs/>
                      <w:snapToGrid/>
                      <w:szCs w:val="20"/>
                      <w:lang w:val="en-US" w:eastAsia="zh-CN"/>
                    </w:rPr>
                    <w:t>0.13</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袋式除尘</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9</w:t>
                  </w:r>
                  <w:r>
                    <w:rPr>
                      <w:rFonts w:hint="eastAsia" w:cs="Times New Roman" w:eastAsiaTheme="minorEastAsia"/>
                      <w:bCs/>
                      <w:snapToGrid/>
                      <w:szCs w:val="20"/>
                      <w:lang w:val="en-US" w:eastAsia="zh-CN"/>
                    </w:rPr>
                    <w:t>9.7</w:t>
                  </w: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70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90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78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7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9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101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83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0"/>
                    </w:rPr>
                  </w:pP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eastAsia" w:cs="Times New Roman" w:eastAsiaTheme="minorEastAsia"/>
                      <w:bCs/>
                      <w:snapToGrid/>
                      <w:szCs w:val="20"/>
                    </w:rPr>
                    <w:t>直排</w:t>
                  </w:r>
                </w:p>
              </w:tc>
              <w:tc>
                <w:tcPr>
                  <w:tcW w:w="8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92" w:type="dxa"/>
                  <w:gridSpan w:val="10"/>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eastAsiaTheme="minorEastAsia"/>
                      <w:bCs/>
                      <w:snapToGrid/>
                      <w:szCs w:val="20"/>
                    </w:rPr>
                  </w:pPr>
                  <w:r>
                    <w:rPr>
                      <w:rFonts w:hint="default" w:cs="Times New Roman" w:eastAsiaTheme="minorEastAsia"/>
                      <w:bCs/>
                      <w:snapToGrid/>
                      <w:szCs w:val="20"/>
                    </w:rPr>
                    <w:t>单位换算系数：2.3吨=1立方米。适用于商砼、水泥制品及含钢筋类预制构件。</w:t>
                  </w:r>
                </w:p>
              </w:tc>
            </w:tr>
          </w:tbl>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本项目年产</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15.5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万</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m</w:t>
            </w:r>
            <w:r>
              <w:rPr>
                <w:rFonts w:hint="eastAsia"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2</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再生</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混凝土</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制</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品（折算</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约</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36915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/a</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），年工作时间</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1680</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h，因此搅拌过程废气量为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549.33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/h，粉尘产生总量为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20.15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本项目</w:t>
            </w:r>
            <w:r>
              <w:rPr>
                <w:rFonts w:hint="default"/>
                <w:color w:val="000000" w:themeColor="text1"/>
                <w:highlight w:val="none"/>
                <w14:textFill>
                  <w14:solidFill>
                    <w14:schemeClr w14:val="tx1"/>
                  </w14:solidFill>
                </w14:textFill>
              </w:rPr>
              <w:t>再生混凝土</w:t>
            </w:r>
            <w:r>
              <w:rPr>
                <w:rFonts w:hint="eastAsia"/>
                <w:color w:val="000000" w:themeColor="text1"/>
                <w:highlight w:val="none"/>
                <w:lang w:val="en-US" w:eastAsia="zh-CN"/>
                <w14:textFill>
                  <w14:solidFill>
                    <w14:schemeClr w14:val="tx1"/>
                  </w14:solidFill>
                </w14:textFill>
              </w:rPr>
              <w:t>生产线采用</w:t>
            </w:r>
            <w:r>
              <w:rPr>
                <w:rFonts w:hint="default"/>
                <w:color w:val="000000" w:themeColor="text1"/>
                <w:highlight w:val="none"/>
                <w14:textFill>
                  <w14:solidFill>
                    <w14:schemeClr w14:val="tx1"/>
                  </w14:solidFill>
                </w14:textFill>
              </w:rPr>
              <w:t>密闭型搅拌机，另外再生混凝土制品和水稳料均为湿法作业，搅拌过程粉尘产生量较低。</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搅拌机配置脉冲布袋除尘器，搅拌过程中在搅拌装置处设置管道，通过管道将粉尘引入配套的1套脉冲布袋除尘器</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除尘效率</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99.7</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内进行除尘处理后，粉尘排放量为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0.06</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。搅拌机</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产生的</w:t>
            </w:r>
            <w:r>
              <w:rPr>
                <w:rFonts w:hint="eastAsia" w:cs="Times New Roman"/>
                <w:b w:val="0"/>
                <w:bCs w:val="0"/>
                <w:snapToGrid/>
                <w:color w:val="000000" w:themeColor="text1"/>
                <w:kern w:val="16"/>
                <w:sz w:val="24"/>
                <w:szCs w:val="24"/>
                <w:highlight w:val="none"/>
                <w:lang w:val="en-US" w:eastAsia="zh-CN"/>
                <w14:textFill>
                  <w14:solidFill>
                    <w14:schemeClr w14:val="tx1"/>
                  </w14:solidFill>
                </w14:textFill>
              </w:rPr>
              <w:t>落料</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粉尘属于无组织排放。</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2）</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本项目年产</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14.5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万</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吨水泥稳定再生骨料无机混合料</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，年工作时间</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390</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h，因此搅拌过程废气量为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47961.54</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/h，粉尘产生总量为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75.84</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本项目水稳料生产线采用</w:t>
            </w:r>
            <w:r>
              <w:rPr>
                <w:rFonts w:hint="default"/>
                <w:color w:val="000000" w:themeColor="text1"/>
                <w:highlight w:val="none"/>
                <w14:textFill>
                  <w14:solidFill>
                    <w14:schemeClr w14:val="tx1"/>
                  </w14:solidFill>
                </w14:textFill>
              </w:rPr>
              <w:t>密闭型搅拌机，另外再生混凝土制品和水稳料均为湿法作业，搅拌过程粉尘产生量较低。</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搅拌机配置脉冲布袋除尘器，搅拌过程中在搅拌装置处设置管道，通过管道将粉尘引入配套的1套脉冲布袋除尘器</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除尘效率</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99.7</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内进行除尘处理后</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粉尘排放量为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0.23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。搅拌机</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产生的</w:t>
            </w:r>
            <w:r>
              <w:rPr>
                <w:rFonts w:hint="eastAsia" w:cs="Times New Roman"/>
                <w:b w:val="0"/>
                <w:bCs w:val="0"/>
                <w:snapToGrid/>
                <w:color w:val="000000" w:themeColor="text1"/>
                <w:kern w:val="16"/>
                <w:sz w:val="24"/>
                <w:szCs w:val="24"/>
                <w:highlight w:val="none"/>
                <w:lang w:val="en-US" w:eastAsia="zh-CN"/>
                <w14:textFill>
                  <w14:solidFill>
                    <w14:schemeClr w14:val="tx1"/>
                  </w14:solidFill>
                </w14:textFill>
              </w:rPr>
              <w:t>落料</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粉尘属于无组织排放。</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表4-</w:t>
            </w:r>
            <w:r>
              <w:rPr>
                <w:rFonts w:hint="eastAsia" w:cs="Times New Roman"/>
                <w:color w:val="000000" w:themeColor="text1"/>
                <w:kern w:val="0"/>
                <w:sz w:val="21"/>
                <w:szCs w:val="21"/>
                <w:highlight w:val="none"/>
                <w:lang w:val="en-US" w:eastAsia="zh-CN" w:bidi="ar-SA"/>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本项目无组织废气粉尘污染物排放情况一览表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2609"/>
              <w:gridCol w:w="1674"/>
              <w:gridCol w:w="1952"/>
              <w:gridCol w:w="1813"/>
              <w:gridCol w:w="1813"/>
              <w:gridCol w:w="18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3927"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eastAsia="宋体" w:cs="Times New Roman"/>
                      <w:b/>
                      <w:bCs/>
                      <w:color w:val="000000" w:themeColor="text1"/>
                      <w:sz w:val="21"/>
                      <w:szCs w:val="21"/>
                      <w:lang w:eastAsia="zh-CN" w:bidi="ar"/>
                      <w14:textFill>
                        <w14:solidFill>
                          <w14:schemeClr w14:val="tx1"/>
                        </w14:solidFill>
                      </w14:textFill>
                    </w:rPr>
                    <w:t>污染源</w:t>
                  </w:r>
                </w:p>
              </w:tc>
              <w:tc>
                <w:tcPr>
                  <w:tcW w:w="1674" w:type="dxa"/>
                  <w:tcBorders>
                    <w:tl2br w:val="nil"/>
                    <w:tr2bl w:val="nil"/>
                  </w:tcBorders>
                  <w:vAlign w:val="center"/>
                </w:tcPr>
                <w:p>
                  <w:pPr>
                    <w:pStyle w:val="9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outlineLvl w:val="2"/>
                    <w:rPr>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
                      <w14:textFill>
                        <w14:solidFill>
                          <w14:schemeClr w14:val="tx1"/>
                        </w14:solidFill>
                      </w14:textFill>
                    </w:rPr>
                    <w:t>车辆运输</w:t>
                  </w:r>
                </w:p>
              </w:tc>
              <w:tc>
                <w:tcPr>
                  <w:tcW w:w="1952" w:type="dxa"/>
                  <w:tcBorders>
                    <w:tl2br w:val="nil"/>
                    <w:tr2bl w:val="nil"/>
                  </w:tcBorders>
                  <w:vAlign w:val="center"/>
                </w:tcPr>
                <w:p>
                  <w:pPr>
                    <w:pStyle w:val="9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outlineLvl w:val="2"/>
                    <w:rPr>
                      <w:rFonts w:hint="eastAsia" w:ascii="Times New Roman" w:hAnsi="Times New Roman" w:eastAsia="宋体" w:cs="Times New Roman"/>
                      <w:b/>
                      <w:bCs/>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
                      <w14:textFill>
                        <w14:solidFill>
                          <w14:schemeClr w14:val="tx1"/>
                        </w14:solidFill>
                      </w14:textFill>
                    </w:rPr>
                    <w:t>建筑垃圾原料堆场</w:t>
                  </w:r>
                </w:p>
              </w:tc>
              <w:tc>
                <w:tcPr>
                  <w:tcW w:w="1813"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000000" w:themeColor="text1"/>
                      <w:sz w:val="2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bidi="ar"/>
                      <w14:textFill>
                        <w14:solidFill>
                          <w14:schemeClr w14:val="tx1"/>
                        </w14:solidFill>
                      </w14:textFill>
                    </w:rPr>
                    <w:t>再生产品堆场</w:t>
                  </w:r>
                </w:p>
              </w:tc>
              <w:tc>
                <w:tcPr>
                  <w:tcW w:w="1813"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000000" w:themeColor="text1"/>
                      <w:sz w:val="21"/>
                      <w:szCs w:val="21"/>
                      <w:lang w:val="en-US" w:eastAsia="zh-CN" w:bidi="ar"/>
                      <w14:textFill>
                        <w14:solidFill>
                          <w14:schemeClr w14:val="tx1"/>
                        </w14:solidFill>
                      </w14:textFill>
                    </w:rPr>
                  </w:pPr>
                  <w:r>
                    <w:rPr>
                      <w:rFonts w:hint="eastAsia" w:eastAsia="宋体" w:cs="Times New Roman"/>
                      <w:b/>
                      <w:bCs/>
                      <w:color w:val="000000" w:themeColor="text1"/>
                      <w:kern w:val="2"/>
                      <w:sz w:val="21"/>
                      <w:szCs w:val="21"/>
                      <w:lang w:val="en-US" w:eastAsia="zh-CN" w:bidi="ar"/>
                      <w14:textFill>
                        <w14:solidFill>
                          <w14:schemeClr w14:val="tx1"/>
                        </w14:solidFill>
                      </w14:textFill>
                    </w:rPr>
                    <w:t>粉料筒仓罐</w:t>
                  </w:r>
                </w:p>
              </w:tc>
              <w:tc>
                <w:tcPr>
                  <w:tcW w:w="1816"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pPr>
                  <w:r>
                    <w:rPr>
                      <w:rFonts w:hint="eastAsia" w:cs="Times New Roman"/>
                      <w:b/>
                      <w:bCs/>
                      <w:color w:val="000000" w:themeColor="text1"/>
                      <w:sz w:val="21"/>
                      <w:szCs w:val="21"/>
                      <w:lang w:val="en-US" w:eastAsia="zh-CN" w:bidi="ar"/>
                      <w14:textFill>
                        <w14:solidFill>
                          <w14:schemeClr w14:val="tx1"/>
                        </w14:solidFill>
                      </w14:textFill>
                    </w:rPr>
                    <w:t>搅拌机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27"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污染物种类</w:t>
                  </w:r>
                </w:p>
              </w:tc>
              <w:tc>
                <w:tcPr>
                  <w:tcW w:w="16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val="0"/>
                      <w:bCs w:val="0"/>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颗粒物</w:t>
                  </w:r>
                </w:p>
              </w:tc>
              <w:tc>
                <w:tcPr>
                  <w:tcW w:w="1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颗粒物</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val="0"/>
                      <w:bCs w:val="0"/>
                      <w:color w:val="000000" w:themeColor="text1"/>
                      <w:sz w:val="21"/>
                      <w:szCs w:val="21"/>
                      <w:lang w:eastAsia="zh-CN" w:bidi="ar"/>
                      <w14:textFill>
                        <w14:solidFill>
                          <w14:schemeClr w14:val="tx1"/>
                        </w14:solidFill>
                      </w14:textFill>
                    </w:rPr>
                  </w:pPr>
                  <w:r>
                    <w:rPr>
                      <w:rFonts w:hint="eastAsia" w:eastAsia="宋体" w:cs="Times New Roman"/>
                      <w:b w:val="0"/>
                      <w:bCs w:val="0"/>
                      <w:color w:val="000000" w:themeColor="text1"/>
                      <w:sz w:val="21"/>
                      <w:szCs w:val="21"/>
                      <w:lang w:eastAsia="zh-CN" w:bidi="ar"/>
                      <w14:textFill>
                        <w14:solidFill>
                          <w14:schemeClr w14:val="tx1"/>
                        </w14:solidFill>
                      </w14:textFill>
                    </w:rPr>
                    <w:t>颗粒物</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b w:val="0"/>
                      <w:bCs w:val="0"/>
                      <w:color w:val="000000" w:themeColor="text1"/>
                      <w:sz w:val="21"/>
                      <w:szCs w:val="21"/>
                      <w:lang w:eastAsia="zh-CN" w:bidi="ar"/>
                      <w14:textFill>
                        <w14:solidFill>
                          <w14:schemeClr w14:val="tx1"/>
                        </w14:solidFill>
                      </w14:textFill>
                    </w:rPr>
                  </w:pPr>
                  <w:r>
                    <w:rPr>
                      <w:rFonts w:hint="eastAsia" w:eastAsia="宋体" w:cs="Times New Roman"/>
                      <w:b w:val="0"/>
                      <w:bCs w:val="0"/>
                      <w:color w:val="000000" w:themeColor="text1"/>
                      <w:sz w:val="21"/>
                      <w:szCs w:val="21"/>
                      <w:lang w:eastAsia="zh-CN" w:bidi="ar"/>
                      <w14:textFill>
                        <w14:solidFill>
                          <w14:schemeClr w14:val="tx1"/>
                        </w14:solidFill>
                      </w14:textFill>
                    </w:rPr>
                    <w:t>颗粒物</w:t>
                  </w:r>
                </w:p>
              </w:tc>
              <w:tc>
                <w:tcPr>
                  <w:tcW w:w="181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b w:val="0"/>
                      <w:bCs w:val="0"/>
                      <w:color w:val="000000" w:themeColor="text1"/>
                      <w:sz w:val="21"/>
                      <w:szCs w:val="21"/>
                      <w:lang w:eastAsia="zh-CN" w:bidi="ar"/>
                      <w14:textFill>
                        <w14:solidFill>
                          <w14:schemeClr w14:val="tx1"/>
                        </w14:solidFill>
                      </w14:textFill>
                    </w:rPr>
                  </w:pPr>
                  <w:r>
                    <w:rPr>
                      <w:rFonts w:hint="eastAsia" w:eastAsia="宋体" w:cs="Times New Roman"/>
                      <w:b w:val="0"/>
                      <w:bCs w:val="0"/>
                      <w:color w:val="000000" w:themeColor="text1"/>
                      <w:sz w:val="21"/>
                      <w:szCs w:val="21"/>
                      <w:lang w:eastAsia="zh-CN" w:bidi="ar"/>
                      <w14:textFill>
                        <w14:solidFill>
                          <w14:schemeClr w14:val="tx1"/>
                        </w14:solidFill>
                      </w14:textFill>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3927"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污染物产生量</w:t>
                  </w:r>
                  <w:r>
                    <w:rPr>
                      <w:rFonts w:hint="eastAsia" w:eastAsia="宋体" w:cs="Times New Roman"/>
                      <w:b w:val="0"/>
                      <w:bCs w:val="0"/>
                      <w:color w:val="000000" w:themeColor="text1"/>
                      <w:sz w:val="21"/>
                      <w:szCs w:val="21"/>
                      <w:lang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t/a</w:t>
                  </w:r>
                  <w:r>
                    <w:rPr>
                      <w:rFonts w:hint="eastAsia" w:eastAsia="宋体" w:cs="Times New Roman"/>
                      <w:b w:val="0"/>
                      <w:bCs w:val="0"/>
                      <w:color w:val="000000" w:themeColor="text1"/>
                      <w:sz w:val="21"/>
                      <w:szCs w:val="21"/>
                      <w:lang w:eastAsia="zh-CN" w:bidi="ar"/>
                      <w14:textFill>
                        <w14:solidFill>
                          <w14:schemeClr w14:val="tx1"/>
                        </w14:solidFill>
                      </w14:textFill>
                    </w:rPr>
                    <w:t>）</w:t>
                  </w:r>
                </w:p>
              </w:tc>
              <w:tc>
                <w:tcPr>
                  <w:tcW w:w="16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bidi="ar"/>
                      <w14:textFill>
                        <w14:solidFill>
                          <w14:schemeClr w14:val="tx1"/>
                        </w14:solidFill>
                      </w14:textFill>
                    </w:rPr>
                    <w:t>0.074</w:t>
                  </w:r>
                </w:p>
              </w:tc>
              <w:tc>
                <w:tcPr>
                  <w:tcW w:w="1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cs="Times New Roman"/>
                      <w:b w:val="0"/>
                      <w:bCs w:val="0"/>
                      <w:color w:val="000000" w:themeColor="text1"/>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bidi="ar"/>
                      <w14:textFill>
                        <w14:solidFill>
                          <w14:schemeClr w14:val="tx1"/>
                        </w14:solidFill>
                      </w14:textFill>
                    </w:rPr>
                    <w:t>30.41</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b w:val="0"/>
                      <w:bCs w:val="0"/>
                      <w:color w:val="000000" w:themeColor="text1"/>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bidi="ar"/>
                      <w14:textFill>
                        <w14:solidFill>
                          <w14:schemeClr w14:val="tx1"/>
                        </w14:solidFill>
                      </w14:textFill>
                    </w:rPr>
                    <w:t>0.19</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s="Times New Roman"/>
                      <w:b w:val="0"/>
                      <w:bCs w:val="0"/>
                      <w:color w:val="000000" w:themeColor="text1"/>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bidi="ar"/>
                      <w14:textFill>
                        <w14:solidFill>
                          <w14:schemeClr w14:val="tx1"/>
                        </w14:solidFill>
                      </w14:textFill>
                    </w:rPr>
                    <w:t>2.00</w:t>
                  </w:r>
                </w:p>
              </w:tc>
              <w:tc>
                <w:tcPr>
                  <w:tcW w:w="181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s="Times New Roman"/>
                      <w:b w:val="0"/>
                      <w:bCs w:val="0"/>
                      <w:color w:val="000000" w:themeColor="text1"/>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bidi="ar"/>
                      <w14:textFill>
                        <w14:solidFill>
                          <w14:schemeClr w14:val="tx1"/>
                        </w14:solidFill>
                      </w14:textFill>
                    </w:rPr>
                    <w:t>95.99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3927"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排放形式</w:t>
                  </w:r>
                </w:p>
              </w:tc>
              <w:tc>
                <w:tcPr>
                  <w:tcW w:w="16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val="0"/>
                      <w:bCs w:val="0"/>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无组织</w:t>
                  </w:r>
                </w:p>
              </w:tc>
              <w:tc>
                <w:tcPr>
                  <w:tcW w:w="1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无组织</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b w:val="0"/>
                      <w:bCs w:val="0"/>
                      <w:color w:val="000000" w:themeColor="text1"/>
                      <w:sz w:val="21"/>
                      <w:szCs w:val="21"/>
                      <w:lang w:eastAsia="zh-CN" w:bidi="ar"/>
                      <w14:textFill>
                        <w14:solidFill>
                          <w14:schemeClr w14:val="tx1"/>
                        </w14:solidFill>
                      </w14:textFill>
                    </w:rPr>
                  </w:pPr>
                  <w:r>
                    <w:rPr>
                      <w:rFonts w:hint="eastAsia" w:eastAsia="宋体" w:cs="Times New Roman"/>
                      <w:b w:val="0"/>
                      <w:bCs w:val="0"/>
                      <w:color w:val="000000" w:themeColor="text1"/>
                      <w:sz w:val="21"/>
                      <w:szCs w:val="21"/>
                      <w:lang w:eastAsia="zh-CN" w:bidi="ar"/>
                      <w14:textFill>
                        <w14:solidFill>
                          <w14:schemeClr w14:val="tx1"/>
                        </w14:solidFill>
                      </w14:textFill>
                    </w:rPr>
                    <w:t>无组织</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eastAsia="宋体" w:cs="Times New Roman"/>
                      <w:b w:val="0"/>
                      <w:bCs w:val="0"/>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无组织</w:t>
                  </w:r>
                </w:p>
              </w:tc>
              <w:tc>
                <w:tcPr>
                  <w:tcW w:w="181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eastAsia="宋体" w:cs="Times New Roman"/>
                      <w:b w:val="0"/>
                      <w:bCs w:val="0"/>
                      <w:color w:val="000000" w:themeColor="text1"/>
                      <w:sz w:val="21"/>
                      <w:szCs w:val="21"/>
                      <w:lang w:eastAsia="zh-CN" w:bidi="ar"/>
                      <w14:textFill>
                        <w14:solidFill>
                          <w14:schemeClr w14:val="tx1"/>
                        </w14:solidFill>
                      </w14:textFill>
                    </w:rPr>
                  </w:pPr>
                  <w:r>
                    <w:rPr>
                      <w:rFonts w:hint="eastAsia" w:eastAsia="宋体" w:cs="Times New Roman"/>
                      <w:b w:val="0"/>
                      <w:bCs w:val="0"/>
                      <w:color w:val="000000" w:themeColor="text1"/>
                      <w:sz w:val="21"/>
                      <w:szCs w:val="21"/>
                      <w:lang w:eastAsia="zh-CN" w:bidi="ar"/>
                      <w14:textFill>
                        <w14:solidFill>
                          <w14:schemeClr w14:val="tx1"/>
                        </w14:solidFill>
                      </w14:textFill>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治理设施</w:t>
                  </w:r>
                </w:p>
              </w:tc>
              <w:tc>
                <w:tcPr>
                  <w:tcW w:w="260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处理能力</w:t>
                  </w:r>
                </w:p>
              </w:tc>
              <w:tc>
                <w:tcPr>
                  <w:tcW w:w="16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w:t>
                  </w:r>
                </w:p>
              </w:tc>
              <w:tc>
                <w:tcPr>
                  <w:tcW w:w="1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pPr>
                  <w:r>
                    <w:rPr>
                      <w:rFonts w:hint="eastAsia" w:eastAsia="宋体" w:cs="Times New Roman"/>
                      <w:b w:val="0"/>
                      <w:bCs w:val="0"/>
                      <w:color w:val="000000" w:themeColor="text1"/>
                      <w:sz w:val="21"/>
                      <w:szCs w:val="21"/>
                      <w:lang w:val="en-US" w:eastAsia="zh-CN" w:bidi="ar"/>
                      <w14:textFill>
                        <w14:solidFill>
                          <w14:schemeClr w14:val="tx1"/>
                        </w14:solidFill>
                      </w14:textFill>
                    </w:rPr>
                    <w:t>/</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b w:val="0"/>
                      <w:bCs w:val="0"/>
                      <w:color w:val="000000" w:themeColor="text1"/>
                      <w:sz w:val="21"/>
                      <w:szCs w:val="21"/>
                      <w:lang w:val="en-US" w:eastAsia="zh-CN" w:bidi="ar"/>
                      <w14:textFill>
                        <w14:solidFill>
                          <w14:schemeClr w14:val="tx1"/>
                        </w14:solidFill>
                      </w14:textFill>
                    </w:rPr>
                  </w:pPr>
                  <w:r>
                    <w:rPr>
                      <w:rFonts w:hint="eastAsia" w:eastAsia="宋体" w:cs="Times New Roman"/>
                      <w:b w:val="0"/>
                      <w:bCs w:val="0"/>
                      <w:color w:val="000000" w:themeColor="text1"/>
                      <w:sz w:val="21"/>
                      <w:szCs w:val="21"/>
                      <w:lang w:val="en-US" w:eastAsia="zh-CN" w:bidi="ar"/>
                      <w14:textFill>
                        <w14:solidFill>
                          <w14:schemeClr w14:val="tx1"/>
                        </w14:solidFill>
                      </w14:textFill>
                    </w:rPr>
                    <w:t>/</w:t>
                  </w:r>
                </w:p>
              </w:tc>
              <w:tc>
                <w:tcPr>
                  <w:tcW w:w="181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b w:val="0"/>
                      <w:bCs w:val="0"/>
                      <w:color w:val="000000" w:themeColor="text1"/>
                      <w:sz w:val="21"/>
                      <w:szCs w:val="21"/>
                      <w:lang w:val="en-US" w:eastAsia="zh-CN" w:bidi="ar"/>
                      <w14:textFill>
                        <w14:solidFill>
                          <w14:schemeClr w14:val="tx1"/>
                        </w14:solidFill>
                      </w14:textFill>
                    </w:rPr>
                  </w:pPr>
                  <w:r>
                    <w:rPr>
                      <w:rFonts w:hint="eastAsia" w:eastAsia="宋体" w:cs="Times New Roman"/>
                      <w:b w:val="0"/>
                      <w:bCs w:val="0"/>
                      <w:color w:val="000000" w:themeColor="text1"/>
                      <w:sz w:val="21"/>
                      <w:szCs w:val="21"/>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318"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260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治理工艺</w:t>
                  </w:r>
                </w:p>
              </w:tc>
              <w:tc>
                <w:tcPr>
                  <w:tcW w:w="9068" w:type="dxa"/>
                  <w:gridSpan w:val="5"/>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b w:val="0"/>
                      <w:bCs w:val="0"/>
                      <w:color w:val="000000" w:themeColor="text1"/>
                      <w:sz w:val="21"/>
                      <w:szCs w:val="21"/>
                      <w:lang w:val="en-US" w:eastAsia="zh-CN"/>
                      <w14:textFill>
                        <w14:solidFill>
                          <w14:schemeClr w14:val="tx1"/>
                        </w14:solidFill>
                      </w14:textFill>
                    </w:rPr>
                  </w:pPr>
                  <w:r>
                    <w:rPr>
                      <w:rFonts w:hint="default" w:eastAsia="宋体" w:cs="Times New Roman"/>
                      <w:b w:val="0"/>
                      <w:bCs w:val="0"/>
                      <w:color w:val="000000" w:themeColor="text1"/>
                      <w:sz w:val="21"/>
                      <w:szCs w:val="21"/>
                      <w14:textFill>
                        <w14:solidFill>
                          <w14:schemeClr w14:val="tx1"/>
                        </w14:solidFill>
                      </w14:textFill>
                    </w:rPr>
                    <w:t>每日对运输车辆及运输道路进行清扫，车辆减速慢行，运输车辆加盖，厂区进出道路两旁设置4台雾炮环保系统降尘，对道路进行抑尘，非雨天对产尘区域进行洒水除尘。</w:t>
                  </w:r>
                  <w:r>
                    <w:rPr>
                      <w:rFonts w:hint="eastAsia" w:cs="Times New Roman"/>
                      <w:b w:val="0"/>
                      <w:bCs w:val="0"/>
                      <w:color w:val="000000" w:themeColor="text1"/>
                      <w:sz w:val="21"/>
                      <w:szCs w:val="21"/>
                      <w:lang w:val="en-US" w:eastAsia="zh-CN"/>
                      <w14:textFill>
                        <w14:solidFill>
                          <w14:schemeClr w14:val="tx1"/>
                        </w14:solidFill>
                      </w14:textFill>
                    </w:rPr>
                    <w:t>卸料仓和</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混合骨料暂存间</w:t>
                  </w:r>
                  <w:r>
                    <w:rPr>
                      <w:rFonts w:hint="eastAsia" w:cs="Times New Roman"/>
                      <w:b w:val="0"/>
                      <w:bCs w:val="0"/>
                      <w:color w:val="000000" w:themeColor="text1"/>
                      <w:sz w:val="21"/>
                      <w:szCs w:val="21"/>
                      <w:lang w:val="en-US" w:eastAsia="zh-CN"/>
                      <w14:textFill>
                        <w14:solidFill>
                          <w14:schemeClr w14:val="tx1"/>
                        </w14:solidFill>
                      </w14:textFill>
                    </w:rPr>
                    <w:t>采用洒水抑尘。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3927"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污染物排放量t/a</w:t>
                  </w:r>
                </w:p>
              </w:tc>
              <w:tc>
                <w:tcPr>
                  <w:tcW w:w="16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0.074</w:t>
                  </w:r>
                </w:p>
              </w:tc>
              <w:tc>
                <w:tcPr>
                  <w:tcW w:w="1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4.26</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0.05</w:t>
                  </w:r>
                </w:p>
              </w:tc>
              <w:tc>
                <w:tcPr>
                  <w:tcW w:w="1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0.006</w:t>
                  </w:r>
                </w:p>
              </w:tc>
              <w:tc>
                <w:tcPr>
                  <w:tcW w:w="181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27"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val="0"/>
                      <w:bCs w:val="0"/>
                      <w:color w:val="000000" w:themeColor="text1"/>
                      <w:sz w:val="21"/>
                      <w:szCs w:val="21"/>
                      <w:lang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bidi="ar"/>
                      <w14:textFill>
                        <w14:solidFill>
                          <w14:schemeClr w14:val="tx1"/>
                        </w14:solidFill>
                      </w14:textFill>
                    </w:rPr>
                    <w:t>合计</w:t>
                  </w:r>
                </w:p>
              </w:tc>
              <w:tc>
                <w:tcPr>
                  <w:tcW w:w="9068" w:type="dxa"/>
                  <w:gridSpan w:val="5"/>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b w:val="0"/>
                      <w:bCs w:val="0"/>
                      <w:color w:val="000000" w:themeColor="text1"/>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bidi="ar"/>
                      <w14:textFill>
                        <w14:solidFill>
                          <w14:schemeClr w14:val="tx1"/>
                        </w14:solidFill>
                      </w14:textFill>
                    </w:rPr>
                    <w:t>4.68</w:t>
                  </w:r>
                </w:p>
              </w:tc>
            </w:tr>
          </w:tbl>
          <w:p>
            <w:pPr>
              <w:pStyle w:val="64"/>
              <w:keepNext w:val="0"/>
              <w:keepLines w:val="0"/>
              <w:pageBreakBefore w:val="0"/>
              <w:suppressLineNumbers w:val="0"/>
              <w:kinsoku/>
              <w:wordWrap/>
              <w:topLinePunct w:val="0"/>
              <w:bidi w:val="0"/>
              <w:adjustRightInd w:val="0"/>
              <w:snapToGrid w:val="0"/>
              <w:spacing w:before="157" w:beforeLines="50" w:beforeAutospacing="0" w:after="0" w:afterAutospacing="0" w:line="360" w:lineRule="auto"/>
              <w:ind w:left="0" w:leftChars="0" w:right="0" w:firstLine="482" w:firstLineChars="200"/>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⑵有组织废气</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fldChar w:fldCharType="begin"/>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instrText xml:space="preserve"> = 1 \* GB3 \* MERGEFORMAT </w:instrTex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fldChar w:fldCharType="separate"/>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①</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fldChar w:fldCharType="end"/>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颚式破碎机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粉尘产生量</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（G6）</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szCs w:val="22"/>
                <w:lang w:val="en-US" w:eastAsia="zh-CN"/>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渣土含量较多的建筑垃圾进入</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履带</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移动式重型筛分机先进行</w:t>
            </w:r>
            <w:r>
              <w:rPr>
                <w:rFonts w:hint="eastAsia" w:eastAsia="仿宋_GB2312" w:cs="Times New Roman"/>
                <w:color w:val="000000" w:themeColor="text1"/>
                <w:sz w:val="24"/>
                <w:szCs w:val="24"/>
                <w:highlight w:val="none"/>
                <w:lang w:val="en-US" w:eastAsia="zh-CN"/>
                <w14:textFill>
                  <w14:solidFill>
                    <w14:schemeClr w14:val="tx1"/>
                  </w14:solidFill>
                </w14:textFill>
              </w:rPr>
              <w:t>一次</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除土处理再进入一次破碎</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（颚式破碎机）；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混凝土为主的建筑垃圾进入重型振动给料机和颚式破碎机进行一次除土和一次破碎</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。此过程会产生粉尘。</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根据《逸散性工业粉尘控制技术》（中国环境科学出版社），进料产生粉尘按0.5kg/t计（破碎料），项目年处理</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建筑垃圾</w:t>
            </w:r>
            <w:r>
              <w:rPr>
                <w:rFonts w:hint="eastAsia" w:eastAsia="仿宋_GB2312" w:cs="Times New Roman"/>
                <w:b w:val="0"/>
                <w:bCs w:val="0"/>
                <w:color w:val="auto"/>
                <w:kern w:val="16"/>
                <w:sz w:val="24"/>
                <w:szCs w:val="24"/>
                <w:highlight w:val="none"/>
                <w:lang w:val="en-US" w:eastAsia="zh-CN" w:bidi="ar-SA"/>
              </w:rPr>
              <w:t>150000</w:t>
            </w:r>
            <w:r>
              <w:rPr>
                <w:rFonts w:hint="default" w:ascii="Times New Roman" w:hAnsi="Times New Roman" w:eastAsia="仿宋_GB2312" w:cs="Times New Roman"/>
                <w:b w:val="0"/>
                <w:bCs w:val="0"/>
                <w:color w:val="auto"/>
                <w:kern w:val="16"/>
                <w:sz w:val="24"/>
                <w:szCs w:val="24"/>
                <w:highlight w:val="none"/>
                <w:lang w:val="en-US" w:eastAsia="zh-CN" w:bidi="ar-SA"/>
              </w:rPr>
              <w:t>t/a，</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则粉尘产生量为</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75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②</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风选机风选阶段</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粉尘产生量</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（G7）</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经颚式破碎机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破碎后的物料</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经过人工分拣平台除去大块轻物质，金属等杂质</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随后进入</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履带</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移动式反击破碎机进行二次破碎</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。经二次破碎后的物料</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先进入二次除土筛降低再生骨料含泥（土）量，再进入风选机除去小块轻物质</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出料口会产生粉尘，根据《逸散性工业粉尘控制技术》（中国环境科学出版社），出料产生粉尘按0.15kg/t计（储料），项目年产生骨料和混凝土料约为</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181915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（其中骨料为145000t/a，混凝土料为36915t/a）</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，则粉尘产生量为</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27.29</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本项目上料工序、破碎</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阶段</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风选阶段</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环节均位于密闭厂房</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在</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颚式</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破碎</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机上方</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风选机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上方均设置相同集气罩，设置集气罩截面积为1.25m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，罩口平均风速本次取1.2m/s，则：集气罩的计算风量均为L1=V0×S×3600=1.2×1.25×3600=5400m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/h，厂房共设计</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2</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个集气罩，则布袋除尘器风量为1</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000m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/h。本项目运行时间</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1680</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h/a，集气罩收集效率采用95%，则</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颚式</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破碎</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集气罩收集粉尘量为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71.25t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/a</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收集速率</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42.41</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kg/h</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；风选机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粉尘收集量为</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25.93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t/a，收集速率</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15.43</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kg/h。未收集到的粉尘通过加强厂房封闭，厂房</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内</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设置</w:t>
            </w:r>
            <w:r>
              <w:rPr>
                <w:rFonts w:hint="eastAsia" w:ascii="Times New Roman" w:hAnsi="Times New Roman" w:eastAsia="仿宋_GB2312" w:cs="Times New Roman"/>
                <w:color w:val="auto"/>
                <w:sz w:val="24"/>
                <w:szCs w:val="24"/>
                <w:highlight w:val="none"/>
                <w:lang w:val="en-US" w:eastAsia="zh-CN"/>
              </w:rPr>
              <w:t>活性干雾机</w:t>
            </w:r>
            <w:r>
              <w:rPr>
                <w:rFonts w:hint="default" w:ascii="Times New Roman" w:hAnsi="Times New Roman" w:eastAsia="仿宋_GB2312" w:cs="Times New Roman"/>
                <w:color w:val="auto"/>
                <w:sz w:val="24"/>
                <w:szCs w:val="24"/>
                <w:highlight w:val="none"/>
                <w:lang w:val="en-US" w:eastAsia="zh-CN"/>
              </w:rPr>
              <w:t>，从而有效降低粉尘排放</w:t>
            </w:r>
            <w:r>
              <w:rPr>
                <w:rFonts w:hint="eastAsia" w:cs="Times New Roman"/>
                <w:color w:val="auto"/>
                <w:sz w:val="24"/>
                <w:szCs w:val="24"/>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颚式</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破碎</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机上方</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集气罩收集的粉尘通过负压收集后配布袋除尘器+排气筒（DA001），布袋除尘器除尘器效率按99%计，则排放量</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为0.72</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t/a，排放速率为</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0.43</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kg/h，排放浓度为</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38.96</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mg/m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风选机上方</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集气罩收集的粉尘通过负压收集后配布袋除尘器+排气筒（DA00</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2</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），布袋除尘器除尘器效率按99%计，则排放量</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0.26</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t/a，排放速率为</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0.15</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kg/h，排放浓度为</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14.07</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mg/m</w:t>
            </w:r>
            <w:r>
              <w:rPr>
                <w:rFonts w:hint="eastAsia"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本项目有组织废气产排情况见下表。</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表4-</w:t>
            </w:r>
            <w:r>
              <w:rPr>
                <w:rFonts w:hint="eastAsia" w:cs="Times New Roman"/>
                <w:color w:val="auto"/>
                <w:kern w:val="0"/>
                <w:sz w:val="21"/>
                <w:szCs w:val="21"/>
                <w:highlight w:val="none"/>
                <w:lang w:val="en-US" w:eastAsia="zh-CN" w:bidi="ar-SA"/>
              </w:rPr>
              <w:t>8</w:t>
            </w:r>
            <w:r>
              <w:rPr>
                <w:rFonts w:hint="eastAsia" w:ascii="Times New Roman" w:hAnsi="Times New Roman" w:eastAsia="宋体" w:cs="Times New Roman"/>
                <w:color w:val="auto"/>
                <w:kern w:val="0"/>
                <w:sz w:val="21"/>
                <w:szCs w:val="21"/>
                <w:highlight w:val="none"/>
                <w:lang w:val="en-US" w:eastAsia="zh-CN" w:bidi="ar-SA"/>
              </w:rPr>
              <w:t xml:space="preserve">   </w:t>
            </w:r>
            <w:r>
              <w:rPr>
                <w:rFonts w:hint="eastAsia" w:ascii="Times New Roman" w:hAnsi="Times New Roman" w:eastAsia="宋体" w:cs="Times New Roman"/>
                <w:b/>
                <w:bCs/>
                <w:color w:val="auto"/>
                <w:kern w:val="0"/>
                <w:sz w:val="24"/>
                <w:szCs w:val="24"/>
                <w:highlight w:val="none"/>
                <w:lang w:val="en-US" w:eastAsia="zh-CN" w:bidi="ar-SA"/>
              </w:rPr>
              <w:t>本项目有组织废气产排情况一览表</w:t>
            </w:r>
          </w:p>
          <w:tbl>
            <w:tblPr>
              <w:tblStyle w:val="3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655"/>
              <w:gridCol w:w="907"/>
              <w:gridCol w:w="1201"/>
              <w:gridCol w:w="1116"/>
              <w:gridCol w:w="1039"/>
              <w:gridCol w:w="1259"/>
              <w:gridCol w:w="1031"/>
              <w:gridCol w:w="920"/>
              <w:gridCol w:w="1063"/>
              <w:gridCol w:w="1137"/>
              <w:gridCol w:w="15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4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污染工序</w:t>
                  </w:r>
                </w:p>
              </w:tc>
              <w:tc>
                <w:tcPr>
                  <w:tcW w:w="655"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名称</w:t>
                  </w:r>
                </w:p>
              </w:tc>
              <w:tc>
                <w:tcPr>
                  <w:tcW w:w="90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产生量</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（t/a）</w:t>
                  </w:r>
                </w:p>
              </w:tc>
              <w:tc>
                <w:tcPr>
                  <w:tcW w:w="120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产生速率</w:t>
                  </w:r>
                </w:p>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（kg/h）</w:t>
                  </w:r>
                </w:p>
              </w:tc>
              <w:tc>
                <w:tcPr>
                  <w:tcW w:w="1116"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产生浓度</w:t>
                  </w:r>
                  <w:r>
                    <w:rPr>
                      <w:rFonts w:hint="default" w:ascii="Times New Roman" w:hAnsi="Times New Roman" w:eastAsia="宋体" w:cs="Times New Roman"/>
                      <w:b/>
                      <w:bCs/>
                      <w:color w:val="auto"/>
                      <w:sz w:val="21"/>
                      <w:szCs w:val="21"/>
                      <w:highlight w:val="none"/>
                      <w:vertAlign w:val="baseli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103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风</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量m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/h</w:t>
                  </w:r>
                </w:p>
              </w:tc>
              <w:tc>
                <w:tcPr>
                  <w:tcW w:w="2290" w:type="dxa"/>
                  <w:gridSpan w:val="2"/>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环保措施</w:t>
                  </w:r>
                </w:p>
              </w:tc>
              <w:tc>
                <w:tcPr>
                  <w:tcW w:w="920"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排放量（t/a）</w:t>
                  </w:r>
                </w:p>
              </w:tc>
              <w:tc>
                <w:tcPr>
                  <w:tcW w:w="1063"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排放速率（kg/h）</w:t>
                  </w:r>
                </w:p>
              </w:tc>
              <w:tc>
                <w:tcPr>
                  <w:tcW w:w="113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排放浓度（mg/m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w:t>
                  </w:r>
                </w:p>
              </w:tc>
              <w:tc>
                <w:tcPr>
                  <w:tcW w:w="1523"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4" w:hRule="atLeast"/>
                <w:tblHeader/>
                <w:jc w:val="center"/>
              </w:trPr>
              <w:tc>
                <w:tcPr>
                  <w:tcW w:w="114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颚式</w:t>
                  </w:r>
                  <w:r>
                    <w:rPr>
                      <w:rFonts w:hint="eastAsia" w:eastAsia="宋体" w:cs="Times New Roman"/>
                      <w:color w:val="000000" w:themeColor="text1"/>
                      <w:sz w:val="21"/>
                      <w:szCs w:val="21"/>
                      <w:vertAlign w:val="baseline"/>
                      <w:lang w:val="en-US" w:eastAsia="zh-CN"/>
                      <w14:textFill>
                        <w14:solidFill>
                          <w14:schemeClr w14:val="tx1"/>
                        </w14:solidFill>
                      </w14:textFill>
                    </w:rPr>
                    <w:t>破碎</w:t>
                  </w:r>
                  <w:r>
                    <w:rPr>
                      <w:rFonts w:hint="eastAsia" w:cs="Times New Roman"/>
                      <w:color w:val="000000" w:themeColor="text1"/>
                      <w:sz w:val="21"/>
                      <w:szCs w:val="21"/>
                      <w:vertAlign w:val="baseline"/>
                      <w:lang w:val="en-US" w:eastAsia="zh-CN"/>
                      <w14:textFill>
                        <w14:solidFill>
                          <w14:schemeClr w14:val="tx1"/>
                        </w14:solidFill>
                      </w14:textFill>
                    </w:rPr>
                    <w:t>机破碎阶段</w:t>
                  </w:r>
                </w:p>
              </w:tc>
              <w:tc>
                <w:tcPr>
                  <w:tcW w:w="655" w:type="dxa"/>
                  <w:vMerge w:val="restart"/>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颗粒物</w:t>
                  </w:r>
                </w:p>
              </w:tc>
              <w:tc>
                <w:tcPr>
                  <w:tcW w:w="90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71.25</w:t>
                  </w:r>
                </w:p>
              </w:tc>
              <w:tc>
                <w:tcPr>
                  <w:tcW w:w="120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42.41</w:t>
                  </w:r>
                </w:p>
              </w:tc>
              <w:tc>
                <w:tcPr>
                  <w:tcW w:w="1116"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3855.52</w:t>
                  </w:r>
                </w:p>
              </w:tc>
              <w:tc>
                <w:tcPr>
                  <w:tcW w:w="1039" w:type="dxa"/>
                  <w:vMerge w:val="restart"/>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1</w:t>
                  </w:r>
                  <w:r>
                    <w:rPr>
                      <w:rFonts w:hint="eastAsia" w:eastAsia="宋体" w:cs="Times New Roman"/>
                      <w:color w:val="000000" w:themeColor="text1"/>
                      <w:sz w:val="21"/>
                      <w:szCs w:val="21"/>
                      <w:lang w:val="en-US" w:eastAsia="zh-CN"/>
                      <w14:textFill>
                        <w14:solidFill>
                          <w14:schemeClr w14:val="tx1"/>
                        </w14:solidFill>
                      </w14:textFill>
                    </w:rPr>
                    <w:t>000</w:t>
                  </w:r>
                </w:p>
              </w:tc>
              <w:tc>
                <w:tcPr>
                  <w:tcW w:w="125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集气罩</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w:t>
                  </w:r>
                  <w:r>
                    <w:rPr>
                      <w:rFonts w:hint="eastAsia" w:eastAsia="宋体" w:cs="Times New Roman"/>
                      <w:color w:val="000000" w:themeColor="text1"/>
                      <w:sz w:val="21"/>
                      <w:szCs w:val="21"/>
                      <w:vertAlign w:val="baseline"/>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03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布袋除尘器+</w:t>
                  </w:r>
                  <w:r>
                    <w:rPr>
                      <w:rFonts w:hint="eastAsia" w:cs="Times New Roman"/>
                      <w:color w:val="000000" w:themeColor="text1"/>
                      <w:sz w:val="21"/>
                      <w:szCs w:val="21"/>
                      <w:vertAlign w:val="baseline"/>
                      <w:lang w:val="en-US" w:eastAsia="zh-CN"/>
                      <w14:textFill>
                        <w14:solidFill>
                          <w14:schemeClr w14:val="tx1"/>
                        </w14:solidFill>
                      </w14:textFill>
                    </w:rPr>
                    <w:t>15</w:t>
                  </w:r>
                  <w:r>
                    <w:rPr>
                      <w:rFonts w:hint="eastAsia" w:eastAsia="宋体" w:cs="Times New Roman"/>
                      <w:color w:val="000000" w:themeColor="text1"/>
                      <w:sz w:val="21"/>
                      <w:szCs w:val="21"/>
                      <w:vertAlign w:val="baseline"/>
                      <w:lang w:val="en-US" w:eastAsia="zh-CN"/>
                      <w14:textFill>
                        <w14:solidFill>
                          <w14:schemeClr w14:val="tx1"/>
                        </w14:solidFill>
                      </w14:textFill>
                    </w:rPr>
                    <w:t>m高排气筒（DA001）</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eastAsia="宋体" w:cs="Times New Roman"/>
                      <w:color w:val="000000" w:themeColor="text1"/>
                      <w:sz w:val="21"/>
                      <w:szCs w:val="21"/>
                      <w:vertAlign w:val="baseline"/>
                      <w:lang w:val="en-US" w:eastAsia="zh-CN"/>
                      <w14:textFill>
                        <w14:solidFill>
                          <w14:schemeClr w14:val="tx1"/>
                        </w14:solidFill>
                      </w14:textFill>
                    </w:rPr>
                    <w:t>99</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20"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0.72</w:t>
                  </w:r>
                </w:p>
              </w:tc>
              <w:tc>
                <w:tcPr>
                  <w:tcW w:w="1063"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0.43</w:t>
                  </w:r>
                </w:p>
              </w:tc>
              <w:tc>
                <w:tcPr>
                  <w:tcW w:w="113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38.96</w:t>
                  </w:r>
                </w:p>
              </w:tc>
              <w:tc>
                <w:tcPr>
                  <w:tcW w:w="1523" w:type="dxa"/>
                  <w:vMerge w:val="restart"/>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《大气污染物综合排放标准》（GB16297-1996）表2新污染源大气污染物排放限值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blHeader/>
                <w:jc w:val="center"/>
              </w:trPr>
              <w:tc>
                <w:tcPr>
                  <w:tcW w:w="114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风选机风选阶段</w:t>
                  </w:r>
                </w:p>
              </w:tc>
              <w:tc>
                <w:tcPr>
                  <w:tcW w:w="655" w:type="dxa"/>
                  <w:vMerge w:val="continue"/>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0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color w:val="FF0000"/>
                      <w:sz w:val="21"/>
                      <w:szCs w:val="21"/>
                      <w:vertAlign w:val="baseline"/>
                      <w:lang w:val="en-US" w:eastAsia="zh-CN"/>
                    </w:rPr>
                  </w:pPr>
                  <w:r>
                    <w:rPr>
                      <w:rFonts w:hint="eastAsia" w:cs="Times New Roman"/>
                      <w:color w:val="000000" w:themeColor="text1"/>
                      <w:sz w:val="21"/>
                      <w:szCs w:val="21"/>
                      <w:vertAlign w:val="baseline"/>
                      <w:lang w:val="en-US" w:eastAsia="zh-CN"/>
                      <w14:textFill>
                        <w14:solidFill>
                          <w14:schemeClr w14:val="tx1"/>
                        </w14:solidFill>
                      </w14:textFill>
                    </w:rPr>
                    <w:t>25.93</w:t>
                  </w:r>
                </w:p>
              </w:tc>
              <w:tc>
                <w:tcPr>
                  <w:tcW w:w="120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15.43</w:t>
                  </w:r>
                </w:p>
              </w:tc>
              <w:tc>
                <w:tcPr>
                  <w:tcW w:w="1116"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1403.14</w:t>
                  </w:r>
                </w:p>
              </w:tc>
              <w:tc>
                <w:tcPr>
                  <w:tcW w:w="1039" w:type="dxa"/>
                  <w:vMerge w:val="continue"/>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259"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集气罩</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w:t>
                  </w:r>
                  <w:r>
                    <w:rPr>
                      <w:rFonts w:hint="eastAsia" w:eastAsia="宋体" w:cs="Times New Roman"/>
                      <w:color w:val="000000" w:themeColor="text1"/>
                      <w:sz w:val="21"/>
                      <w:szCs w:val="21"/>
                      <w:vertAlign w:val="baseline"/>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03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布袋除尘器+</w:t>
                  </w:r>
                  <w:r>
                    <w:rPr>
                      <w:rFonts w:hint="eastAsia" w:cs="Times New Roman"/>
                      <w:color w:val="000000" w:themeColor="text1"/>
                      <w:sz w:val="21"/>
                      <w:szCs w:val="21"/>
                      <w:vertAlign w:val="baseline"/>
                      <w:lang w:val="en-US" w:eastAsia="zh-CN"/>
                      <w14:textFill>
                        <w14:solidFill>
                          <w14:schemeClr w14:val="tx1"/>
                        </w14:solidFill>
                      </w14:textFill>
                    </w:rPr>
                    <w:t>15</w:t>
                  </w:r>
                  <w:r>
                    <w:rPr>
                      <w:rFonts w:hint="eastAsia" w:eastAsia="宋体" w:cs="Times New Roman"/>
                      <w:color w:val="000000" w:themeColor="text1"/>
                      <w:sz w:val="21"/>
                      <w:szCs w:val="21"/>
                      <w:vertAlign w:val="baseline"/>
                      <w:lang w:val="en-US" w:eastAsia="zh-CN"/>
                      <w14:textFill>
                        <w14:solidFill>
                          <w14:schemeClr w14:val="tx1"/>
                        </w14:solidFill>
                      </w14:textFill>
                    </w:rPr>
                    <w:t>m高排气筒（DA00</w:t>
                  </w:r>
                  <w:r>
                    <w:rPr>
                      <w:rFonts w:hint="eastAsia" w:cs="Times New Roman"/>
                      <w:color w:val="000000" w:themeColor="text1"/>
                      <w:sz w:val="21"/>
                      <w:szCs w:val="21"/>
                      <w:vertAlign w:val="baseline"/>
                      <w:lang w:val="en-US" w:eastAsia="zh-CN"/>
                      <w14:textFill>
                        <w14:solidFill>
                          <w14:schemeClr w14:val="tx1"/>
                        </w14:solidFill>
                      </w14:textFill>
                    </w:rPr>
                    <w:t>2</w:t>
                  </w:r>
                  <w:r>
                    <w:rPr>
                      <w:rFonts w:hint="eastAsia" w:eastAsia="宋体"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eastAsia="宋体" w:cs="Times New Roman"/>
                      <w:color w:val="000000" w:themeColor="text1"/>
                      <w:sz w:val="21"/>
                      <w:szCs w:val="21"/>
                      <w:vertAlign w:val="baseline"/>
                      <w:lang w:val="en-US" w:eastAsia="zh-CN"/>
                      <w14:textFill>
                        <w14:solidFill>
                          <w14:schemeClr w14:val="tx1"/>
                        </w14:solidFill>
                      </w14:textFill>
                    </w:rPr>
                    <w:t>99</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20"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0.26</w:t>
                  </w:r>
                </w:p>
              </w:tc>
              <w:tc>
                <w:tcPr>
                  <w:tcW w:w="1063"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0.15</w:t>
                  </w:r>
                </w:p>
              </w:tc>
              <w:tc>
                <w:tcPr>
                  <w:tcW w:w="113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14.07</w:t>
                  </w:r>
                </w:p>
              </w:tc>
              <w:tc>
                <w:tcPr>
                  <w:tcW w:w="1523" w:type="dxa"/>
                  <w:vMerge w:val="continue"/>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tblHeader/>
                <w:jc w:val="center"/>
              </w:trPr>
              <w:tc>
                <w:tcPr>
                  <w:tcW w:w="1796" w:type="dxa"/>
                  <w:gridSpan w:val="2"/>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合计</w:t>
                  </w:r>
                </w:p>
              </w:tc>
              <w:tc>
                <w:tcPr>
                  <w:tcW w:w="90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97.18</w:t>
                  </w:r>
                </w:p>
              </w:tc>
              <w:tc>
                <w:tcPr>
                  <w:tcW w:w="1201"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w:t>
                  </w:r>
                </w:p>
              </w:tc>
              <w:tc>
                <w:tcPr>
                  <w:tcW w:w="1116"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w:t>
                  </w:r>
                </w:p>
              </w:tc>
              <w:tc>
                <w:tcPr>
                  <w:tcW w:w="3329" w:type="dxa"/>
                  <w:gridSpan w:val="3"/>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w:t>
                  </w:r>
                </w:p>
              </w:tc>
              <w:tc>
                <w:tcPr>
                  <w:tcW w:w="920"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0.98</w:t>
                  </w:r>
                </w:p>
              </w:tc>
              <w:tc>
                <w:tcPr>
                  <w:tcW w:w="1063"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1137"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1523" w:type="dxa"/>
                  <w:tcBorders>
                    <w:tl2br w:val="nil"/>
                    <w:tr2bl w:val="nil"/>
                  </w:tcBorders>
                  <w:vAlign w:val="center"/>
                </w:tcPr>
                <w:p>
                  <w:pPr>
                    <w:pStyle w:val="4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r>
          </w:tbl>
          <w:p>
            <w:pPr>
              <w:pStyle w:val="49"/>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表4-</w:t>
            </w:r>
            <w:r>
              <w:rPr>
                <w:rFonts w:hint="eastAsia" w:cs="Times New Roman"/>
                <w:color w:val="auto"/>
                <w:kern w:val="0"/>
                <w:sz w:val="21"/>
                <w:szCs w:val="21"/>
                <w:highlight w:val="none"/>
                <w:lang w:val="en-US" w:eastAsia="zh-CN" w:bidi="ar-SA"/>
              </w:rPr>
              <w:t>9</w:t>
            </w:r>
            <w:r>
              <w:rPr>
                <w:rFonts w:hint="eastAsia" w:ascii="Times New Roman" w:hAnsi="Times New Roman" w:eastAsia="宋体" w:cs="Times New Roman"/>
                <w:color w:val="auto"/>
                <w:kern w:val="0"/>
                <w:sz w:val="21"/>
                <w:szCs w:val="21"/>
                <w:highlight w:val="none"/>
                <w:lang w:val="en-US" w:eastAsia="zh-CN" w:bidi="ar-SA"/>
              </w:rPr>
              <w:t xml:space="preserve">   </w:t>
            </w:r>
            <w:r>
              <w:rPr>
                <w:rFonts w:hint="eastAsia" w:ascii="Times New Roman" w:hAnsi="Times New Roman" w:eastAsia="宋体" w:cs="Times New Roman"/>
                <w:b/>
                <w:bCs/>
                <w:color w:val="auto"/>
                <w:kern w:val="0"/>
                <w:sz w:val="24"/>
                <w:szCs w:val="24"/>
                <w:highlight w:val="none"/>
                <w:lang w:val="en-US" w:eastAsia="zh-CN" w:bidi="ar-SA"/>
              </w:rPr>
              <w:t>本项目</w:t>
            </w:r>
            <w:r>
              <w:rPr>
                <w:rFonts w:hint="eastAsia" w:cs="Times New Roman"/>
                <w:b/>
                <w:bCs/>
                <w:color w:val="auto"/>
                <w:kern w:val="0"/>
                <w:sz w:val="24"/>
                <w:szCs w:val="24"/>
                <w:highlight w:val="none"/>
                <w:lang w:val="en-US" w:eastAsia="zh-CN" w:bidi="ar-SA"/>
              </w:rPr>
              <w:t>其他阶段</w:t>
            </w:r>
            <w:r>
              <w:rPr>
                <w:rFonts w:hint="eastAsia" w:ascii="Times New Roman" w:hAnsi="Times New Roman" w:eastAsia="宋体" w:cs="Times New Roman"/>
                <w:b/>
                <w:bCs/>
                <w:color w:val="auto"/>
                <w:kern w:val="0"/>
                <w:sz w:val="24"/>
                <w:szCs w:val="24"/>
                <w:highlight w:val="none"/>
                <w:lang w:val="en-US" w:eastAsia="zh-CN" w:bidi="ar-SA"/>
              </w:rPr>
              <w:t>无组织废气产排情况一览表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672"/>
              <w:gridCol w:w="3275"/>
              <w:gridCol w:w="3422"/>
              <w:gridCol w:w="1305"/>
              <w:gridCol w:w="23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0" w:type="dxa"/>
                  <w:gridSpan w:val="6"/>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textAlignment w:val="auto"/>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
                      <w:bCs w:val="0"/>
                      <w:color w:val="000000" w:themeColor="text1"/>
                      <w:w w:val="100"/>
                      <w:kern w:val="0"/>
                      <w:sz w:val="21"/>
                      <w:szCs w:val="21"/>
                      <w:lang w:val="en-US" w:eastAsia="zh-CN" w:bidi="ar-SA"/>
                      <w14:textFill>
                        <w14:solidFill>
                          <w14:schemeClr w14:val="tx1"/>
                        </w14:solidFill>
                      </w14:textFill>
                    </w:rPr>
                    <w:t>无组织</w:t>
                  </w:r>
                  <w:r>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t>废气，集气装置未能收集的粉尘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t>生产线</w:t>
                  </w:r>
                </w:p>
              </w:tc>
              <w:tc>
                <w:tcPr>
                  <w:tcW w:w="1672"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t>产污工段</w:t>
                  </w:r>
                </w:p>
              </w:tc>
              <w:tc>
                <w:tcPr>
                  <w:tcW w:w="327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t>无组织粉尘产生量t/a</w:t>
                  </w:r>
                </w:p>
              </w:tc>
              <w:tc>
                <w:tcPr>
                  <w:tcW w:w="3422"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t>治理措施</w:t>
                  </w:r>
                </w:p>
              </w:tc>
              <w:tc>
                <w:tcPr>
                  <w:tcW w:w="130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t>排放速率kg/h</w:t>
                  </w:r>
                </w:p>
              </w:tc>
              <w:tc>
                <w:tcPr>
                  <w:tcW w:w="2328"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w w:val="100"/>
                      <w:kern w:val="0"/>
                      <w:sz w:val="21"/>
                      <w:szCs w:val="21"/>
                      <w:lang w:val="en-US" w:eastAsia="zh-CN" w:bidi="ar-SA"/>
                      <w14:textFill>
                        <w14:solidFill>
                          <w14:schemeClr w14:val="tx1"/>
                        </w14:solidFill>
                      </w14:textFill>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Merge w:val="restart"/>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厂房</w:t>
                  </w:r>
                </w:p>
              </w:tc>
              <w:tc>
                <w:tcPr>
                  <w:tcW w:w="1672"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上料工序</w:t>
                  </w:r>
                </w:p>
              </w:tc>
              <w:tc>
                <w:tcPr>
                  <w:tcW w:w="327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0.14</w:t>
                  </w:r>
                </w:p>
              </w:tc>
              <w:tc>
                <w:tcPr>
                  <w:tcW w:w="3422" w:type="dxa"/>
                  <w:vMerge w:val="restart"/>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密闭厂房</w:t>
                  </w:r>
                  <w:r>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t>，</w:t>
                  </w: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厂房内设置4台活性干雾机，从而有效降低粉尘排放。</w:t>
                  </w:r>
                </w:p>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pPr>
                </w:p>
              </w:tc>
              <w:tc>
                <w:tcPr>
                  <w:tcW w:w="130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0.013</w:t>
                  </w:r>
                </w:p>
              </w:tc>
              <w:tc>
                <w:tcPr>
                  <w:tcW w:w="2328"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dxa"/>
                  <w:vMerge w:val="continue"/>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pPr>
                </w:p>
              </w:tc>
              <w:tc>
                <w:tcPr>
                  <w:tcW w:w="1672"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其他</w:t>
                  </w:r>
                </w:p>
              </w:tc>
              <w:tc>
                <w:tcPr>
                  <w:tcW w:w="327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0.2</w:t>
                  </w:r>
                </w:p>
              </w:tc>
              <w:tc>
                <w:tcPr>
                  <w:tcW w:w="3422" w:type="dxa"/>
                  <w:vMerge w:val="continue"/>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pPr>
                </w:p>
              </w:tc>
              <w:tc>
                <w:tcPr>
                  <w:tcW w:w="130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0.018</w:t>
                  </w:r>
                </w:p>
              </w:tc>
              <w:tc>
                <w:tcPr>
                  <w:tcW w:w="2328"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0" w:type="dxa"/>
                  <w:gridSpan w:val="2"/>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总计</w:t>
                  </w:r>
                </w:p>
              </w:tc>
              <w:tc>
                <w:tcPr>
                  <w:tcW w:w="327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0.24</w:t>
                  </w:r>
                </w:p>
              </w:tc>
              <w:tc>
                <w:tcPr>
                  <w:tcW w:w="3422" w:type="dxa"/>
                  <w:vMerge w:val="continue"/>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eastAsia="宋体" w:cs="Times New Roman"/>
                      <w:bCs/>
                      <w:color w:val="000000" w:themeColor="text1"/>
                      <w:w w:val="100"/>
                      <w:kern w:val="0"/>
                      <w:sz w:val="21"/>
                      <w:szCs w:val="21"/>
                      <w:lang w:val="en-US" w:eastAsia="zh-CN" w:bidi="ar-SA"/>
                      <w14:textFill>
                        <w14:solidFill>
                          <w14:schemeClr w14:val="tx1"/>
                        </w14:solidFill>
                      </w14:textFill>
                    </w:rPr>
                  </w:pPr>
                </w:p>
              </w:tc>
              <w:tc>
                <w:tcPr>
                  <w:tcW w:w="1305"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w:t>
                  </w:r>
                </w:p>
              </w:tc>
              <w:tc>
                <w:tcPr>
                  <w:tcW w:w="2328" w:type="dxa"/>
                  <w:tcBorders>
                    <w:tl2br w:val="nil"/>
                    <w:tr2bl w:val="nil"/>
                  </w:tcBorders>
                  <w:tcMar>
                    <w:left w:w="28" w:type="dxa"/>
                    <w:right w:w="28" w:type="dxa"/>
                  </w:tcMar>
                  <w:vAlign w:val="center"/>
                </w:tcPr>
                <w:p>
                  <w:pPr>
                    <w:pStyle w:val="1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textAlignment w:val="auto"/>
                    <w:rPr>
                      <w:rFonts w:hint="default" w:ascii="Times New Roman" w:hAnsi="Times New Roman" w:cs="Times New Roman"/>
                      <w:bCs/>
                      <w:color w:val="000000" w:themeColor="text1"/>
                      <w:w w:val="100"/>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w w:val="100"/>
                      <w:kern w:val="0"/>
                      <w:sz w:val="21"/>
                      <w:szCs w:val="21"/>
                      <w:lang w:val="en-US" w:eastAsia="zh-CN" w:bidi="ar-SA"/>
                      <w14:textFill>
                        <w14:solidFill>
                          <w14:schemeClr w14:val="tx1"/>
                        </w14:solidFill>
                      </w14:textFill>
                    </w:rPr>
                    <w:t>0.051</w:t>
                  </w:r>
                </w:p>
              </w:tc>
            </w:tr>
          </w:tbl>
          <w:p>
            <w:pPr>
              <w:pStyle w:val="103"/>
              <w:keepNext w:val="0"/>
              <w:keepLines w:val="0"/>
              <w:pageBreakBefore w:val="0"/>
              <w:suppressLineNumbers w:val="0"/>
              <w:kinsoku/>
              <w:wordWrap/>
              <w:topLinePunct w:val="0"/>
              <w:bidi w:val="0"/>
              <w:adjustRightInd w:val="0"/>
              <w:snapToGrid w:val="0"/>
              <w:spacing w:beforeAutospacing="0" w:afterAutospacing="0" w:line="360" w:lineRule="auto"/>
              <w:ind w:left="0" w:right="0" w:firstLine="482" w:firstLineChars="200"/>
              <w:rPr>
                <w:rFonts w:hint="eastAsia"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pPr>
          </w:p>
          <w:p>
            <w:pPr>
              <w:pStyle w:val="103"/>
              <w:keepNext w:val="0"/>
              <w:keepLines w:val="0"/>
              <w:pageBreakBefore w:val="0"/>
              <w:suppressLineNumbers w:val="0"/>
              <w:kinsoku/>
              <w:wordWrap/>
              <w:topLinePunct w:val="0"/>
              <w:bidi w:val="0"/>
              <w:adjustRightInd w:val="0"/>
              <w:snapToGrid w:val="0"/>
              <w:spacing w:beforeAutospacing="0" w:afterAutospacing="0" w:line="360" w:lineRule="auto"/>
              <w:ind w:left="0" w:right="0" w:firstLine="482" w:firstLineChars="200"/>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1.2</w:t>
            </w:r>
            <w:r>
              <w:rPr>
                <w:rFonts w:hint="eastAsia" w:eastAsia="仿宋_GB2312" w:cs="Times New Roman"/>
                <w:b/>
                <w:bCs/>
                <w:color w:val="000000" w:themeColor="text1"/>
                <w:kern w:val="16"/>
                <w:sz w:val="24"/>
                <w:szCs w:val="24"/>
                <w:highlight w:val="none"/>
                <w:lang w:val="en-US" w:eastAsia="zh-CN" w:bidi="ar-SA"/>
                <w14:textFill>
                  <w14:solidFill>
                    <w14:schemeClr w14:val="tx1"/>
                  </w14:solidFill>
                </w14:textFill>
              </w:rPr>
              <w:t>非</w:t>
            </w:r>
            <w:r>
              <w:rPr>
                <w:rFonts w:hint="eastAsia"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正常工况产排污环节及源强核算</w:t>
            </w:r>
          </w:p>
          <w:p>
            <w:pPr>
              <w:pStyle w:val="7"/>
              <w:keepNext w:val="0"/>
              <w:keepLines w:val="0"/>
              <w:pageBreakBefore w:val="0"/>
              <w:suppressLineNumbers w:val="0"/>
              <w:kinsoku/>
              <w:wordWrap/>
              <w:topLinePunct w:val="0"/>
              <w:bidi w:val="0"/>
              <w:adjustRightInd w:val="0"/>
              <w:snapToGrid w:val="0"/>
              <w:spacing w:before="0" w:beforeLines="0" w:beforeAutospacing="0" w:after="0" w:afterAutospacing="0" w:line="360" w:lineRule="auto"/>
              <w:ind w:left="0" w:right="0" w:firstLine="420"/>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本项目</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非正常情况下</w:t>
            </w: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考虑</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废气处理设施出现故障</w:t>
            </w:r>
            <w:r>
              <w:rPr>
                <w:rFonts w:hint="eastAsia"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 xml:space="preserve"> </w:t>
            </w: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效率降至50%</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，大气污染物排放情况见表</w:t>
            </w: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4-</w:t>
            </w:r>
            <w:r>
              <w:rPr>
                <w:rFonts w:hint="eastAsia"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10</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表4-</w:t>
            </w:r>
            <w:r>
              <w:rPr>
                <w:rFonts w:hint="eastAsia" w:cs="Times New Roman"/>
                <w:color w:val="000000" w:themeColor="text1"/>
                <w:kern w:val="0"/>
                <w:szCs w:val="21"/>
                <w:highlight w:val="none"/>
                <w:lang w:val="en-US" w:eastAsia="zh-CN"/>
                <w14:textFill>
                  <w14:solidFill>
                    <w14:schemeClr w14:val="tx1"/>
                  </w14:solidFill>
                </w14:textFill>
              </w:rPr>
              <w:t>10</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大气污染物非正常排放量核算表</w:t>
            </w:r>
          </w:p>
          <w:tbl>
            <w:tblPr>
              <w:tblStyle w:val="37"/>
              <w:tblW w:w="129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1730"/>
              <w:gridCol w:w="1395"/>
              <w:gridCol w:w="1826"/>
              <w:gridCol w:w="1496"/>
              <w:gridCol w:w="1497"/>
              <w:gridCol w:w="1506"/>
              <w:gridCol w:w="18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3" w:hRule="atLeast"/>
                <w:jc w:val="center"/>
              </w:trPr>
              <w:tc>
                <w:tcPr>
                  <w:tcW w:w="166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非正常排放源</w:t>
                  </w:r>
                </w:p>
              </w:tc>
              <w:tc>
                <w:tcPr>
                  <w:tcW w:w="17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非正常排放原因</w:t>
                  </w:r>
                </w:p>
              </w:tc>
              <w:tc>
                <w:tcPr>
                  <w:tcW w:w="139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污染物</w:t>
                  </w:r>
                </w:p>
              </w:tc>
              <w:tc>
                <w:tcPr>
                  <w:tcW w:w="182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非正常排放速</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（kg/h）</w:t>
                  </w:r>
                </w:p>
              </w:tc>
              <w:tc>
                <w:tcPr>
                  <w:tcW w:w="149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非正常排放浓度（mg/m</w:t>
                  </w:r>
                  <w:r>
                    <w:rPr>
                      <w:rFonts w:hint="default" w:ascii="Times New Roman" w:hAnsi="Times New Roman" w:eastAsia="宋体" w:cs="Times New Roman"/>
                      <w:b/>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highlight w:val="none"/>
                      <w14:textFill>
                        <w14:solidFill>
                          <w14:schemeClr w14:val="tx1"/>
                        </w14:solidFill>
                      </w14:textFill>
                    </w:rPr>
                    <w:t>）</w:t>
                  </w:r>
                </w:p>
              </w:tc>
              <w:tc>
                <w:tcPr>
                  <w:tcW w:w="149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单次持续时间</w:t>
                  </w:r>
                </w:p>
              </w:tc>
              <w:tc>
                <w:tcPr>
                  <w:tcW w:w="150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年发生频次</w:t>
                  </w:r>
                </w:p>
              </w:tc>
              <w:tc>
                <w:tcPr>
                  <w:tcW w:w="181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0" w:type="dxa"/>
                  <w:tcBorders>
                    <w:tl2br w:val="nil"/>
                    <w:tr2bl w:val="nil"/>
                  </w:tcBorders>
                  <w:noWrap w:val="0"/>
                  <w:vAlign w:val="center"/>
                </w:tcPr>
                <w:p>
                  <w:pPr>
                    <w:pStyle w:val="1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DA00</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排气筒</w:t>
                  </w:r>
                </w:p>
              </w:tc>
              <w:tc>
                <w:tcPr>
                  <w:tcW w:w="17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废气治理设施</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故障</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效率降至50%</w:t>
                  </w:r>
                </w:p>
              </w:tc>
              <w:tc>
                <w:tcPr>
                  <w:tcW w:w="139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颗粒物</w:t>
                  </w:r>
                </w:p>
              </w:tc>
              <w:tc>
                <w:tcPr>
                  <w:tcW w:w="18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21.21</w:t>
                  </w:r>
                </w:p>
              </w:tc>
              <w:tc>
                <w:tcPr>
                  <w:tcW w:w="14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1928.03</w:t>
                  </w:r>
                </w:p>
              </w:tc>
              <w:tc>
                <w:tcPr>
                  <w:tcW w:w="149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p>
              </w:tc>
              <w:tc>
                <w:tcPr>
                  <w:tcW w:w="150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w:t>
                  </w:r>
                </w:p>
              </w:tc>
              <w:tc>
                <w:tcPr>
                  <w:tcW w:w="181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立即检修；加强日常</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环保设施的巡检维修工作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0" w:type="dxa"/>
                  <w:tcBorders>
                    <w:tl2br w:val="nil"/>
                    <w:tr2bl w:val="nil"/>
                  </w:tcBorders>
                  <w:noWrap w:val="0"/>
                  <w:vAlign w:val="center"/>
                </w:tcPr>
                <w:p>
                  <w:pPr>
                    <w:pStyle w:val="1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DA00</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排气筒</w:t>
                  </w:r>
                </w:p>
              </w:tc>
              <w:tc>
                <w:tcPr>
                  <w:tcW w:w="17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废气治理设施</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故障</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效率降至50%</w:t>
                  </w:r>
                </w:p>
              </w:tc>
              <w:tc>
                <w:tcPr>
                  <w:tcW w:w="139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颗粒物</w:t>
                  </w:r>
                </w:p>
              </w:tc>
              <w:tc>
                <w:tcPr>
                  <w:tcW w:w="18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7.72</w:t>
                  </w:r>
                </w:p>
              </w:tc>
              <w:tc>
                <w:tcPr>
                  <w:tcW w:w="14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701.84</w:t>
                  </w:r>
                </w:p>
              </w:tc>
              <w:tc>
                <w:tcPr>
                  <w:tcW w:w="149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p>
              </w:tc>
              <w:tc>
                <w:tcPr>
                  <w:tcW w:w="150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w:t>
                  </w:r>
                </w:p>
              </w:tc>
              <w:tc>
                <w:tcPr>
                  <w:tcW w:w="181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立即检修；加强日常</w:t>
                  </w:r>
                  <w:r>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t>环保设施的巡检维修工作</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eastAsia="仿宋_GB2312"/>
                <w:b/>
                <w:bCs/>
                <w:color w:val="000000" w:themeColor="text1"/>
                <w:kern w:val="16"/>
                <w:sz w:val="24"/>
                <w:szCs w:val="24"/>
                <w:highlight w:val="none"/>
                <w:lang w:val="en-US" w:eastAsia="zh-CN"/>
                <w14:textFill>
                  <w14:solidFill>
                    <w14:schemeClr w14:val="tx1"/>
                  </w14:solidFill>
                </w14:textFill>
              </w:rPr>
            </w:pPr>
            <w:r>
              <w:rPr>
                <w:rFonts w:hint="default" w:eastAsia="仿宋_GB2312"/>
                <w:b/>
                <w:bCs/>
                <w:color w:val="000000" w:themeColor="text1"/>
                <w:kern w:val="16"/>
                <w:sz w:val="24"/>
                <w:szCs w:val="24"/>
                <w:highlight w:val="none"/>
                <w:lang w:val="en-US" w:eastAsia="zh-CN"/>
                <w14:textFill>
                  <w14:solidFill>
                    <w14:schemeClr w14:val="tx1"/>
                  </w14:solidFill>
                </w14:textFill>
              </w:rPr>
              <w:t>1.3</w:t>
            </w:r>
            <w:r>
              <w:rPr>
                <w:rFonts w:hint="default" w:ascii="Times New Roman" w:hAnsi="Times New Roman" w:eastAsia="仿宋_GB2312" w:cs="Times New Roman"/>
                <w:b/>
                <w:bCs/>
                <w:color w:val="000000" w:themeColor="text1"/>
                <w:kern w:val="16"/>
                <w:sz w:val="24"/>
                <w:szCs w:val="24"/>
                <w:highlight w:val="none"/>
                <w:lang w:val="en-US" w:eastAsia="zh-CN"/>
                <w14:textFill>
                  <w14:solidFill>
                    <w14:schemeClr w14:val="tx1"/>
                  </w14:solidFill>
                </w14:textFill>
              </w:rPr>
              <w:t>废气处理措施可行性分析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24"/>
                <w:szCs w:val="24"/>
                <w:highlight w:val="none"/>
                <w:lang w:val="en-US" w:eastAsia="zh-CN" w:bidi="ar-SA"/>
                <w14:textFill>
                  <w14:solidFill>
                    <w14:schemeClr w14:val="tx1"/>
                  </w14:solidFill>
                </w14:textFill>
              </w:rPr>
              <w:t>项目涉及行业暂无相关行业排污许可证申请与核发技术规范，项目排放的废气污染物主要为颗粒物</w:t>
            </w:r>
            <w:r>
              <w:rPr>
                <w:rFonts w:hint="eastAsia" w:cs="Times New Roman"/>
                <w:color w:val="000000" w:themeColor="text1"/>
                <w:kern w:val="2"/>
                <w:sz w:val="24"/>
                <w:szCs w:val="24"/>
                <w:highlight w:val="none"/>
                <w:lang w:val="en-US" w:eastAsia="zh-CN" w:bidi="ar-SA"/>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⑴</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建筑、装修垃圾运输和粗选工段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运输工段：为了防止运输建筑、装修垃圾过程中因撒漏、飞扬造成的粉尘和其他污染源的“二次污染”，要求垃圾运输车辆，采用新型环保渣土运输车辆，并严格实施密闭化，安装北斗定位监控装置，统一纳入数字城市管理平台进行管理，按照规定路线运行。</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物联网系统：进入生产区的建筑、装修垃圾收集车辆需称重计量，随后驶向车辆的卸料位置。建筑、装修垃圾收集车辆进出站称重计量的目的在于准确记录每天的装修垃圾处理量，便于实现企业化管理，便于建筑、装修垃圾收集车在厂区内的作业调度，便于掌握建筑、装修垃圾收集车辆的运行情况，便于了解和掌握服务区域内建筑、装修垃圾产出量的变化规律和增长趋势。称重计量系统由计算机管理，并与监控系统联网。整个系统由项目公司负责建设并统一纳入数字城市管理平台由政府进行强制管理，强化监督管理机制。</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粗选工段：为稳定建筑、装修垃圾成分不再交叉污染。上述各类垃圾在生产作业场地内按规定分区域进行堆放。因本项目建筑、装修垃圾总量不大，预处理粗选工段采用机械+人工方式进行。首先通过工程机械进行预拣将大块团状钢筋、大块木质材料、有机复合材质门窗等大件垃圾分拣出来，运输至场地规定区域堆存，并将大块钢筋砼构件、砌块墙体等粗破碎至600mm以下；再由人工对堆积体上肉眼可见金属、油漆桶、木质材料、废旧电池、液体容器、有机物材料或其他具有腐蚀性、破坏性的垃圾进行粗选，避免进入后端工艺环节破坏生产设备或污染再生骨料。</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仿宋_GB2312"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⑵</w:t>
            </w:r>
            <w:r>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t>建筑、装修垃圾粗筛工段</w:t>
            </w:r>
          </w:p>
          <w:p>
            <w:pPr>
              <w:keepNext w:val="0"/>
              <w:keepLines w:val="0"/>
              <w:suppressLineNumbers w:val="0"/>
              <w:adjustRightInd w:val="0"/>
              <w:spacing w:before="0" w:beforeAutospacing="0" w:after="0" w:afterAutospacing="0" w:line="348" w:lineRule="auto"/>
              <w:ind w:left="0" w:right="0" w:firstLine="480" w:firstLineChars="200"/>
              <w:jc w:val="both"/>
              <w:rPr>
                <w:rFonts w:hint="eastAsia"/>
                <w:szCs w:val="22"/>
                <w:lang w:val="en-US" w:eastAsia="zh-CN"/>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粗筛（渣土筛分）“移动式+固定式结合”工段：该工段处理600mm以下建筑和装修垃圾混合垃圾，“移动”方式是利用移动型重型筛分机，上层筛面80mm，底层筛10mm。主要针对粗料大块和细料粉状混合型垃圾的分离处理，“固定”方式是利用振动给料机（棒式）的篦板，间距10mm，通过给料过程进行骨料和渣土类原料的分离。渣土筛分工段主要作用筛除垃圾中渣土和粉料成分，提高再生骨料成品质量，降低后端工艺环节的粉尘污染。</w:t>
            </w:r>
          </w:p>
          <w:p>
            <w:pPr>
              <w:pStyle w:val="28"/>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⑶</w:t>
            </w: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建筑、装修垃圾粗破碎工段</w:t>
            </w:r>
          </w:p>
          <w:p>
            <w:pPr>
              <w:keepNext w:val="0"/>
              <w:keepLines w:val="0"/>
              <w:suppressLineNumbers w:val="0"/>
              <w:adjustRightInd w:val="0"/>
              <w:spacing w:before="0" w:beforeAutospacing="0" w:after="0" w:afterAutospacing="0" w:line="360" w:lineRule="auto"/>
              <w:ind w:left="0" w:right="0" w:firstLine="480" w:firstLineChars="200"/>
              <w:rPr>
                <w:rFonts w:hint="default" w:eastAsia="仿宋_GB2312" w:cs="Times New Roman"/>
                <w:color w:val="000000" w:themeColor="text1"/>
                <w:sz w:val="24"/>
                <w:szCs w:val="24"/>
                <w:highlight w:val="none"/>
                <w:lang w:val="en-US" w:eastAsia="zh-CN"/>
                <w14:textFill>
                  <w14:solidFill>
                    <w14:schemeClr w14:val="tx1"/>
                  </w14:solidFill>
                </w14:textFill>
              </w:rPr>
            </w:pPr>
            <w:r>
              <w:rPr>
                <w:rFonts w:hint="default" w:eastAsia="仿宋_GB2312" w:cs="Times New Roman"/>
                <w:color w:val="000000" w:themeColor="text1"/>
                <w:sz w:val="24"/>
                <w:szCs w:val="24"/>
                <w:highlight w:val="none"/>
                <w:lang w:val="en-US" w:eastAsia="zh-CN"/>
                <w14:textFill>
                  <w14:solidFill>
                    <w14:schemeClr w14:val="tx1"/>
                  </w14:solidFill>
                </w14:textFill>
              </w:rPr>
              <w:t>固定式粗破碎工段：该工段处理经过粗筛（渣土筛分）的建筑垃圾原料，选择颚式破碎机作为一破粗破</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default" w:eastAsia="仿宋_GB2312" w:cs="Times New Roman"/>
                <w:color w:val="000000" w:themeColor="text1"/>
                <w:sz w:val="24"/>
                <w:szCs w:val="24"/>
                <w:highlight w:val="none"/>
                <w:lang w:val="en-US" w:eastAsia="zh-CN"/>
                <w14:textFill>
                  <w14:solidFill>
                    <w14:schemeClr w14:val="tx1"/>
                  </w14:solidFill>
                </w14:textFill>
              </w:rPr>
              <w:t>其原因主要有：</w:t>
            </w:r>
            <w:r>
              <w:rPr>
                <w:rFonts w:hint="eastAsia" w:eastAsia="仿宋_GB2312" w:cs="Times New Roman"/>
                <w:color w:val="000000" w:themeColor="text1"/>
                <w:sz w:val="24"/>
                <w:szCs w:val="24"/>
                <w:highlight w:val="none"/>
                <w:lang w:val="en-US" w:eastAsia="zh-CN"/>
                <w14:textFill>
                  <w14:solidFill>
                    <w14:schemeClr w14:val="tx1"/>
                  </w14:solidFill>
                </w14:textFill>
              </w:rPr>
              <w:t>1）</w:t>
            </w:r>
            <w:r>
              <w:rPr>
                <w:rFonts w:hint="default" w:eastAsia="仿宋_GB2312" w:cs="Times New Roman"/>
                <w:color w:val="000000" w:themeColor="text1"/>
                <w:sz w:val="24"/>
                <w:szCs w:val="24"/>
                <w:highlight w:val="none"/>
                <w:lang w:val="en-US" w:eastAsia="zh-CN"/>
                <w14:textFill>
                  <w14:solidFill>
                    <w14:schemeClr w14:val="tx1"/>
                  </w14:solidFill>
                </w14:textFill>
              </w:rPr>
              <w:t>该设备构造简单、坚固耐用、维护检修方便、生产费用较低。因建筑垃圾来料成分复杂，特别是其中的金属组分对一破粗破设备存在潜在危害。因此一破设备构造不能太复杂，既要又要达到生产时耐用的要求，又要方便后期应急检修等情况。</w:t>
            </w:r>
            <w:r>
              <w:rPr>
                <w:rFonts w:hint="eastAsia" w:eastAsia="仿宋_GB2312" w:cs="Times New Roman"/>
                <w:color w:val="000000" w:themeColor="text1"/>
                <w:sz w:val="24"/>
                <w:szCs w:val="24"/>
                <w:highlight w:val="none"/>
                <w:lang w:val="en-US" w:eastAsia="zh-CN"/>
                <w14:textFill>
                  <w14:solidFill>
                    <w14:schemeClr w14:val="tx1"/>
                  </w14:solidFill>
                </w14:textFill>
              </w:rPr>
              <w:t>2)</w:t>
            </w:r>
            <w:r>
              <w:rPr>
                <w:rFonts w:hint="default" w:eastAsia="仿宋_GB2312" w:cs="Times New Roman"/>
                <w:color w:val="000000" w:themeColor="text1"/>
                <w:sz w:val="24"/>
                <w:szCs w:val="24"/>
                <w:highlight w:val="none"/>
                <w:lang w:val="en-US" w:eastAsia="zh-CN"/>
                <w14:textFill>
                  <w14:solidFill>
                    <w14:schemeClr w14:val="tx1"/>
                  </w14:solidFill>
                </w14:textFill>
              </w:rPr>
              <w:t>物料在破碎颚板之间除受挤压作用，同时还受研磨力的作用，破碎效率较高，可以满足后续分拣和二次渣土筛分工序的要求。</w:t>
            </w:r>
            <w:r>
              <w:rPr>
                <w:rFonts w:hint="eastAsia" w:eastAsia="仿宋_GB2312" w:cs="Times New Roman"/>
                <w:color w:val="000000" w:themeColor="text1"/>
                <w:sz w:val="24"/>
                <w:szCs w:val="24"/>
                <w:highlight w:val="none"/>
                <w:lang w:val="en-US" w:eastAsia="zh-CN"/>
                <w14:textFill>
                  <w14:solidFill>
                    <w14:schemeClr w14:val="tx1"/>
                  </w14:solidFill>
                </w14:textFill>
              </w:rPr>
              <w:t>3)</w:t>
            </w:r>
            <w:r>
              <w:rPr>
                <w:rFonts w:hint="default" w:eastAsia="仿宋_GB2312" w:cs="Times New Roman"/>
                <w:color w:val="000000" w:themeColor="text1"/>
                <w:sz w:val="24"/>
                <w:szCs w:val="24"/>
                <w:highlight w:val="none"/>
                <w:lang w:val="en-US" w:eastAsia="zh-CN"/>
                <w14:textFill>
                  <w14:solidFill>
                    <w14:schemeClr w14:val="tx1"/>
                  </w14:solidFill>
                </w14:textFill>
              </w:rPr>
              <w:t>进料尺寸较大，满足一破要适应来料粒度差异性较大的要求。皮带输送机上方增设除铁器。</w:t>
            </w:r>
          </w:p>
          <w:p>
            <w:pPr>
              <w:keepNext w:val="0"/>
              <w:keepLines w:val="0"/>
              <w:suppressLineNumbers w:val="0"/>
              <w:adjustRightInd w:val="0"/>
              <w:spacing w:before="0" w:beforeAutospacing="0" w:after="0" w:afterAutospacing="0" w:line="360" w:lineRule="auto"/>
              <w:ind w:left="0" w:right="0" w:firstLine="480" w:firstLineChars="200"/>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⑷</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建筑、装修垃圾人工分拣工段</w:t>
            </w:r>
          </w:p>
          <w:p>
            <w:pPr>
              <w:pStyle w:val="28"/>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固定式人工分拣工段：该工段处理经过粗破碎工段100~150mm粒径垃圾物料或粉料含量很低的其他大块垃圾物料，上述物料由皮带输送机分散摊铺。由皮带输送机旁人工分拣工位对如加气块、保温板、石膏板、木块、金属、废纸、大件塑料、大件编织袋等类别的物质进行回收再生利用。砖混、混凝土等可综合利用重物质随皮带进行下个工段。</w:t>
            </w:r>
          </w:p>
          <w:p>
            <w:pPr>
              <w:keepNext w:val="0"/>
              <w:keepLines w:val="0"/>
              <w:suppressLineNumbers w:val="0"/>
              <w:adjustRightInd w:val="0"/>
              <w:spacing w:before="0" w:beforeAutospacing="0" w:after="0" w:afterAutospacing="0" w:line="348" w:lineRule="auto"/>
              <w:ind w:left="0" w:right="0" w:firstLine="480" w:firstLineChars="200"/>
              <w:jc w:val="both"/>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⑸</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建筑、装修垃圾细破碎工段</w:t>
            </w:r>
          </w:p>
          <w:p>
            <w:pPr>
              <w:keepNext w:val="0"/>
              <w:keepLines w:val="0"/>
              <w:suppressLineNumbers w:val="0"/>
              <w:adjustRightInd w:val="0"/>
              <w:spacing w:before="0" w:beforeAutospacing="0" w:after="0" w:afterAutospacing="0" w:line="348" w:lineRule="auto"/>
              <w:ind w:left="0" w:right="0" w:firstLine="480" w:firstLineChars="200"/>
              <w:jc w:val="both"/>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移动式破碎工段：该工段处理经过粗破碎和人工分拣工段的100~150mm之间的重物质垃圾物料或其他粒度适应成分为砖混为主的垃圾物料。上述物料送至移动式反击破碎机料仓经过破碎后得到31.5mm以下再生骨料，31.5以上再生骨料通过回料皮带输送机再次进入反击式破碎机。整个过程在各主要节点通过降尘装置、帆布罩、活性干雾机控制或降低粉尘产生。选择反击式破碎机作为二破细破的原因：1）该设备生产效率高，破碎比大，适用于建筑垃圾这类中硬脆性物料的细破。2）反击破碎机可以通过调整反击板和板锤的距离和转子转速等参数，控制产品粒度方便后续筛分工序和生产控制调整。</w:t>
            </w:r>
          </w:p>
          <w:p>
            <w:pPr>
              <w:pStyle w:val="49"/>
              <w:keepNext w:val="0"/>
              <w:keepLines w:val="0"/>
              <w:suppressLineNumbers w:val="0"/>
              <w:adjustRightInd w:val="0"/>
              <w:snapToGrid w:val="0"/>
              <w:spacing w:before="0" w:beforeAutospacing="0" w:after="0" w:afterAutospacing="0" w:line="360" w:lineRule="auto"/>
              <w:ind w:left="0" w:right="0"/>
              <w:jc w:val="left"/>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⑹建筑、装修垃圾“除土筛分+风选”工段</w:t>
            </w:r>
          </w:p>
          <w:p>
            <w:pPr>
              <w:pStyle w:val="49"/>
              <w:keepNext w:val="0"/>
              <w:keepLines w:val="0"/>
              <w:suppressLineNumbers w:val="0"/>
              <w:adjustRightInd w:val="0"/>
              <w:snapToGrid w:val="0"/>
              <w:spacing w:before="0" w:beforeAutospacing="0" w:after="0" w:afterAutospacing="0" w:line="360" w:lineRule="auto"/>
              <w:ind w:left="0" w:right="0"/>
              <w:jc w:val="left"/>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固定式风选工段：该工段处理经过细破碎的建筑垃圾物料或其他粒度适宜的垃圾物料，其工作主要为原理先利用固定式二次渣土筛分将破碎后物料内的渣土或者0~5mm再生骨料进行分离，再利用风选（轻物质分离器）设备内风机吹动轻物质，轻物质进分离器收集，其他粉料随负压风扇收集，再将洁净气体排出。重物质垃圾物料不受风机气流影响，落入重物质输送带，进入下个工段。</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⑺建筑、装修垃圾细筛工段</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移动式细筛工段：该工段处理经过破碎工段的31.5mm以下物料，选用移动式三层筛分机，上层为20mm、中层为10mm、下层为5mm。筛分后得到0~5mm、5~10mm、10~20mm、20~31.5mm四种再生粗细骨料，便于下游综合利用产业使用。也可以不进入筛分系统，直接由原生混合再生骨料状态进入独立的暂存系统之内。</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⑻</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搅拌机搅拌阶段</w:t>
            </w:r>
          </w:p>
          <w:p>
            <w:pPr>
              <w:pStyle w:val="64"/>
              <w:keepNext w:val="0"/>
              <w:keepLines w:val="0"/>
              <w:suppressLineNumbers w:val="0"/>
              <w:spacing w:before="0" w:beforeAutospacing="0" w:after="0" w:afterAutospacing="0" w:line="360" w:lineRule="auto"/>
              <w:ind w:left="0" w:right="0" w:firstLine="480" w:firstLineChars="200"/>
              <w:rPr>
                <w:rFonts w:hint="default" w:eastAsia="仿宋_GB2312" w:cs="Times New Roman"/>
                <w:color w:val="000000" w:themeColor="text1"/>
                <w:kern w:val="2"/>
                <w:sz w:val="24"/>
                <w:szCs w:val="24"/>
                <w:highlight w:val="none"/>
                <w:lang w:val="en-US" w:eastAsia="zh-CN" w:bidi="ar-SA"/>
                <w14:textFill>
                  <w14:solidFill>
                    <w14:schemeClr w14:val="tx1"/>
                  </w14:solidFill>
                </w14:textFill>
              </w:rPr>
            </w:pPr>
            <w:r>
              <w:rPr>
                <w:rFonts w:hint="eastAsia" w:eastAsia="仿宋_GB2312" w:cs="Times New Roman"/>
                <w:color w:val="auto"/>
                <w:sz w:val="24"/>
                <w:szCs w:val="24"/>
                <w:highlight w:val="none"/>
                <w:lang w:val="en-US" w:eastAsia="zh-CN"/>
              </w:rPr>
              <w:t>储存在粉料筒仓罐里的粉料（水泥或粉煤灰）通过螺旋输送机将水泥或粉煤灰输送至搅拌机内。在集料的堆棚里用装载机将原材料骨料（如：建筑垃圾再生骨料，砂子，石子、炉渣、矿渣等）运输至混凝土制品车间的三级配料仓，通过计量，送到强制式搅拌机的提升斗里，提升至搅拌机里进行搅拌。本项目再生混凝土制品生产线和水稳料生产线采用密闭性搅拌机，</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搅拌机配置脉冲布袋除尘器，搅拌过程中在搅拌装置处设置管道，通过管道将粉尘引入配套的1套脉冲布袋除尘器</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除尘效率9</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9</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内进行除尘处理</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搅拌机</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产生的</w:t>
            </w:r>
            <w:r>
              <w:rPr>
                <w:rFonts w:hint="eastAsia" w:cs="Times New Roman"/>
                <w:b w:val="0"/>
                <w:bCs w:val="0"/>
                <w:snapToGrid/>
                <w:color w:val="000000" w:themeColor="text1"/>
                <w:kern w:val="16"/>
                <w:sz w:val="24"/>
                <w:szCs w:val="24"/>
                <w:highlight w:val="none"/>
                <w:lang w:val="en-US" w:eastAsia="zh-CN"/>
                <w14:textFill>
                  <w14:solidFill>
                    <w14:schemeClr w14:val="tx1"/>
                  </w14:solidFill>
                </w14:textFill>
              </w:rPr>
              <w:t>逸散</w:t>
            </w:r>
            <w:r>
              <w:rPr>
                <w:rFonts w:hint="default" w:ascii="Times New Roman" w:hAnsi="Times New Roman" w:eastAsia="仿宋_GB2312" w:cs="Times New Roman"/>
                <w:b w:val="0"/>
                <w:bCs w:val="0"/>
                <w:snapToGrid/>
                <w:color w:val="000000" w:themeColor="text1"/>
                <w:kern w:val="16"/>
                <w:sz w:val="24"/>
                <w:szCs w:val="24"/>
                <w:highlight w:val="none"/>
                <w14:textFill>
                  <w14:solidFill>
                    <w14:schemeClr w14:val="tx1"/>
                  </w14:solidFill>
                </w14:textFill>
              </w:rPr>
              <w:t>粉尘属于无组织排放。</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未收集的粉尘通过</w:t>
            </w:r>
            <w:r>
              <w:rPr>
                <w:rFonts w:hint="eastAsia" w:eastAsia="仿宋_GB2312"/>
                <w:color w:val="000000" w:themeColor="text1"/>
                <w:sz w:val="24"/>
                <w:szCs w:val="24"/>
                <w14:textFill>
                  <w14:solidFill>
                    <w14:schemeClr w14:val="tx1"/>
                  </w14:solidFill>
                </w14:textFill>
              </w:rPr>
              <w:t>活性干雾机</w:t>
            </w:r>
            <w:r>
              <w:rPr>
                <w:rFonts w:hint="eastAsia" w:eastAsia="仿宋_GB2312"/>
                <w:color w:val="000000" w:themeColor="text1"/>
                <w:sz w:val="24"/>
                <w:szCs w:val="24"/>
                <w:lang w:val="en-US" w:eastAsia="zh-CN"/>
                <w14:textFill>
                  <w14:solidFill>
                    <w14:schemeClr w14:val="tx1"/>
                  </w14:solidFill>
                </w14:textFill>
              </w:rPr>
              <w:t>进行降尘</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w:t>
            </w:r>
          </w:p>
          <w:p>
            <w:pPr>
              <w:pStyle w:val="49"/>
              <w:keepNext w:val="0"/>
              <w:keepLines w:val="0"/>
              <w:suppressLineNumbers w:val="0"/>
              <w:adjustRightInd w:val="0"/>
              <w:snapToGrid w:val="0"/>
              <w:spacing w:before="0" w:beforeAutospacing="0" w:after="0" w:afterAutospacing="0" w:line="360" w:lineRule="auto"/>
              <w:ind w:left="0" w:right="0"/>
              <w:jc w:val="left"/>
              <w:rPr>
                <w:rFonts w:hint="default" w:eastAsia="仿宋_GB2312"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highlight w:val="none"/>
                <w:lang w:val="en-US" w:eastAsia="zh-CN"/>
                <w14:textFill>
                  <w14:solidFill>
                    <w14:schemeClr w14:val="tx1"/>
                  </w14:solidFill>
                </w14:textFill>
              </w:rPr>
              <w:t>本项目粉尘</w:t>
            </w:r>
            <w:r>
              <w:rPr>
                <w:rFonts w:hint="default" w:eastAsia="仿宋_GB2312" w:cs="Times New Roman"/>
                <w:color w:val="000000" w:themeColor="text1"/>
                <w:sz w:val="24"/>
                <w:highlight w:val="none"/>
                <w:lang w:val="en-US" w:eastAsia="zh-CN"/>
                <w14:textFill>
                  <w14:solidFill>
                    <w14:schemeClr w14:val="tx1"/>
                  </w14:solidFill>
                </w14:textFill>
              </w:rPr>
              <w:t>有组织排放</w:t>
            </w:r>
            <w:r>
              <w:rPr>
                <w:rFonts w:hint="default" w:ascii="Times New Roman" w:hAnsi="Times New Roman" w:eastAsia="仿宋_GB2312" w:cs="Times New Roman"/>
                <w:color w:val="000000" w:themeColor="text1"/>
                <w:sz w:val="24"/>
                <w:highlight w:val="none"/>
                <w:lang w:val="en-US" w:eastAsia="zh-CN"/>
                <w14:textFill>
                  <w14:solidFill>
                    <w14:schemeClr w14:val="tx1"/>
                  </w14:solidFill>
                </w14:textFill>
              </w:rPr>
              <w:t>措施参照《排污许可证申请与核发技术规范 总则》（HJ942-2018）4.5</w:t>
            </w:r>
            <w:r>
              <w:rPr>
                <w:rFonts w:hint="default" w:eastAsia="仿宋_GB2312"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highlight w:val="none"/>
                <w:lang w:val="en-US" w:eastAsia="zh-CN"/>
                <w14:textFill>
                  <w14:solidFill>
                    <w14:schemeClr w14:val="tx1"/>
                  </w14:solidFill>
                </w14:textFill>
              </w:rPr>
              <w:t>废气污染治理设施工艺包括除尘设施</w:t>
            </w:r>
            <w:r>
              <w:rPr>
                <w:rFonts w:hint="eastAsia" w:eastAsia="仿宋_GB2312"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highlight w:val="none"/>
                <w:lang w:val="en-US" w:eastAsia="zh-CN"/>
                <w14:textFill>
                  <w14:solidFill>
                    <w14:schemeClr w14:val="tx1"/>
                  </w14:solidFill>
                </w14:textFill>
              </w:rPr>
              <w:t>袋式除尘器、电除尘器、电袋复合除尘器、其他</w:t>
            </w:r>
            <w:r>
              <w:rPr>
                <w:rFonts w:hint="eastAsia" w:eastAsia="仿宋_GB2312" w:cs="Times New Roman"/>
                <w:color w:val="000000" w:themeColor="text1"/>
                <w:sz w:val="24"/>
                <w:highlight w:val="none"/>
                <w:lang w:val="en-US" w:eastAsia="zh-CN"/>
                <w14:textFill>
                  <w14:solidFill>
                    <w14:schemeClr w14:val="tx1"/>
                  </w14:solidFill>
                </w14:textFill>
              </w:rPr>
              <w:t>）</w:t>
            </w:r>
            <w:r>
              <w:rPr>
                <w:rFonts w:hint="default" w:eastAsia="仿宋_GB2312"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highlight w:val="none"/>
                <w:lang w:val="en-US" w:eastAsia="zh-CN"/>
                <w14:textFill>
                  <w14:solidFill>
                    <w14:schemeClr w14:val="tx1"/>
                  </w14:solidFill>
                </w14:textFill>
              </w:rPr>
              <w:t>项目使用的</w:t>
            </w:r>
            <w:r>
              <w:rPr>
                <w:rFonts w:hint="default" w:eastAsia="仿宋_GB2312" w:cs="Times New Roman"/>
                <w:color w:val="000000" w:themeColor="text1"/>
                <w:sz w:val="24"/>
                <w:highlight w:val="none"/>
                <w:lang w:val="en-US" w:eastAsia="zh-CN"/>
                <w14:textFill>
                  <w14:solidFill>
                    <w14:schemeClr w14:val="tx1"/>
                  </w14:solidFill>
                </w14:textFill>
              </w:rPr>
              <w:t>布袋</w:t>
            </w:r>
            <w:r>
              <w:rPr>
                <w:rFonts w:hint="default" w:ascii="Times New Roman" w:hAnsi="Times New Roman" w:eastAsia="仿宋_GB2312" w:cs="Times New Roman"/>
                <w:color w:val="000000" w:themeColor="text1"/>
                <w:sz w:val="24"/>
                <w:highlight w:val="none"/>
                <w:lang w:val="en-US" w:eastAsia="zh-CN"/>
                <w14:textFill>
                  <w14:solidFill>
                    <w14:schemeClr w14:val="tx1"/>
                  </w14:solidFill>
                </w14:textFill>
              </w:rPr>
              <w:t>除尘器属于袋式除尘器的一种属于可行技术，根据源强核算结果可以看出，采取以上措施后，</w:t>
            </w:r>
            <w:r>
              <w:rPr>
                <w:rFonts w:hint="default" w:eastAsia="仿宋_GB2312" w:cs="Times New Roman"/>
                <w:color w:val="000000" w:themeColor="text1"/>
                <w:sz w:val="24"/>
                <w:highlight w:val="none"/>
                <w:lang w:val="en-US" w:eastAsia="zh-CN"/>
                <w14:textFill>
                  <w14:solidFill>
                    <w14:schemeClr w14:val="tx1"/>
                  </w14:solidFill>
                </w14:textFill>
              </w:rPr>
              <w:t>产生的</w:t>
            </w:r>
            <w:r>
              <w:rPr>
                <w:rFonts w:hint="default" w:ascii="Times New Roman" w:hAnsi="Times New Roman" w:eastAsia="仿宋_GB2312" w:cs="Times New Roman"/>
                <w:color w:val="000000" w:themeColor="text1"/>
                <w:sz w:val="24"/>
                <w:highlight w:val="none"/>
                <w:lang w:val="en-US" w:eastAsia="zh-CN"/>
                <w14:textFill>
                  <w14:solidFill>
                    <w14:schemeClr w14:val="tx1"/>
                  </w14:solidFill>
                </w14:textFill>
              </w:rPr>
              <w:t>废气均可达标排放</w:t>
            </w:r>
            <w:r>
              <w:rPr>
                <w:rFonts w:hint="default" w:eastAsia="仿宋_GB2312" w:cs="Times New Roman"/>
                <w:color w:val="000000" w:themeColor="text1"/>
                <w:sz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eastAsia="仿宋_GB2312" w:cs="Times New Roman"/>
                <w:color w:val="000000" w:themeColor="text1"/>
                <w:sz w:val="24"/>
                <w:szCs w:val="22"/>
                <w:highlight w:val="none"/>
                <w:lang w:val="en-US" w:eastAsia="zh-CN"/>
                <w14:textFill>
                  <w14:solidFill>
                    <w14:schemeClr w14:val="tx1"/>
                  </w14:solidFill>
                </w14:textFill>
              </w:rPr>
              <w:t>综上所述，</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仿宋_GB2312" w:cs="Times New Roman"/>
                <w:color w:val="000000" w:themeColor="text1"/>
                <w:sz w:val="24"/>
                <w:szCs w:val="24"/>
                <w:highlight w:val="none"/>
                <w14:textFill>
                  <w14:solidFill>
                    <w14:schemeClr w14:val="tx1"/>
                  </w14:solidFill>
                </w14:textFill>
              </w:rPr>
              <w:t>建筑垃圾再生线</w:t>
            </w:r>
            <w:r>
              <w:rPr>
                <w:rFonts w:hint="eastAsia" w:ascii="Times New Roman" w:hAnsi="Times New Roman" w:eastAsia="仿宋_GB2312" w:cs="Times New Roman"/>
                <w:color w:val="000000" w:themeColor="text1"/>
                <w:kern w:val="2"/>
                <w:sz w:val="24"/>
                <w:szCs w:val="24"/>
                <w:highlight w:val="none"/>
                <w:lang w:val="en-US" w:eastAsia="zh-CN"/>
                <w14:textFill>
                  <w14:solidFill>
                    <w14:schemeClr w14:val="tx1"/>
                  </w14:solidFill>
                </w14:textFill>
              </w:rPr>
              <w:t>颗粒物排放执行</w:t>
            </w:r>
            <w:r>
              <w:rPr>
                <w:rFonts w:hint="eastAsia" w:ascii="Times New Roman" w:hAnsi="Times New Roman" w:eastAsia="仿宋_GB2312" w:cs="Times New Roman"/>
                <w:color w:val="000000" w:themeColor="text1"/>
                <w:sz w:val="24"/>
                <w:szCs w:val="24"/>
                <w:highlight w:val="none"/>
                <w14:textFill>
                  <w14:solidFill>
                    <w14:schemeClr w14:val="tx1"/>
                  </w14:solidFill>
                </w14:textFill>
              </w:rPr>
              <w:t>《大气污染物综合排放标准》（GB16297-1996）表2新污染源大气污染物排放限值</w:t>
            </w:r>
            <w:r>
              <w:rPr>
                <w:rFonts w:hint="eastAsia"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4"/>
                <w:szCs w:val="22"/>
                <w:highlight w:val="none"/>
                <w:lang w:val="en-US" w:eastAsia="zh-CN"/>
                <w14:textFill>
                  <w14:solidFill>
                    <w14:schemeClr w14:val="tx1"/>
                  </w14:solidFill>
                </w14:textFill>
              </w:rPr>
              <w:t>本项目</w:t>
            </w:r>
            <w:r>
              <w:rPr>
                <w:rFonts w:hint="eastAsia" w:eastAsia="仿宋_GB2312" w:cs="Times New Roman"/>
                <w:color w:val="000000" w:themeColor="text1"/>
                <w:sz w:val="24"/>
                <w:szCs w:val="22"/>
                <w:highlight w:val="none"/>
                <w:lang w:val="en-US" w:eastAsia="zh-CN"/>
                <w14:textFill>
                  <w14:solidFill>
                    <w14:schemeClr w14:val="tx1"/>
                  </w14:solidFill>
                </w14:textFill>
              </w:rPr>
              <w:t>再生混凝土制品生产线和水稳料生产线</w:t>
            </w:r>
            <w:r>
              <w:rPr>
                <w:rFonts w:hint="default" w:ascii="Times New Roman" w:hAnsi="Times New Roman" w:eastAsia="仿宋_GB2312" w:cs="Times New Roman"/>
                <w:color w:val="000000" w:themeColor="text1"/>
                <w:sz w:val="24"/>
                <w:szCs w:val="22"/>
                <w:highlight w:val="none"/>
                <w:lang w:val="en-US" w:eastAsia="zh-CN"/>
                <w14:textFill>
                  <w14:solidFill>
                    <w14:schemeClr w14:val="tx1"/>
                  </w14:solidFill>
                </w14:textFill>
              </w:rPr>
              <w:t>通过以上废气处理措施后可满足</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宁夏回族自治区地方标准《水泥工业大气污染物排放标准》（DB 64/1995-2024）表1散装水泥中转及水泥制品生产过程排放限值要求</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颗粒物有组织排放浓度≤10mg/m</w:t>
            </w:r>
            <w:r>
              <w:rPr>
                <w:rFonts w:hint="default" w:ascii="Times New Roman" w:hAnsi="Times New Roman" w:eastAsia="仿宋_GB2312" w:cs="Times New Roman"/>
                <w:b w:val="0"/>
                <w:bCs w:val="0"/>
                <w:color w:val="000000" w:themeColor="text1"/>
                <w:kern w:val="16"/>
                <w:sz w:val="24"/>
                <w:szCs w:val="24"/>
                <w:highlight w:val="none"/>
                <w:vertAlign w:val="superscript"/>
                <w:lang w:val="en-US" w:eastAsia="zh-CN" w:bidi="ar-SA"/>
                <w14:textFill>
                  <w14:solidFill>
                    <w14:schemeClr w14:val="tx1"/>
                  </w14:solidFill>
                </w14:textFill>
              </w:rPr>
              <w:t>3</w:t>
            </w:r>
            <w:r>
              <w:rPr>
                <w:rFonts w:hint="eastAsia" w:cs="Times New Roman"/>
                <w:b w:val="0"/>
                <w:bCs w:val="0"/>
                <w:color w:val="000000" w:themeColor="text1"/>
                <w:kern w:val="16"/>
                <w:sz w:val="24"/>
                <w:szCs w:val="24"/>
                <w:highlight w:val="none"/>
                <w:lang w:val="en-US" w:eastAsia="zh-CN" w:bidi="ar-SA"/>
                <w14:textFill>
                  <w14:solidFill>
                    <w14:schemeClr w14:val="tx1"/>
                  </w14:solidFill>
                </w14:textFill>
              </w:rPr>
              <w:t>）</w:t>
            </w:r>
            <w:r>
              <w:rPr>
                <w:rFonts w:hint="eastAsia" w:eastAsia="仿宋_GB2312" w:cs="Times New Roman"/>
                <w:color w:val="000000" w:themeColor="text1"/>
                <w:sz w:val="24"/>
                <w:szCs w:val="2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项目</w:t>
            </w:r>
            <w:r>
              <w:rPr>
                <w:rFonts w:hint="eastAsia" w:eastAsia="仿宋_GB2312" w:cs="Times New Roman"/>
                <w:color w:val="000000" w:themeColor="text1"/>
                <w:sz w:val="24"/>
                <w:szCs w:val="22"/>
                <w:highlight w:val="none"/>
                <w:lang w:val="en-US" w:eastAsia="zh-CN"/>
                <w14:textFill>
                  <w14:solidFill>
                    <w14:schemeClr w14:val="tx1"/>
                  </w14:solidFill>
                </w14:textFill>
              </w:rPr>
              <w:t>再生混凝土制品生产线和水稳料生产线</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无组织排放的粉尘满足宁夏回族自治区地方标准《水泥工业大气污染物排放标准》（DB 64/1995-2024）中表2排放限值</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无组织颗粒物排放限值0.5mg/m</w:t>
            </w:r>
            <w:r>
              <w:rPr>
                <w:rFonts w:hint="eastAsia" w:ascii="Times New Roman" w:hAnsi="Times New Roman" w:eastAsia="仿宋_GB2312" w:cs="Times New Roman"/>
                <w:color w:val="000000" w:themeColor="text1"/>
                <w:sz w:val="24"/>
                <w:szCs w:val="24"/>
                <w:highlight w:val="none"/>
                <w:vertAlign w:val="superscript"/>
                <w:lang w:val="en-US" w:eastAsia="zh-CN"/>
                <w14:textFill>
                  <w14:solidFill>
                    <w14:schemeClr w14:val="tx1"/>
                  </w14:solidFill>
                </w14:textFill>
              </w:rPr>
              <w:t>3</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，对环境的影响将会大大降低。</w:t>
            </w:r>
          </w:p>
          <w:p>
            <w:pPr>
              <w:pStyle w:val="49"/>
              <w:keepNext w:val="0"/>
              <w:keepLines w:val="0"/>
              <w:suppressLineNumbers w:val="0"/>
              <w:adjustRightInd w:val="0"/>
              <w:snapToGrid w:val="0"/>
              <w:spacing w:before="0" w:beforeAutospacing="0" w:after="0" w:afterAutospacing="0" w:line="360" w:lineRule="auto"/>
              <w:ind w:left="0" w:right="0"/>
              <w:jc w:val="left"/>
              <w:rPr>
                <w:rFonts w:hint="default" w:eastAsia="仿宋_GB2312"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4"/>
                <w:highlight w:val="none"/>
                <w:lang w:eastAsia="zh-CN"/>
                <w14:textFill>
                  <w14:solidFill>
                    <w14:schemeClr w14:val="tx1"/>
                  </w14:solidFill>
                </w14:textFill>
              </w:rPr>
              <w:t>本项目废气对大气环境影响较轻微，措施可行</w:t>
            </w:r>
            <w:r>
              <w:rPr>
                <w:rFonts w:hint="default" w:ascii="Times New Roman" w:hAnsi="Times New Roman" w:eastAsia="仿宋_GB2312" w:cs="Times New Roman"/>
                <w:color w:val="000000" w:themeColor="text1"/>
                <w:sz w:val="24"/>
                <w:highlight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1.</w:t>
            </w:r>
            <w:r>
              <w:rPr>
                <w:rFonts w:hint="eastAsia" w:eastAsia="仿宋_GB2312" w:cs="Times New Roman"/>
                <w:b/>
                <w:bCs/>
                <w:color w:val="000000" w:themeColor="text1"/>
                <w:kern w:val="16"/>
                <w:sz w:val="24"/>
                <w:szCs w:val="24"/>
                <w:highlight w:val="none"/>
                <w:lang w:val="en-US" w:eastAsia="zh-CN" w:bidi="ar-SA"/>
                <w14:textFill>
                  <w14:solidFill>
                    <w14:schemeClr w14:val="tx1"/>
                  </w14:solidFill>
                </w14:textFill>
              </w:rPr>
              <w:t>4</w:t>
            </w:r>
            <w:r>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废气排放口基本情况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仿宋_GB2312"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kern w:val="0"/>
                <w:sz w:val="24"/>
                <w:szCs w:val="24"/>
                <w:highlight w:val="none"/>
                <w:lang w:val="en-US" w:eastAsia="zh-CN"/>
                <w14:textFill>
                  <w14:solidFill>
                    <w14:schemeClr w14:val="tx1"/>
                  </w14:solidFill>
                </w14:textFill>
              </w:rPr>
              <w:t>本项目废气排放口基本情况见表4-</w:t>
            </w:r>
            <w:r>
              <w:rPr>
                <w:rFonts w:hint="eastAsia" w:eastAsia="仿宋_GB2312" w:cs="Times New Roman"/>
                <w:b w:val="0"/>
                <w:bCs w:val="0"/>
                <w:color w:val="000000" w:themeColor="text1"/>
                <w:kern w:val="0"/>
                <w:sz w:val="24"/>
                <w:szCs w:val="24"/>
                <w:highlight w:val="none"/>
                <w:lang w:val="en-US" w:eastAsia="zh-CN"/>
                <w14:textFill>
                  <w14:solidFill>
                    <w14:schemeClr w14:val="tx1"/>
                  </w14:solidFill>
                </w14:textFill>
              </w:rPr>
              <w:t>11</w:t>
            </w:r>
            <w:r>
              <w:rPr>
                <w:rFonts w:hint="default" w:ascii="Times New Roman" w:hAnsi="Times New Roman" w:eastAsia="仿宋_GB2312" w:cs="Times New Roman"/>
                <w:b w:val="0"/>
                <w:bCs w:val="0"/>
                <w:color w:val="000000" w:themeColor="text1"/>
                <w:kern w:val="0"/>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表4-</w:t>
            </w:r>
            <w:r>
              <w:rPr>
                <w:rFonts w:hint="eastAsia" w:cs="Times New Roman"/>
                <w:color w:val="000000" w:themeColor="text1"/>
                <w:kern w:val="0"/>
                <w:szCs w:val="21"/>
                <w:highlight w:val="none"/>
                <w:lang w:val="en-US" w:eastAsia="zh-CN"/>
                <w14:textFill>
                  <w14:solidFill>
                    <w14:schemeClr w14:val="tx1"/>
                  </w14:solidFill>
                </w14:textFill>
              </w:rPr>
              <w:t>11</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废气排放口基本情况一览表</w:t>
            </w:r>
          </w:p>
          <w:tbl>
            <w:tblPr>
              <w:tblStyle w:val="37"/>
              <w:tblW w:w="129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5"/>
              <w:gridCol w:w="4006"/>
              <w:gridCol w:w="1494"/>
              <w:gridCol w:w="1766"/>
              <w:gridCol w:w="1901"/>
              <w:gridCol w:w="1052"/>
              <w:gridCol w:w="1172"/>
              <w:gridCol w:w="10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Merge w:val="restart"/>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序号</w:t>
                  </w:r>
                </w:p>
              </w:tc>
              <w:tc>
                <w:tcPr>
                  <w:tcW w:w="4006" w:type="dxa"/>
                  <w:vMerge w:val="restart"/>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排放口编号</w:t>
                  </w: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及</w:t>
                  </w:r>
                  <w:r>
                    <w:rPr>
                      <w:rFonts w:hint="default" w:ascii="Times New Roman" w:hAnsi="Times New Roman" w:eastAsia="宋体" w:cs="Times New Roman"/>
                      <w:b/>
                      <w:color w:val="000000" w:themeColor="text1"/>
                      <w:sz w:val="21"/>
                      <w:szCs w:val="21"/>
                      <w:highlight w:val="none"/>
                      <w14:textFill>
                        <w14:solidFill>
                          <w14:schemeClr w14:val="tx1"/>
                        </w14:solidFill>
                      </w14:textFill>
                    </w:rPr>
                    <w:t>名称</w:t>
                  </w:r>
                </w:p>
              </w:tc>
              <w:tc>
                <w:tcPr>
                  <w:tcW w:w="1494" w:type="dxa"/>
                  <w:vMerge w:val="restart"/>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类型</w:t>
                  </w:r>
                </w:p>
              </w:tc>
              <w:tc>
                <w:tcPr>
                  <w:tcW w:w="3667"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排放口地理坐标</w:t>
                  </w:r>
                </w:p>
              </w:tc>
              <w:tc>
                <w:tcPr>
                  <w:tcW w:w="1052" w:type="dxa"/>
                  <w:vMerge w:val="restart"/>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排气筒高度（m）</w:t>
                  </w:r>
                </w:p>
              </w:tc>
              <w:tc>
                <w:tcPr>
                  <w:tcW w:w="1172" w:type="dxa"/>
                  <w:vMerge w:val="restart"/>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排气筒出口内径（m）</w:t>
                  </w:r>
                </w:p>
              </w:tc>
              <w:tc>
                <w:tcPr>
                  <w:tcW w:w="1060" w:type="dxa"/>
                  <w:vMerge w:val="restart"/>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排气温度（℃）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vMerge w:val="continue"/>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06" w:type="dxa"/>
                  <w:vMerge w:val="continue"/>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4" w:type="dxa"/>
                  <w:vMerge w:val="continue"/>
                  <w:tcBorders>
                    <w:tl2br w:val="nil"/>
                    <w:tr2bl w:val="nil"/>
                  </w:tcBorders>
                  <w:noWrap w:val="0"/>
                  <w:vAlign w:val="center"/>
                </w:tcPr>
                <w:p>
                  <w:pPr>
                    <w:pStyle w:val="1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76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经度</w:t>
                  </w:r>
                </w:p>
              </w:tc>
              <w:tc>
                <w:tcPr>
                  <w:tcW w:w="19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纬度</w:t>
                  </w:r>
                </w:p>
              </w:tc>
              <w:tc>
                <w:tcPr>
                  <w:tcW w:w="105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117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106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1</w:t>
                  </w:r>
                </w:p>
              </w:tc>
              <w:tc>
                <w:tcPr>
                  <w:tcW w:w="4006" w:type="dxa"/>
                  <w:tcBorders>
                    <w:tl2br w:val="nil"/>
                    <w:tr2bl w:val="nil"/>
                  </w:tcBorders>
                  <w:noWrap w:val="0"/>
                  <w:vAlign w:val="center"/>
                </w:tcPr>
                <w:p>
                  <w:pPr>
                    <w:pStyle w:val="1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建筑垃圾再生利用车间</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DA00</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排气筒</w:t>
                  </w:r>
                </w:p>
              </w:tc>
              <w:tc>
                <w:tcPr>
                  <w:tcW w:w="14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t>一般排放口</w:t>
                  </w:r>
                </w:p>
              </w:tc>
              <w:tc>
                <w:tcPr>
                  <w:tcW w:w="176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pacing w:val="4"/>
                      <w:sz w:val="21"/>
                      <w:szCs w:val="21"/>
                      <w:highlight w:val="none"/>
                      <w14:textFill>
                        <w14:solidFill>
                          <w14:schemeClr w14:val="tx1"/>
                        </w14:solidFill>
                      </w14:textFill>
                    </w:rPr>
                    <w:t>106.345</w:t>
                  </w:r>
                  <w:r>
                    <w:rPr>
                      <w:rFonts w:hint="eastAsia" w:eastAsia="宋体" w:cs="Times New Roman"/>
                      <w:color w:val="000000" w:themeColor="text1"/>
                      <w:spacing w:val="4"/>
                      <w:sz w:val="21"/>
                      <w:szCs w:val="21"/>
                      <w:highlight w:val="none"/>
                      <w:lang w:val="en-US" w:eastAsia="zh-CN"/>
                      <w14:textFill>
                        <w14:solidFill>
                          <w14:schemeClr w14:val="tx1"/>
                        </w14:solidFill>
                      </w14:textFill>
                    </w:rPr>
                    <w:t>601</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9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pacing w:val="4"/>
                      <w:sz w:val="21"/>
                      <w:szCs w:val="21"/>
                      <w:highlight w:val="none"/>
                      <w14:textFill>
                        <w14:solidFill>
                          <w14:schemeClr w14:val="tx1"/>
                        </w14:solidFill>
                      </w14:textFill>
                    </w:rPr>
                    <w:t>35.49</w:t>
                  </w:r>
                  <w:r>
                    <w:rPr>
                      <w:rFonts w:hint="eastAsia" w:eastAsia="宋体" w:cs="Times New Roman"/>
                      <w:color w:val="000000" w:themeColor="text1"/>
                      <w:spacing w:val="4"/>
                      <w:sz w:val="21"/>
                      <w:szCs w:val="21"/>
                      <w:highlight w:val="none"/>
                      <w:lang w:val="en-US" w:eastAsia="zh-CN"/>
                      <w14:textFill>
                        <w14:solidFill>
                          <w14:schemeClr w14:val="tx1"/>
                        </w14:solidFill>
                      </w14:textFill>
                    </w:rPr>
                    <w:t>4913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0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15</w:t>
                  </w:r>
                </w:p>
              </w:tc>
              <w:tc>
                <w:tcPr>
                  <w:tcW w:w="11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0.</w:t>
                  </w:r>
                  <w:r>
                    <w:rPr>
                      <w:rFonts w:hint="eastAsia" w:cs="Times New Roman"/>
                      <w:bCs/>
                      <w:color w:val="000000" w:themeColor="text1"/>
                      <w:kern w:val="0"/>
                      <w:sz w:val="21"/>
                      <w:szCs w:val="21"/>
                      <w:highlight w:val="none"/>
                      <w:lang w:val="en-US" w:eastAsia="zh-CN"/>
                      <w14:textFill>
                        <w14:solidFill>
                          <w14:schemeClr w14:val="tx1"/>
                        </w14:solidFill>
                      </w14:textFill>
                    </w:rPr>
                    <w:t>8</w:t>
                  </w:r>
                </w:p>
              </w:tc>
              <w:tc>
                <w:tcPr>
                  <w:tcW w:w="1060" w:type="dxa"/>
                  <w:tcBorders>
                    <w:tl2br w:val="nil"/>
                    <w:tr2bl w:val="nil"/>
                  </w:tcBorders>
                  <w:noWrap w:val="0"/>
                  <w:vAlign w:val="center"/>
                </w:tcPr>
                <w:p>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2</w:t>
                  </w:r>
                </w:p>
              </w:tc>
              <w:tc>
                <w:tcPr>
                  <w:tcW w:w="4006" w:type="dxa"/>
                  <w:tcBorders>
                    <w:tl2br w:val="nil"/>
                    <w:tr2bl w:val="nil"/>
                  </w:tcBorders>
                  <w:noWrap w:val="0"/>
                  <w:vAlign w:val="center"/>
                </w:tcPr>
                <w:p>
                  <w:pPr>
                    <w:pStyle w:val="12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建筑垃圾再生利用车间</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DA00</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排气筒</w:t>
                  </w:r>
                </w:p>
              </w:tc>
              <w:tc>
                <w:tcPr>
                  <w:tcW w:w="149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t>一般排放口</w:t>
                  </w:r>
                </w:p>
              </w:tc>
              <w:tc>
                <w:tcPr>
                  <w:tcW w:w="176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Times New Roman" w:cs="Times New Roman"/>
                      <w:color w:val="000000" w:themeColor="text1"/>
                      <w:spacing w:val="4"/>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pacing w:val="4"/>
                      <w:sz w:val="21"/>
                      <w:szCs w:val="21"/>
                      <w:highlight w:val="none"/>
                      <w14:textFill>
                        <w14:solidFill>
                          <w14:schemeClr w14:val="tx1"/>
                        </w14:solidFill>
                      </w14:textFill>
                    </w:rPr>
                    <w:t>106.345</w:t>
                  </w:r>
                  <w:r>
                    <w:rPr>
                      <w:rFonts w:hint="eastAsia" w:cs="Times New Roman"/>
                      <w:color w:val="000000" w:themeColor="text1"/>
                      <w:spacing w:val="4"/>
                      <w:sz w:val="21"/>
                      <w:szCs w:val="21"/>
                      <w:highlight w:val="none"/>
                      <w:lang w:val="en-US" w:eastAsia="zh-CN"/>
                      <w14:textFill>
                        <w14:solidFill>
                          <w14:schemeClr w14:val="tx1"/>
                        </w14:solidFill>
                      </w14:textFill>
                    </w:rPr>
                    <w:t>646</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90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Times New Roman" w:cs="Times New Roman"/>
                      <w:color w:val="000000" w:themeColor="text1"/>
                      <w:spacing w:val="4"/>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pacing w:val="4"/>
                      <w:sz w:val="21"/>
                      <w:szCs w:val="21"/>
                      <w:highlight w:val="none"/>
                      <w14:textFill>
                        <w14:solidFill>
                          <w14:schemeClr w14:val="tx1"/>
                        </w14:solidFill>
                      </w14:textFill>
                    </w:rPr>
                    <w:t>35.49</w:t>
                  </w:r>
                  <w:r>
                    <w:rPr>
                      <w:rFonts w:hint="eastAsia" w:cs="Times New Roman"/>
                      <w:color w:val="000000" w:themeColor="text1"/>
                      <w:spacing w:val="4"/>
                      <w:sz w:val="21"/>
                      <w:szCs w:val="21"/>
                      <w:highlight w:val="none"/>
                      <w:lang w:val="en-US" w:eastAsia="zh-CN"/>
                      <w14:textFill>
                        <w14:solidFill>
                          <w14:schemeClr w14:val="tx1"/>
                        </w14:solidFill>
                      </w14:textFill>
                    </w:rPr>
                    <w:t>4941</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0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15</w:t>
                  </w:r>
                </w:p>
              </w:tc>
              <w:tc>
                <w:tcPr>
                  <w:tcW w:w="117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0.</w:t>
                  </w:r>
                  <w:r>
                    <w:rPr>
                      <w:rFonts w:hint="eastAsia" w:cs="Times New Roman"/>
                      <w:bCs/>
                      <w:color w:val="000000" w:themeColor="text1"/>
                      <w:kern w:val="0"/>
                      <w:sz w:val="21"/>
                      <w:szCs w:val="21"/>
                      <w:highlight w:val="none"/>
                      <w:lang w:val="en-US" w:eastAsia="zh-CN"/>
                      <w14:textFill>
                        <w14:solidFill>
                          <w14:schemeClr w14:val="tx1"/>
                        </w14:solidFill>
                      </w14:textFill>
                    </w:rPr>
                    <w:t>8</w:t>
                  </w:r>
                </w:p>
              </w:tc>
              <w:tc>
                <w:tcPr>
                  <w:tcW w:w="1060" w:type="dxa"/>
                  <w:tcBorders>
                    <w:tl2br w:val="nil"/>
                    <w:tr2bl w:val="nil"/>
                  </w:tcBorders>
                  <w:noWrap w:val="0"/>
                  <w:vAlign w:val="center"/>
                </w:tcPr>
                <w:p>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25</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1.</w:t>
            </w:r>
            <w:r>
              <w:rPr>
                <w:rFonts w:hint="eastAsia" w:eastAsia="仿宋_GB2312" w:cs="Times New Roman"/>
                <w:b/>
                <w:bCs/>
                <w:color w:val="000000" w:themeColor="text1"/>
                <w:kern w:val="16"/>
                <w:sz w:val="24"/>
                <w:szCs w:val="24"/>
                <w:highlight w:val="none"/>
                <w:lang w:val="en-US" w:eastAsia="zh-CN" w:bidi="ar-SA"/>
                <w14:textFill>
                  <w14:solidFill>
                    <w14:schemeClr w14:val="tx1"/>
                  </w14:solidFill>
                </w14:textFill>
              </w:rPr>
              <w:t>5</w:t>
            </w:r>
            <w:r>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监测要求及排放标准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根据《排污单位自行监测技术指南 水泥工业》（HJ848-2017）中废气监测要求，并结合项目实际，监测计划详见表4-</w:t>
            </w:r>
            <w:r>
              <w:rPr>
                <w:rFonts w:hint="eastAsia" w:eastAsia="仿宋_GB2312" w:cs="Times New Roman"/>
                <w:b w:val="0"/>
                <w:bCs w:val="0"/>
                <w:color w:val="000000" w:themeColor="text1"/>
                <w:kern w:val="0"/>
                <w:sz w:val="24"/>
                <w:szCs w:val="24"/>
                <w:highlight w:val="none"/>
                <w:lang w:val="en-US" w:eastAsia="zh-CN" w:bidi="ar-SA"/>
                <w14:textFill>
                  <w14:solidFill>
                    <w14:schemeClr w14:val="tx1"/>
                  </w14:solidFill>
                </w14:textFill>
              </w:rPr>
              <w:t>12</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表4-</w:t>
            </w:r>
            <w:r>
              <w:rPr>
                <w:rFonts w:hint="eastAsia" w:cs="Times New Roman"/>
                <w:color w:val="000000" w:themeColor="text1"/>
                <w:kern w:val="0"/>
                <w:szCs w:val="21"/>
                <w:highlight w:val="none"/>
                <w:lang w:val="en-US" w:eastAsia="zh-CN"/>
                <w14:textFill>
                  <w14:solidFill>
                    <w14:schemeClr w14:val="tx1"/>
                  </w14:solidFill>
                </w14:textFill>
              </w:rPr>
              <w:t>12</w:t>
            </w:r>
            <w:r>
              <w:rPr>
                <w:rFonts w:hint="default" w:ascii="Times New Roman" w:hAnsi="Times New Roman" w:eastAsia="宋体" w:cs="Times New Roman"/>
                <w:b w:val="0"/>
                <w:bCs w:val="0"/>
                <w:color w:val="000000" w:themeColor="text1"/>
                <w:szCs w:val="22"/>
                <w:highlight w:val="none"/>
                <w:lang w:val="en-US" w:eastAsia="zh-CN"/>
                <w14:textFill>
                  <w14:solidFill>
                    <w14:schemeClr w14:val="tx1"/>
                  </w14:solidFill>
                </w14:textFill>
              </w:rPr>
              <w:t xml:space="preserve">  </w:t>
            </w:r>
            <w:r>
              <w:rPr>
                <w:rFonts w:hint="eastAsia" w:ascii="Times New Roman" w:hAnsi="Times New Roman" w:eastAsia="宋体" w:cs="Times New Roman"/>
                <w:b w:val="0"/>
                <w:bCs w:val="0"/>
                <w:color w:val="000000" w:themeColor="text1"/>
                <w:szCs w:val="22"/>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本项目废气监测要求及执行标准一览表</w:t>
            </w:r>
          </w:p>
          <w:tbl>
            <w:tblPr>
              <w:tblStyle w:val="3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340"/>
              <w:gridCol w:w="1747"/>
              <w:gridCol w:w="1322"/>
              <w:gridCol w:w="1675"/>
              <w:gridCol w:w="57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4"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监测时期</w:t>
                  </w:r>
                </w:p>
              </w:tc>
              <w:tc>
                <w:tcPr>
                  <w:tcW w:w="1340"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监测项目</w:t>
                  </w:r>
                </w:p>
              </w:tc>
              <w:tc>
                <w:tcPr>
                  <w:tcW w:w="1747"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监测点</w:t>
                  </w:r>
                </w:p>
              </w:tc>
              <w:tc>
                <w:tcPr>
                  <w:tcW w:w="132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监测项目</w:t>
                  </w:r>
                </w:p>
              </w:tc>
              <w:tc>
                <w:tcPr>
                  <w:tcW w:w="167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监测频次</w:t>
                  </w:r>
                </w:p>
              </w:tc>
              <w:tc>
                <w:tcPr>
                  <w:tcW w:w="575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54" w:type="dxa"/>
                  <w:vMerge w:val="restart"/>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运营期</w:t>
                  </w:r>
                </w:p>
              </w:tc>
              <w:tc>
                <w:tcPr>
                  <w:tcW w:w="1340"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w:t>
                  </w:r>
                </w:p>
              </w:tc>
              <w:tc>
                <w:tcPr>
                  <w:tcW w:w="174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eastAsia="宋体" w:cs="Times New Roman"/>
                      <w:color w:val="000000" w:themeColor="text1"/>
                      <w:kern w:val="0"/>
                      <w:sz w:val="21"/>
                      <w:szCs w:val="21"/>
                      <w:highlight w:val="none"/>
                      <w:lang w:val="en-US" w:eastAsia="zh-CN"/>
                      <w14:textFill>
                        <w14:solidFill>
                          <w14:schemeClr w14:val="tx1"/>
                        </w14:solidFill>
                      </w14:textFill>
                    </w:rPr>
                    <w:t>厂界</w:t>
                  </w:r>
                </w:p>
              </w:tc>
              <w:tc>
                <w:tcPr>
                  <w:tcW w:w="132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颗粒物</w:t>
                  </w:r>
                </w:p>
              </w:tc>
              <w:tc>
                <w:tcPr>
                  <w:tcW w:w="167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每季度一次</w:t>
                  </w:r>
                </w:p>
              </w:tc>
              <w:tc>
                <w:tcPr>
                  <w:tcW w:w="5755"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cs="Times New Roman"/>
                      <w:color w:val="auto"/>
                      <w:szCs w:val="22"/>
                      <w:highlight w:val="none"/>
                    </w:rPr>
                  </w:pPr>
                  <w:r>
                    <w:rPr>
                      <w:rFonts w:hint="default" w:cs="Times New Roman"/>
                      <w:color w:val="auto"/>
                      <w:szCs w:val="22"/>
                      <w:highlight w:val="none"/>
                    </w:rPr>
                    <w:t>《大气污染物综合排放标准》（GB16297-1996）</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cs="Times New Roman"/>
                      <w:color w:val="auto"/>
                      <w:szCs w:val="22"/>
                      <w:highlight w:val="none"/>
                      <w:lang w:val="en-US" w:eastAsia="zh-CN"/>
                    </w:rPr>
                  </w:pPr>
                  <w:r>
                    <w:rPr>
                      <w:rFonts w:hint="default" w:ascii="Times New Roman" w:hAnsi="Times New Roman" w:eastAsia="宋体" w:cs="Times New Roman"/>
                      <w:color w:val="auto"/>
                      <w:sz w:val="21"/>
                      <w:szCs w:val="22"/>
                      <w:highlight w:val="none"/>
                    </w:rPr>
                    <w:t>《水泥工业大气污染物排放标准》（DB 64/1995-2024）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4"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40"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有组织</w:t>
                  </w:r>
                </w:p>
              </w:tc>
              <w:tc>
                <w:tcPr>
                  <w:tcW w:w="174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eastAsia="宋体" w:cs="Times New Roman"/>
                      <w:color w:val="000000" w:themeColor="text1"/>
                      <w:kern w:val="0"/>
                      <w:sz w:val="21"/>
                      <w:szCs w:val="21"/>
                      <w:highlight w:val="none"/>
                      <w:lang w:eastAsia="zh-CN"/>
                      <w14:textFill>
                        <w14:solidFill>
                          <w14:schemeClr w14:val="tx1"/>
                        </w14:solidFill>
                      </w14:textFill>
                    </w:rPr>
                    <w:t>排气筒（DA001）</w:t>
                  </w:r>
                </w:p>
              </w:tc>
              <w:tc>
                <w:tcPr>
                  <w:tcW w:w="132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颗粒物</w:t>
                  </w:r>
                </w:p>
              </w:tc>
              <w:tc>
                <w:tcPr>
                  <w:tcW w:w="167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两年一次</w:t>
                  </w:r>
                </w:p>
              </w:tc>
              <w:tc>
                <w:tcPr>
                  <w:tcW w:w="575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cs="Times New Roman"/>
                      <w:color w:val="auto"/>
                      <w:szCs w:val="22"/>
                      <w:highlight w:val="none"/>
                    </w:rPr>
                    <w:t>《大气污染物综合排放标准》（GB16297-1996）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4"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40"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有</w:t>
                  </w:r>
                  <w:r>
                    <w:rPr>
                      <w:rFonts w:hint="default" w:ascii="Times New Roman" w:hAnsi="Times New Roman" w:eastAsia="宋体" w:cs="Times New Roman"/>
                      <w:color w:val="000000" w:themeColor="text1"/>
                      <w:sz w:val="21"/>
                      <w:szCs w:val="21"/>
                      <w:highlight w:val="none"/>
                      <w14:textFill>
                        <w14:solidFill>
                          <w14:schemeClr w14:val="tx1"/>
                        </w14:solidFill>
                      </w14:textFill>
                    </w:rPr>
                    <w:t>组织</w:t>
                  </w:r>
                </w:p>
              </w:tc>
              <w:tc>
                <w:tcPr>
                  <w:tcW w:w="174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eastAsia="宋体" w:cs="Times New Roman"/>
                      <w:color w:val="000000" w:themeColor="text1"/>
                      <w:kern w:val="0"/>
                      <w:sz w:val="21"/>
                      <w:szCs w:val="21"/>
                      <w:highlight w:val="none"/>
                      <w:lang w:eastAsia="zh-CN"/>
                      <w14:textFill>
                        <w14:solidFill>
                          <w14:schemeClr w14:val="tx1"/>
                        </w14:solidFill>
                      </w14:textFill>
                    </w:rPr>
                  </w:pPr>
                  <w:r>
                    <w:rPr>
                      <w:rFonts w:hint="eastAsia" w:eastAsia="宋体" w:cs="Times New Roman"/>
                      <w:color w:val="000000" w:themeColor="text1"/>
                      <w:kern w:val="0"/>
                      <w:sz w:val="21"/>
                      <w:szCs w:val="21"/>
                      <w:highlight w:val="none"/>
                      <w:lang w:eastAsia="zh-CN"/>
                      <w14:textFill>
                        <w14:solidFill>
                          <w14:schemeClr w14:val="tx1"/>
                        </w14:solidFill>
                      </w14:textFill>
                    </w:rPr>
                    <w:t>排气筒（DA00</w:t>
                  </w:r>
                  <w:r>
                    <w:rPr>
                      <w:rFonts w:hint="eastAsia" w:eastAsia="宋体" w:cs="Times New Roman"/>
                      <w:color w:val="000000" w:themeColor="text1"/>
                      <w:kern w:val="0"/>
                      <w:sz w:val="21"/>
                      <w:szCs w:val="21"/>
                      <w:highlight w:val="none"/>
                      <w:lang w:val="en-US" w:eastAsia="zh-CN"/>
                      <w14:textFill>
                        <w14:solidFill>
                          <w14:schemeClr w14:val="tx1"/>
                        </w14:solidFill>
                      </w14:textFill>
                    </w:rPr>
                    <w:t>2</w:t>
                  </w:r>
                  <w:r>
                    <w:rPr>
                      <w:rFonts w:hint="eastAsia" w:eastAsia="宋体" w:cs="Times New Roman"/>
                      <w:color w:val="000000" w:themeColor="text1"/>
                      <w:kern w:val="0"/>
                      <w:sz w:val="21"/>
                      <w:szCs w:val="21"/>
                      <w:highlight w:val="none"/>
                      <w:lang w:eastAsia="zh-CN"/>
                      <w14:textFill>
                        <w14:solidFill>
                          <w14:schemeClr w14:val="tx1"/>
                        </w14:solidFill>
                      </w14:textFill>
                    </w:rPr>
                    <w:t>）</w:t>
                  </w:r>
                </w:p>
              </w:tc>
              <w:tc>
                <w:tcPr>
                  <w:tcW w:w="132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颗粒物</w:t>
                  </w:r>
                </w:p>
              </w:tc>
              <w:tc>
                <w:tcPr>
                  <w:tcW w:w="167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两年一次</w:t>
                  </w:r>
                </w:p>
              </w:tc>
              <w:tc>
                <w:tcPr>
                  <w:tcW w:w="57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1.</w:t>
            </w:r>
            <w:r>
              <w:rPr>
                <w:rFonts w:hint="eastAsia" w:eastAsia="仿宋_GB2312" w:cs="Times New Roman"/>
                <w:b/>
                <w:bCs/>
                <w:color w:val="000000" w:themeColor="text1"/>
                <w:kern w:val="16"/>
                <w:sz w:val="24"/>
                <w:szCs w:val="24"/>
                <w:highlight w:val="none"/>
                <w:lang w:val="en-US" w:eastAsia="zh-CN" w:bidi="ar-SA"/>
                <w14:textFill>
                  <w14:solidFill>
                    <w14:schemeClr w14:val="tx1"/>
                  </w14:solidFill>
                </w14:textFill>
              </w:rPr>
              <w:t>6</w:t>
            </w:r>
            <w:r>
              <w:rPr>
                <w:rFonts w:hint="default" w:ascii="Times New Roman" w:hAnsi="Times New Roman" w:eastAsia="仿宋_GB2312" w:cs="Times New Roman"/>
                <w:b/>
                <w:bCs/>
                <w:color w:val="000000" w:themeColor="text1"/>
                <w:kern w:val="16"/>
                <w:sz w:val="24"/>
                <w:szCs w:val="24"/>
                <w:highlight w:val="none"/>
                <w:lang w:val="en-US" w:eastAsia="zh-CN" w:bidi="ar-SA"/>
                <w14:textFill>
                  <w14:solidFill>
                    <w14:schemeClr w14:val="tx1"/>
                  </w14:solidFill>
                </w14:textFill>
              </w:rPr>
              <w:t>达标排放情况分析</w:t>
            </w:r>
          </w:p>
          <w:p>
            <w:pPr>
              <w:pStyle w:val="64"/>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根据</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废气污染物源强分析，</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本项目废气</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采取“</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密闭</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集气罩+</w:t>
            </w:r>
            <w:r>
              <w:rPr>
                <w:rFonts w:hint="eastAsia" w:eastAsia="仿宋_GB2312" w:cs="Times New Roman"/>
                <w:color w:val="000000" w:themeColor="text1"/>
                <w:sz w:val="24"/>
                <w:szCs w:val="24"/>
                <w:highlight w:val="none"/>
                <w:lang w:val="en-US" w:eastAsia="zh-CN"/>
                <w14:textFill>
                  <w14:solidFill>
                    <w14:schemeClr w14:val="tx1"/>
                  </w14:solidFill>
                </w14:textFill>
              </w:rPr>
              <w:t>布袋除尘器+15</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m排气筒”</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措施</w:t>
            </w:r>
            <w:r>
              <w:rPr>
                <w:rFonts w:hint="eastAsia" w:eastAsia="仿宋_GB2312" w:cs="Times New Roman"/>
                <w:color w:val="000000" w:themeColor="text1"/>
                <w:sz w:val="24"/>
                <w:szCs w:val="24"/>
                <w:highlight w:val="none"/>
                <w:lang w:val="en-US" w:eastAsia="zh-CN"/>
                <w14:textFill>
                  <w14:solidFill>
                    <w14:schemeClr w14:val="tx1"/>
                  </w14:solidFill>
                </w14:textFill>
              </w:rPr>
              <w:t>有组织排放</w:t>
            </w:r>
            <w:r>
              <w:rPr>
                <w:rFonts w:hint="eastAsia" w:eastAsia="仿宋_GB2312" w:cs="Times New Roman"/>
                <w:color w:val="000000" w:themeColor="text1"/>
                <w:sz w:val="24"/>
                <w:szCs w:val="24"/>
                <w:highlight w:val="none"/>
                <w:lang w:eastAsia="zh-CN"/>
                <w14:textFill>
                  <w14:solidFill>
                    <w14:schemeClr w14:val="tx1"/>
                  </w14:solidFill>
                </w14:textFill>
              </w:rPr>
              <w:t>；</w:t>
            </w:r>
            <w:r>
              <w:rPr>
                <w:rFonts w:hint="eastAsia" w:eastAsia="仿宋_GB2312" w:cs="Times New Roman"/>
                <w:color w:val="000000" w:themeColor="text1"/>
                <w:sz w:val="24"/>
                <w:szCs w:val="24"/>
                <w:highlight w:val="none"/>
                <w:lang w:val="en-US" w:eastAsia="zh-CN"/>
                <w14:textFill>
                  <w14:solidFill>
                    <w14:schemeClr w14:val="tx1"/>
                  </w14:solidFill>
                </w14:textFill>
              </w:rPr>
              <w:t>在厂房内设置4台</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活性干雾机</w:t>
            </w:r>
            <w:r>
              <w:rPr>
                <w:rFonts w:hint="eastAsia" w:eastAsia="仿宋_GB2312" w:cs="Times New Roman"/>
                <w:color w:val="000000" w:themeColor="text1"/>
                <w:sz w:val="24"/>
                <w:szCs w:val="24"/>
                <w:highlight w:val="none"/>
                <w:lang w:val="en-US" w:eastAsia="zh-CN"/>
                <w14:textFill>
                  <w14:solidFill>
                    <w14:schemeClr w14:val="tx1"/>
                  </w14:solidFill>
                </w14:textFill>
              </w:rPr>
              <w:t>进行降尘，</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从而降低粉尘无组织排放量</w:t>
            </w:r>
            <w:r>
              <w:rPr>
                <w:rFonts w:hint="eastAsia" w:eastAsia="仿宋_GB2312"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建筑</w:t>
            </w:r>
            <w:r>
              <w:rPr>
                <w:rFonts w:hint="eastAsia" w:eastAsia="仿宋_GB2312" w:cs="Times New Roman"/>
                <w:color w:val="000000" w:themeColor="text1"/>
                <w:sz w:val="24"/>
                <w:szCs w:val="24"/>
                <w:highlight w:val="none"/>
                <w:lang w:val="en-US" w:eastAsia="zh-CN"/>
                <w14:textFill>
                  <w14:solidFill>
                    <w14:schemeClr w14:val="tx1"/>
                  </w14:solidFill>
                </w14:textFill>
              </w:rPr>
              <w:t>垃圾</w:t>
            </w:r>
            <w:r>
              <w:rPr>
                <w:rFonts w:hint="eastAsia" w:eastAsia="仿宋_GB2312"/>
                <w:color w:val="000000" w:themeColor="text1"/>
                <w:sz w:val="24"/>
                <w:szCs w:val="24"/>
                <w:highlight w:val="none"/>
                <w:lang w:val="en-US" w:eastAsia="zh-CN"/>
                <w14:textFill>
                  <w14:solidFill>
                    <w14:schemeClr w14:val="tx1"/>
                  </w14:solidFill>
                </w14:textFill>
              </w:rPr>
              <w:t>原料采用</w:t>
            </w:r>
            <w:r>
              <w:rPr>
                <w:rFonts w:hint="eastAsia" w:ascii="Times New Roman" w:hAnsi="Times New Roman" w:eastAsia="仿宋_GB2312" w:cs="Times New Roman"/>
                <w:color w:val="000000" w:themeColor="text1"/>
                <w:sz w:val="24"/>
                <w:szCs w:val="24"/>
                <w:vertAlign w:val="baseline"/>
                <w:lang w:val="en-US" w:eastAsia="zh-CN"/>
                <w14:textFill>
                  <w14:solidFill>
                    <w14:schemeClr w14:val="tx1"/>
                  </w14:solidFill>
                </w14:textFill>
              </w:rPr>
              <w:t>编制覆盖及洒水措施</w:t>
            </w:r>
            <w:r>
              <w:rPr>
                <w:rFonts w:hint="eastAsia" w:eastAsia="仿宋_GB2312"/>
                <w:color w:val="000000" w:themeColor="text1"/>
                <w:sz w:val="24"/>
                <w:szCs w:val="24"/>
                <w:highlight w:val="none"/>
                <w14:textFill>
                  <w14:solidFill>
                    <w14:schemeClr w14:val="tx1"/>
                  </w14:solidFill>
                </w14:textFill>
              </w:rPr>
              <w:t>，避免扬尘飞起</w:t>
            </w:r>
            <w:r>
              <w:rPr>
                <w:rFonts w:hint="eastAsia" w:eastAsia="仿宋_GB2312"/>
                <w:color w:val="000000" w:themeColor="text1"/>
                <w:sz w:val="24"/>
                <w:szCs w:val="24"/>
                <w:highlight w:val="none"/>
                <w:lang w:eastAsia="zh-CN"/>
                <w14:textFill>
                  <w14:solidFill>
                    <w14:schemeClr w14:val="tx1"/>
                  </w14:solidFill>
                </w14:textFill>
              </w:rPr>
              <w:t>，</w:t>
            </w:r>
            <w:r>
              <w:rPr>
                <w:rFonts w:hint="eastAsia" w:eastAsia="仿宋_GB2312"/>
                <w:color w:val="000000" w:themeColor="text1"/>
                <w:sz w:val="24"/>
                <w:szCs w:val="24"/>
                <w:highlight w:val="none"/>
                <w:lang w:val="en-US" w:eastAsia="zh-CN"/>
                <w14:textFill>
                  <w14:solidFill>
                    <w14:schemeClr w14:val="tx1"/>
                  </w14:solidFill>
                </w14:textFill>
              </w:rPr>
              <w:t>并在道路两旁设置</w:t>
            </w:r>
            <w:r>
              <w:rPr>
                <w:rFonts w:hint="eastAsia" w:eastAsia="仿宋_GB2312"/>
                <w:color w:val="000000" w:themeColor="text1"/>
                <w:sz w:val="24"/>
                <w:szCs w:val="24"/>
                <w:highlight w:val="none"/>
                <w14:textFill>
                  <w14:solidFill>
                    <w14:schemeClr w14:val="tx1"/>
                  </w14:solidFill>
                </w14:textFill>
              </w:rPr>
              <w:t>雾炮环保系统降尘</w:t>
            </w:r>
            <w:r>
              <w:rPr>
                <w:rFonts w:hint="eastAsia" w:eastAsia="仿宋_GB2312"/>
                <w:color w:val="000000" w:themeColor="text1"/>
                <w:sz w:val="24"/>
                <w:szCs w:val="24"/>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使得废弃物卸料过程始终处于湿式状态，</w:t>
            </w:r>
            <w:r>
              <w:rPr>
                <w:rFonts w:hint="eastAsia" w:eastAsia="仿宋_GB2312" w:cs="Times New Roman"/>
                <w:color w:val="000000" w:themeColor="text1"/>
                <w:sz w:val="24"/>
                <w:szCs w:val="24"/>
                <w:highlight w:val="none"/>
                <w:lang w:val="en-US" w:eastAsia="zh-CN"/>
                <w14:textFill>
                  <w14:solidFill>
                    <w14:schemeClr w14:val="tx1"/>
                  </w14:solidFill>
                </w14:textFill>
              </w:rPr>
              <w:t>进而</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降低粉尘无组织排放量。</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本项目采取有效的粉尘处理措施后，</w:t>
            </w:r>
            <w:r>
              <w:rPr>
                <w:rFonts w:hint="eastAsia" w:eastAsia="仿宋_GB2312" w:cs="Times New Roman"/>
                <w:color w:val="000000" w:themeColor="text1"/>
                <w:sz w:val="24"/>
                <w:szCs w:val="24"/>
                <w:highlight w:val="none"/>
                <w:lang w:val="en-US" w:eastAsia="zh-CN"/>
                <w14:textFill>
                  <w14:solidFill>
                    <w14:schemeClr w14:val="tx1"/>
                  </w14:solidFill>
                </w14:textFill>
              </w:rPr>
              <w:t>再生混凝土生产线和水稳料生产线</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产生的颗粒物满足《水泥工业大气污染物排放标准》（DB 64/1995-2024）中表</w:t>
            </w:r>
            <w:r>
              <w:rPr>
                <w:rFonts w:hint="eastAsia" w:eastAsia="仿宋_GB2312"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标准限值要求，</w:t>
            </w:r>
            <w:r>
              <w:rPr>
                <w:rFonts w:hint="eastAsia" w:eastAsia="仿宋_GB2312" w:cs="Times New Roman"/>
                <w:color w:val="000000" w:themeColor="text1"/>
                <w:sz w:val="24"/>
                <w:szCs w:val="24"/>
                <w:highlight w:val="none"/>
                <w:lang w:val="en-US" w:eastAsia="zh-CN"/>
                <w14:textFill>
                  <w14:solidFill>
                    <w14:schemeClr w14:val="tx1"/>
                  </w14:solidFill>
                </w14:textFill>
              </w:rPr>
              <w:t>建筑垃圾再生线</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产生的颗粒物满足《大气污染物综合排放标准》（GB16297-1996）中</w:t>
            </w:r>
            <w:r>
              <w:rPr>
                <w:rFonts w:hint="default" w:cs="Times New Roman"/>
                <w:color w:val="auto"/>
                <w:highlight w:val="none"/>
              </w:rPr>
              <w:t>表2新污染源大气污染物排放限值</w:t>
            </w:r>
            <w:r>
              <w:rPr>
                <w:rFonts w:hint="eastAsia" w:cs="Times New Roman"/>
                <w:color w:val="auto"/>
                <w:highlight w:val="none"/>
                <w:lang w:eastAsia="zh-CN"/>
              </w:rPr>
              <w:t>。</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因此粉尘对环境影响可以接受。</w:t>
            </w:r>
          </w:p>
          <w:p>
            <w:pPr>
              <w:pStyle w:val="57"/>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textAlignment w:val="auto"/>
              <w:rPr>
                <w:rFonts w:hint="eastAsia" w:eastAsia="仿宋_GB2312" w:cs="Times New Roman"/>
                <w:b/>
                <w:bCs/>
                <w:color w:val="auto"/>
                <w:sz w:val="24"/>
                <w:szCs w:val="24"/>
                <w:highlight w:val="none"/>
                <w:lang w:val="en-US" w:eastAsia="zh-CN"/>
              </w:rPr>
            </w:pPr>
          </w:p>
          <w:p>
            <w:pPr>
              <w:pStyle w:val="57"/>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textAlignment w:val="auto"/>
              <w:rPr>
                <w:rFonts w:hint="default" w:ascii="Times New Roman" w:hAnsi="Times New Roman" w:eastAsia="仿宋_GB2312" w:cs="Times New Roman"/>
                <w:b/>
                <w:bCs/>
                <w:color w:val="auto"/>
                <w:sz w:val="24"/>
                <w:szCs w:val="24"/>
                <w:highlight w:val="none"/>
                <w:lang w:eastAsia="zh-CN"/>
              </w:rPr>
            </w:pPr>
            <w:r>
              <w:rPr>
                <w:rFonts w:hint="eastAsia" w:eastAsia="仿宋_GB2312" w:cs="Times New Roman"/>
                <w:b/>
                <w:bCs/>
                <w:color w:val="auto"/>
                <w:sz w:val="24"/>
                <w:szCs w:val="24"/>
                <w:highlight w:val="none"/>
                <w:lang w:val="en-US" w:eastAsia="zh-CN"/>
              </w:rPr>
              <w:t>1.7</w:t>
            </w:r>
            <w:r>
              <w:rPr>
                <w:rFonts w:hint="default" w:ascii="Times New Roman" w:hAnsi="Times New Roman" w:eastAsia="仿宋_GB2312" w:cs="Times New Roman"/>
                <w:b/>
                <w:bCs/>
                <w:color w:val="auto"/>
                <w:sz w:val="24"/>
                <w:szCs w:val="24"/>
                <w:highlight w:val="none"/>
                <w:lang w:eastAsia="zh-CN"/>
              </w:rPr>
              <w:t>废气排放环境影响分析</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cs="Times New Roman"/>
                <w:b w:val="0"/>
                <w:bCs w:val="0"/>
                <w:color w:val="auto"/>
                <w:highlight w:val="none"/>
                <w:lang w:val="en-US" w:eastAsia="zh-CN"/>
              </w:rPr>
              <w:t>本项目位于</w:t>
            </w:r>
            <w:r>
              <w:rPr>
                <w:rFonts w:hint="default" w:eastAsia="仿宋_GB2312" w:cs="Times New Roman"/>
                <w:b w:val="0"/>
                <w:color w:val="auto"/>
                <w:kern w:val="16"/>
                <w:sz w:val="24"/>
                <w:szCs w:val="24"/>
                <w:highlight w:val="none"/>
                <w:lang w:val="en-US" w:eastAsia="zh-CN" w:bidi="ar-SA"/>
              </w:rPr>
              <w:t>宁夏</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w:t>
            </w:r>
            <w:r>
              <w:rPr>
                <w:rFonts w:hint="default" w:ascii="Times New Roman" w:hAnsi="Times New Roman" w:cs="Times New Roman"/>
                <w:b w:val="0"/>
                <w:bCs w:val="0"/>
                <w:color w:val="auto"/>
                <w:highlight w:val="none"/>
                <w:lang w:val="en-US" w:eastAsia="zh-CN"/>
              </w:rPr>
              <w:t>，本项目厂界外500米范围内无自然环境保护区、风景名胜区、居住区、文化区和农村地区中人群较集中的区域；</w:t>
            </w:r>
            <w:r>
              <w:rPr>
                <w:rFonts w:hint="default" w:ascii="Times New Roman" w:hAnsi="Times New Roman" w:cs="Times New Roman"/>
                <w:color w:val="auto"/>
                <w:sz w:val="24"/>
                <w:szCs w:val="24"/>
                <w:highlight w:val="none"/>
                <w:lang w:eastAsia="zh-CN"/>
              </w:rPr>
              <w:t>根据源强核算及达标排放分析，</w:t>
            </w:r>
            <w:r>
              <w:rPr>
                <w:rFonts w:hint="default" w:ascii="Times New Roman" w:hAnsi="Times New Roman" w:eastAsia="仿宋_GB2312" w:cs="Times New Roman"/>
                <w:color w:val="auto"/>
                <w:sz w:val="24"/>
                <w:szCs w:val="24"/>
                <w:highlight w:val="none"/>
              </w:rPr>
              <w:t>项目生产过程中</w:t>
            </w:r>
            <w:r>
              <w:rPr>
                <w:rFonts w:hint="eastAsia" w:cs="Times New Roman"/>
                <w:color w:val="auto"/>
                <w:sz w:val="24"/>
                <w:szCs w:val="24"/>
                <w:highlight w:val="none"/>
                <w:lang w:val="en-US" w:eastAsia="zh-CN"/>
              </w:rPr>
              <w:t>扬尘</w:t>
            </w:r>
            <w:r>
              <w:rPr>
                <w:rFonts w:hint="default" w:ascii="Times New Roman" w:hAnsi="Times New Roman" w:eastAsia="仿宋_GB2312" w:cs="Times New Roman"/>
                <w:color w:val="auto"/>
                <w:sz w:val="24"/>
                <w:szCs w:val="24"/>
                <w:highlight w:val="none"/>
              </w:rPr>
              <w:t>经</w:t>
            </w:r>
            <w:r>
              <w:rPr>
                <w:rFonts w:hint="default" w:ascii="Times New Roman" w:hAnsi="Times New Roman" w:cs="Times New Roman"/>
                <w:color w:val="auto"/>
                <w:sz w:val="24"/>
                <w:szCs w:val="24"/>
                <w:highlight w:val="none"/>
                <w:lang w:eastAsia="zh-CN"/>
              </w:rPr>
              <w:t>相应措施</w:t>
            </w:r>
            <w:r>
              <w:rPr>
                <w:rFonts w:hint="default" w:ascii="Times New Roman" w:hAnsi="Times New Roman" w:eastAsia="仿宋_GB2312" w:cs="Times New Roman"/>
                <w:color w:val="auto"/>
                <w:sz w:val="24"/>
                <w:szCs w:val="24"/>
                <w:highlight w:val="none"/>
              </w:rPr>
              <w:t>处理后均可满足达标排放要求，</w:t>
            </w:r>
            <w:r>
              <w:rPr>
                <w:rFonts w:hint="default" w:ascii="Times New Roman" w:hAnsi="Times New Roman" w:cs="Times New Roman"/>
                <w:color w:val="auto"/>
                <w:sz w:val="24"/>
                <w:szCs w:val="24"/>
                <w:highlight w:val="none"/>
                <w:lang w:eastAsia="zh-CN"/>
              </w:rPr>
              <w:t>同时加强车间通风</w:t>
            </w:r>
            <w:r>
              <w:rPr>
                <w:rFonts w:hint="eastAsia" w:cs="Times New Roman"/>
                <w:color w:val="auto"/>
                <w:sz w:val="24"/>
                <w:szCs w:val="24"/>
                <w:highlight w:val="none"/>
                <w:lang w:eastAsia="zh-CN"/>
              </w:rPr>
              <w:t>。</w:t>
            </w:r>
            <w:r>
              <w:rPr>
                <w:rFonts w:hint="eastAsia" w:ascii="Times New Roman" w:hAnsi="Times New Roman" w:eastAsia="仿宋_GB2312"/>
                <w:color w:val="000000" w:themeColor="text1"/>
                <w:kern w:val="16"/>
                <w:highlight w:val="none"/>
                <w:lang w:val="en-US" w:eastAsia="zh-CN" w:bidi="ar"/>
                <w14:textFill>
                  <w14:solidFill>
                    <w14:schemeClr w14:val="tx1"/>
                  </w14:solidFill>
                </w14:textFill>
              </w:rPr>
              <w:t>本项目</w:t>
            </w:r>
            <w:r>
              <w:rPr>
                <w:rFonts w:hint="eastAsia" w:ascii="Times New Roman" w:hAnsi="Times New Roman" w:eastAsia="仿宋_GB2312"/>
                <w:color w:val="000000" w:themeColor="text1"/>
                <w:kern w:val="16"/>
                <w:highlight w:val="none"/>
                <w:lang w:bidi="ar"/>
                <w14:textFill>
                  <w14:solidFill>
                    <w14:schemeClr w14:val="tx1"/>
                  </w14:solidFill>
                </w14:textFill>
              </w:rPr>
              <w:t>管理区内绿地面积约130.00m</w:t>
            </w:r>
            <w:r>
              <w:rPr>
                <w:rFonts w:hint="eastAsia" w:ascii="Times New Roman" w:hAnsi="Times New Roman" w:eastAsia="仿宋_GB2312"/>
                <w:color w:val="000000" w:themeColor="text1"/>
                <w:kern w:val="16"/>
                <w:highlight w:val="none"/>
                <w:vertAlign w:val="superscript"/>
                <w:lang w:bidi="ar"/>
                <w14:textFill>
                  <w14:solidFill>
                    <w14:schemeClr w14:val="tx1"/>
                  </w14:solidFill>
                </w14:textFill>
              </w:rPr>
              <w:t>2</w:t>
            </w:r>
            <w:r>
              <w:rPr>
                <w:rFonts w:hint="default" w:ascii="Times New Roman" w:hAnsi="Times New Roman" w:cs="Times New Roman"/>
                <w:color w:val="auto"/>
                <w:sz w:val="24"/>
                <w:szCs w:val="22"/>
                <w:highlight w:val="none"/>
                <w:lang w:val="en-US" w:eastAsia="zh-CN"/>
              </w:rPr>
              <w:t>。</w:t>
            </w:r>
            <w:r>
              <w:rPr>
                <w:rFonts w:hint="default"/>
                <w:color w:val="auto"/>
                <w:szCs w:val="22"/>
                <w:highlight w:val="none"/>
              </w:rPr>
              <w:t>为了防止运输建筑、装修垃圾过程中因撒漏、飞扬造成的粉尘和其他污染源的“二次污染”，要求垃圾运输车辆，采用新型环保渣土运输车辆，并严格实施密闭化，安装北斗定位监控装置，统一纳入数字城市管理平台进行管理，按照规定路线运行。</w:t>
            </w:r>
            <w:r>
              <w:rPr>
                <w:rFonts w:hint="default" w:ascii="Times New Roman" w:hAnsi="Times New Roman" w:cs="Times New Roman"/>
                <w:color w:val="auto"/>
                <w:sz w:val="24"/>
                <w:szCs w:val="24"/>
                <w:highlight w:val="none"/>
                <w:lang w:val="en-US" w:eastAsia="zh-CN"/>
              </w:rPr>
              <w:t>因此，本</w:t>
            </w:r>
            <w:r>
              <w:rPr>
                <w:rFonts w:hint="default" w:ascii="Times New Roman" w:hAnsi="Times New Roman" w:eastAsia="仿宋_GB2312" w:cs="Times New Roman"/>
                <w:color w:val="auto"/>
                <w:sz w:val="24"/>
                <w:szCs w:val="24"/>
                <w:highlight w:val="none"/>
              </w:rPr>
              <w:t>项目废气经处理后对周围环境影响</w:t>
            </w:r>
            <w:r>
              <w:rPr>
                <w:rFonts w:hint="default" w:ascii="Times New Roman" w:hAnsi="Times New Roman" w:cs="Times New Roman"/>
                <w:color w:val="auto"/>
                <w:sz w:val="24"/>
                <w:szCs w:val="24"/>
                <w:highlight w:val="none"/>
                <w:lang w:eastAsia="zh-CN"/>
              </w:rPr>
              <w:t>可接受</w:t>
            </w:r>
            <w:r>
              <w:rPr>
                <w:rFonts w:hint="default" w:ascii="Times New Roman" w:hAnsi="Times New Roman" w:eastAsia="仿宋_GB2312" w:cs="Times New Roman"/>
                <w:color w:val="auto"/>
                <w:sz w:val="24"/>
                <w:szCs w:val="24"/>
                <w:highlight w:val="none"/>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0" w:firstLineChars="0"/>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2.废水</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⑴废水污染源强核算及达标排放情况</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①废水源强核算</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本项目运营期生产废水</w:t>
            </w:r>
            <w:r>
              <w:rPr>
                <w:rFonts w:hint="eastAsia" w:cs="Times New Roman"/>
                <w:color w:val="000000" w:themeColor="text1"/>
                <w:sz w:val="24"/>
                <w:szCs w:val="24"/>
                <w:highlight w:val="none"/>
                <w:lang w:val="en-US" w:eastAsia="zh-CN"/>
                <w14:textFill>
                  <w14:solidFill>
                    <w14:schemeClr w14:val="tx1"/>
                  </w14:solidFill>
                </w14:textFill>
              </w:rPr>
              <w:t>通过</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生产废水收集沉淀池收集，经沉淀后，上清液循环使用</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生活污水产生及排放情况见表4-</w:t>
            </w:r>
            <w:r>
              <w:rPr>
                <w:rFonts w:hint="eastAsia" w:cs="Times New Roman"/>
                <w:color w:val="000000" w:themeColor="text1"/>
                <w:sz w:val="24"/>
                <w:szCs w:val="24"/>
                <w:highlight w:val="none"/>
                <w:lang w:val="en-US" w:eastAsia="zh-CN"/>
                <w14:textFill>
                  <w14:solidFill>
                    <w14:schemeClr w14:val="tx1"/>
                  </w14:solidFill>
                </w14:textFill>
              </w:rPr>
              <w:t>13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pPr>
              <w:pStyle w:val="56"/>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表4-</w:t>
            </w:r>
            <w:r>
              <w:rPr>
                <w:rFonts w:hint="eastAsia" w:cs="Times New Roman"/>
                <w:color w:val="000000" w:themeColor="text1"/>
                <w:kern w:val="0"/>
                <w:sz w:val="21"/>
                <w:szCs w:val="21"/>
                <w:highlight w:val="none"/>
                <w:lang w:val="en-US" w:eastAsia="zh-CN"/>
                <w14:textFill>
                  <w14:solidFill>
                    <w14:schemeClr w14:val="tx1"/>
                  </w14:solidFill>
                </w14:textFill>
              </w:rPr>
              <w:t>13</w:t>
            </w:r>
            <w:r>
              <w:rPr>
                <w:rFonts w:hint="default" w:ascii="Times New Roman" w:hAnsi="Times New Roman" w:cs="Times New Roman"/>
                <w:b/>
                <w:bCs/>
                <w:color w:val="000000" w:themeColor="text1"/>
                <w:sz w:val="24"/>
                <w:szCs w:val="24"/>
                <w:highlight w:val="none"/>
                <w14:textFill>
                  <w14:solidFill>
                    <w14:schemeClr w14:val="tx1"/>
                  </w14:solidFill>
                </w14:textFill>
              </w:rPr>
              <w:t xml:space="preserve">  </w:t>
            </w:r>
            <w:r>
              <w:rPr>
                <w:rFonts w:hint="eastAsia"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highlight w:val="none"/>
                <w14:textFill>
                  <w14:solidFill>
                    <w14:schemeClr w14:val="tx1"/>
                  </w14:solidFill>
                </w14:textFill>
              </w:rPr>
              <w:t>本项目产排情况一览表</w:t>
            </w:r>
          </w:p>
          <w:tbl>
            <w:tblPr>
              <w:tblStyle w:val="37"/>
              <w:tblW w:w="129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7"/>
              <w:gridCol w:w="843"/>
              <w:gridCol w:w="1020"/>
              <w:gridCol w:w="1110"/>
              <w:gridCol w:w="855"/>
              <w:gridCol w:w="960"/>
              <w:gridCol w:w="1148"/>
              <w:gridCol w:w="937"/>
              <w:gridCol w:w="1095"/>
              <w:gridCol w:w="990"/>
              <w:gridCol w:w="855"/>
              <w:gridCol w:w="645"/>
              <w:gridCol w:w="915"/>
              <w:gridCol w:w="6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7"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废水类别</w:t>
                  </w:r>
                </w:p>
              </w:tc>
              <w:tc>
                <w:tcPr>
                  <w:tcW w:w="843"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tc>
              <w:tc>
                <w:tcPr>
                  <w:tcW w:w="102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废水量</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/a</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c>
                <w:tcPr>
                  <w:tcW w:w="1965" w:type="dxa"/>
                  <w:gridSpan w:val="2"/>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产生情况</w:t>
                  </w:r>
                </w:p>
              </w:tc>
              <w:tc>
                <w:tcPr>
                  <w:tcW w:w="4140" w:type="dxa"/>
                  <w:gridSpan w:val="4"/>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处理措施</w:t>
                  </w:r>
                </w:p>
              </w:tc>
              <w:tc>
                <w:tcPr>
                  <w:tcW w:w="1845" w:type="dxa"/>
                  <w:gridSpan w:val="2"/>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排放情况</w:t>
                  </w:r>
                </w:p>
              </w:tc>
              <w:tc>
                <w:tcPr>
                  <w:tcW w:w="645" w:type="dxa"/>
                  <w:vMerge w:val="restart"/>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16"/>
                      <w:sz w:val="18"/>
                      <w:szCs w:val="18"/>
                      <w:highlight w:val="none"/>
                      <w:vertAlign w:val="baseline"/>
                      <w:lang w:val="en-US" w:eastAsia="zh-CN" w:bidi="ar"/>
                      <w14:textFill>
                        <w14:solidFill>
                          <w14:schemeClr w14:val="tx1"/>
                        </w14:solidFill>
                      </w14:textFill>
                    </w:rPr>
                    <w:t>排放方式</w:t>
                  </w:r>
                </w:p>
              </w:tc>
              <w:tc>
                <w:tcPr>
                  <w:tcW w:w="915" w:type="dxa"/>
                  <w:vMerge w:val="restart"/>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16"/>
                      <w:sz w:val="18"/>
                      <w:szCs w:val="18"/>
                      <w:highlight w:val="none"/>
                      <w:vertAlign w:val="baseline"/>
                      <w:lang w:val="en-US" w:eastAsia="zh-CN" w:bidi="ar"/>
                      <w14:textFill>
                        <w14:solidFill>
                          <w14:schemeClr w14:val="tx1"/>
                        </w14:solidFill>
                      </w14:textFill>
                    </w:rPr>
                    <w:t>排放去向</w:t>
                  </w:r>
                </w:p>
              </w:tc>
              <w:tc>
                <w:tcPr>
                  <w:tcW w:w="616" w:type="dxa"/>
                  <w:vMerge w:val="restart"/>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16"/>
                      <w:sz w:val="18"/>
                      <w:szCs w:val="18"/>
                      <w:highlight w:val="none"/>
                      <w:vertAlign w:val="baseline"/>
                      <w:lang w:val="en-US" w:eastAsia="zh-CN" w:bidi="ar"/>
                      <w14:textFill>
                        <w14:solidFill>
                          <w14:schemeClr w14:val="tx1"/>
                        </w14:solidFill>
                      </w14:textFill>
                    </w:rPr>
                    <w:t>排放规律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84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020"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11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产生浓度(mg/L)</w:t>
                  </w:r>
                </w:p>
              </w:tc>
              <w:tc>
                <w:tcPr>
                  <w:tcW w:w="85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产生量(t/a)</w:t>
                  </w:r>
                </w:p>
              </w:tc>
              <w:tc>
                <w:tcPr>
                  <w:tcW w:w="9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16"/>
                      <w:sz w:val="18"/>
                      <w:szCs w:val="18"/>
                      <w:highlight w:val="none"/>
                      <w:vertAlign w:val="baseline"/>
                      <w:lang w:val="en-US" w:eastAsia="zh-CN" w:bidi="ar"/>
                      <w14:textFill>
                        <w14:solidFill>
                          <w14:schemeClr w14:val="tx1"/>
                        </w14:solidFill>
                      </w14:textFill>
                    </w:rPr>
                    <w:t>处理能力</w:t>
                  </w:r>
                </w:p>
              </w:tc>
              <w:tc>
                <w:tcPr>
                  <w:tcW w:w="1148"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治理</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工艺</w:t>
                  </w:r>
                </w:p>
              </w:tc>
              <w:tc>
                <w:tcPr>
                  <w:tcW w:w="93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效率%</w:t>
                  </w:r>
                </w:p>
              </w:tc>
              <w:tc>
                <w:tcPr>
                  <w:tcW w:w="109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是否为可行技术</w:t>
                  </w:r>
                </w:p>
              </w:tc>
              <w:tc>
                <w:tcPr>
                  <w:tcW w:w="99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排放浓度</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(mg/L)</w:t>
                  </w:r>
                </w:p>
              </w:tc>
              <w:tc>
                <w:tcPr>
                  <w:tcW w:w="85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排放量</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(t/a)</w:t>
                  </w:r>
                </w:p>
              </w:tc>
              <w:tc>
                <w:tcPr>
                  <w:tcW w:w="645"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915"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616"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7"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生活</w:t>
                  </w:r>
                  <w:r>
                    <w:rPr>
                      <w:rFonts w:hint="default" w:ascii="Times New Roman" w:hAnsi="Times New Roman" w:cs="Times New Roman"/>
                      <w:color w:val="000000" w:themeColor="text1"/>
                      <w:sz w:val="21"/>
                      <w:szCs w:val="21"/>
                      <w:highlight w:val="none"/>
                      <w:lang w:eastAsia="zh-CN"/>
                      <w14:textFill>
                        <w14:solidFill>
                          <w14:schemeClr w14:val="tx1"/>
                        </w14:solidFill>
                      </w14:textFill>
                    </w:rPr>
                    <w:t>污</w:t>
                  </w:r>
                  <w:r>
                    <w:rPr>
                      <w:rFonts w:hint="default" w:ascii="Times New Roman" w:hAnsi="Times New Roman" w:eastAsia="宋体" w:cs="Times New Roman"/>
                      <w:color w:val="000000" w:themeColor="text1"/>
                      <w:sz w:val="21"/>
                      <w:szCs w:val="21"/>
                      <w:highlight w:val="none"/>
                      <w14:textFill>
                        <w14:solidFill>
                          <w14:schemeClr w14:val="tx1"/>
                        </w14:solidFill>
                      </w14:textFill>
                    </w:rPr>
                    <w:t>水</w:t>
                  </w: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p>
              </w:tc>
              <w:tc>
                <w:tcPr>
                  <w:tcW w:w="1020" w:type="dxa"/>
                  <w:vMerge w:val="restart"/>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600</w:t>
                  </w:r>
                </w:p>
              </w:tc>
              <w:tc>
                <w:tcPr>
                  <w:tcW w:w="111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eastAsia" w:cs="Times New Roman"/>
                      <w:color w:val="000000" w:themeColor="text1"/>
                      <w:kern w:val="0"/>
                      <w:sz w:val="21"/>
                      <w:szCs w:val="21"/>
                      <w:highlight w:val="none"/>
                      <w:lang w:val="en-US" w:eastAsia="zh-CN"/>
                      <w14:textFill>
                        <w14:solidFill>
                          <w14:schemeClr w14:val="tx1"/>
                        </w14:solidFill>
                      </w14:textFill>
                    </w:rPr>
                    <w:t>300</w:t>
                  </w:r>
                </w:p>
              </w:tc>
              <w:tc>
                <w:tcPr>
                  <w:tcW w:w="96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室外1座20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，室内</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1座1</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48"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新建</w:t>
                  </w:r>
                  <w:r>
                    <w:rPr>
                      <w:rFonts w:hint="default" w:ascii="Times New Roman" w:hAnsi="Times New Roman" w:eastAsia="宋体" w:cs="Times New Roman"/>
                      <w:color w:val="000000" w:themeColor="text1"/>
                      <w:sz w:val="21"/>
                      <w:szCs w:val="21"/>
                      <w:highlight w:val="none"/>
                      <w14:textFill>
                        <w14:solidFill>
                          <w14:schemeClr w14:val="tx1"/>
                        </w14:solidFill>
                      </w14:textFill>
                    </w:rPr>
                    <w:t>化粪池</w:t>
                  </w:r>
                </w:p>
              </w:tc>
              <w:tc>
                <w:tcPr>
                  <w:tcW w:w="93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1095"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是</w:t>
                  </w:r>
                </w:p>
              </w:tc>
              <w:tc>
                <w:tcPr>
                  <w:tcW w:w="99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425</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255</w:t>
                  </w:r>
                </w:p>
              </w:tc>
              <w:tc>
                <w:tcPr>
                  <w:tcW w:w="645"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6"/>
                      <w:sz w:val="18"/>
                      <w:szCs w:val="18"/>
                      <w:highlight w:val="none"/>
                      <w:vertAlign w:val="baseline"/>
                      <w:lang w:val="en-US" w:eastAsia="zh-CN" w:bidi="ar"/>
                      <w14:textFill>
                        <w14:solidFill>
                          <w14:schemeClr w14:val="tx1"/>
                        </w14:solidFill>
                      </w14:textFill>
                    </w:rPr>
                    <w:t>间接排放</w:t>
                  </w:r>
                </w:p>
              </w:tc>
              <w:tc>
                <w:tcPr>
                  <w:tcW w:w="915"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kern w:val="16"/>
                      <w:sz w:val="18"/>
                      <w:szCs w:val="18"/>
                      <w:highlight w:val="none"/>
                      <w:vertAlign w:val="baseline"/>
                      <w:lang w:val="en-US" w:eastAsia="zh-CN" w:bidi="ar"/>
                      <w14:textFill>
                        <w14:solidFill>
                          <w14:schemeClr w14:val="tx1"/>
                        </w14:solidFill>
                      </w14:textFill>
                    </w:rPr>
                    <w:t>拉运至</w:t>
                  </w:r>
                  <w:r>
                    <w:rPr>
                      <w:rFonts w:hint="default" w:ascii="Times New Roman" w:hAnsi="Times New Roman" w:eastAsia="宋体" w:cs="Times New Roman"/>
                      <w:color w:val="000000" w:themeColor="text1"/>
                      <w:kern w:val="16"/>
                      <w:sz w:val="18"/>
                      <w:szCs w:val="18"/>
                      <w:highlight w:val="none"/>
                      <w:vertAlign w:val="baseline"/>
                      <w:lang w:val="en-US" w:eastAsia="zh-CN" w:bidi="ar"/>
                      <w14:textFill>
                        <w14:solidFill>
                          <w14:schemeClr w14:val="tx1"/>
                        </w14:solidFill>
                      </w14:textFill>
                    </w:rPr>
                    <w:t>彭阳县第二污水处理厂</w:t>
                  </w:r>
                </w:p>
              </w:tc>
              <w:tc>
                <w:tcPr>
                  <w:tcW w:w="616"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间歇排放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p>
              </w:tc>
              <w:tc>
                <w:tcPr>
                  <w:tcW w:w="1020"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1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eastAsia" w:cs="Times New Roman"/>
                      <w:color w:val="000000" w:themeColor="text1"/>
                      <w:kern w:val="0"/>
                      <w:sz w:val="21"/>
                      <w:szCs w:val="21"/>
                      <w:highlight w:val="none"/>
                      <w:lang w:val="en-US" w:eastAsia="zh-CN"/>
                      <w14:textFill>
                        <w14:solidFill>
                          <w14:schemeClr w14:val="tx1"/>
                        </w14:solidFill>
                      </w14:textFill>
                    </w:rPr>
                    <w:t>180</w:t>
                  </w:r>
                </w:p>
              </w:tc>
              <w:tc>
                <w:tcPr>
                  <w:tcW w:w="9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109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9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273</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164</w:t>
                  </w:r>
                </w:p>
              </w:tc>
              <w:tc>
                <w:tcPr>
                  <w:tcW w:w="6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SS</w:t>
                  </w:r>
                </w:p>
              </w:tc>
              <w:tc>
                <w:tcPr>
                  <w:tcW w:w="1020"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1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400</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0.</w:t>
                  </w:r>
                  <w:r>
                    <w:rPr>
                      <w:rFonts w:hint="eastAsia" w:cs="Times New Roman"/>
                      <w:color w:val="000000" w:themeColor="text1"/>
                      <w:kern w:val="0"/>
                      <w:sz w:val="21"/>
                      <w:szCs w:val="21"/>
                      <w:highlight w:val="none"/>
                      <w:lang w:val="en-US" w:eastAsia="zh-CN"/>
                      <w14:textFill>
                        <w14:solidFill>
                          <w14:schemeClr w14:val="tx1"/>
                        </w14:solidFill>
                      </w14:textFill>
                    </w:rPr>
                    <w:t>240</w:t>
                  </w:r>
                </w:p>
              </w:tc>
              <w:tc>
                <w:tcPr>
                  <w:tcW w:w="9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109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9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280</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168</w:t>
                  </w:r>
                </w:p>
              </w:tc>
              <w:tc>
                <w:tcPr>
                  <w:tcW w:w="6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-N</w:t>
                  </w:r>
                </w:p>
              </w:tc>
              <w:tc>
                <w:tcPr>
                  <w:tcW w:w="1020"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1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0.</w:t>
                  </w:r>
                  <w:r>
                    <w:rPr>
                      <w:rFonts w:hint="eastAsia" w:cs="Times New Roman"/>
                      <w:color w:val="000000" w:themeColor="text1"/>
                      <w:kern w:val="0"/>
                      <w:sz w:val="21"/>
                      <w:szCs w:val="21"/>
                      <w:highlight w:val="none"/>
                      <w:lang w:val="en-US" w:eastAsia="zh-CN"/>
                      <w14:textFill>
                        <w14:solidFill>
                          <w14:schemeClr w14:val="tx1"/>
                        </w14:solidFill>
                      </w14:textFill>
                    </w:rPr>
                    <w:t>012</w:t>
                  </w:r>
                </w:p>
              </w:tc>
              <w:tc>
                <w:tcPr>
                  <w:tcW w:w="9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09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9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19.4</w:t>
                  </w:r>
                </w:p>
              </w:tc>
              <w:tc>
                <w:tcPr>
                  <w:tcW w:w="8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12</w:t>
                  </w:r>
                </w:p>
              </w:tc>
              <w:tc>
                <w:tcPr>
                  <w:tcW w:w="6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16"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80" w:firstLineChars="200"/>
              <w:textAlignment w:val="auto"/>
              <w:rPr>
                <w:rFonts w:hint="eastAsia" w:ascii="Times New Roman" w:hAnsi="Times New Roman" w:eastAsia="仿宋_GB2312" w:cs="Times New Roman"/>
                <w:color w:val="000000" w:themeColor="text1"/>
                <w:kern w:val="16"/>
                <w:sz w:val="24"/>
                <w:szCs w:val="24"/>
                <w:highlight w:val="none"/>
                <w:lang w:val="en-US" w:eastAsia="zh-CN" w:bidi="ar-SA"/>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360" w:lineRule="auto"/>
              <w:ind w:left="0" w:right="0" w:firstLine="480" w:firstLineChars="200"/>
              <w:textAlignment w:val="auto"/>
              <w:rPr>
                <w:rFonts w:hint="default" w:ascii="Times New Roman" w:hAnsi="Times New Roman" w:eastAsia="仿宋_GB2312" w:cs="Times New Roman"/>
                <w:b w:val="0"/>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kern w:val="16"/>
                <w:sz w:val="24"/>
                <w:szCs w:val="24"/>
                <w:highlight w:val="none"/>
                <w:lang w:val="en-US" w:eastAsia="zh-CN" w:bidi="ar-SA"/>
                <w14:textFill>
                  <w14:solidFill>
                    <w14:schemeClr w14:val="tx1"/>
                  </w14:solidFill>
                </w14:textFill>
              </w:rPr>
              <w:t>②</w:t>
            </w:r>
            <w:r>
              <w:rPr>
                <w:rFonts w:hint="default" w:ascii="Times New Roman" w:hAnsi="Times New Roman" w:eastAsia="仿宋_GB2312" w:cs="Times New Roman"/>
                <w:b w:val="0"/>
                <w:bCs w:val="0"/>
                <w:color w:val="000000" w:themeColor="text1"/>
                <w:kern w:val="0"/>
                <w:sz w:val="24"/>
                <w:szCs w:val="24"/>
                <w:highlight w:val="none"/>
                <w:lang w:val="en-US" w:eastAsia="zh-CN"/>
                <w14:textFill>
                  <w14:solidFill>
                    <w14:schemeClr w14:val="tx1"/>
                  </w14:solidFill>
                </w14:textFill>
              </w:rPr>
              <w:t>达标排放情况分析</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根据</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废水污染物源强分析，本项目</w:t>
            </w: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生活</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废水</w:t>
            </w: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通过现有化粪池处理后</w:t>
            </w: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各污染物均可满足</w:t>
            </w:r>
            <w:r>
              <w:rPr>
                <w:rFonts w:hint="default" w:ascii="Times New Roman" w:hAnsi="Times New Roman" w:cs="Times New Roman"/>
                <w:color w:val="000000" w:themeColor="text1"/>
                <w:highlight w:val="none"/>
                <w:lang w:val="en-US" w:eastAsia="zh-CN"/>
                <w14:textFill>
                  <w14:solidFill>
                    <w14:schemeClr w14:val="tx1"/>
                  </w14:solidFill>
                </w14:textFill>
              </w:rPr>
              <w:t>彭阳县第二污水处理厂接管标准，</w:t>
            </w:r>
            <w:r>
              <w:rPr>
                <w:rFonts w:hint="default" w:ascii="Times New Roman" w:hAnsi="Times New Roman" w:cs="Times New Roman"/>
                <w:color w:val="000000" w:themeColor="text1"/>
                <w:highlight w:val="none"/>
                <w:lang w:eastAsia="zh-CN"/>
                <w14:textFill>
                  <w14:solidFill>
                    <w14:schemeClr w14:val="tx1"/>
                  </w14:solidFill>
                </w14:textFill>
              </w:rPr>
              <w:t>即</w:t>
            </w:r>
            <w:r>
              <w:rPr>
                <w:rFonts w:hint="default" w:ascii="Times New Roman" w:hAnsi="Times New Roman" w:cs="Times New Roman"/>
                <w:color w:val="000000" w:themeColor="text1"/>
                <w:highlight w:val="none"/>
                <w14:textFill>
                  <w14:solidFill>
                    <w14:schemeClr w14:val="tx1"/>
                  </w14:solidFill>
                </w14:textFill>
              </w:rPr>
              <w:t>《污水综合排放标准》(GB8978-1996)中的三级标准</w:t>
            </w:r>
            <w:r>
              <w:rPr>
                <w:rFonts w:hint="default" w:ascii="Times New Roman" w:hAnsi="Times New Roman" w:cs="Times New Roman"/>
                <w:color w:val="000000" w:themeColor="text1"/>
                <w:highlight w:val="none"/>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ascii="Times New Roman" w:hAnsi="Times New Roman" w:eastAsia="仿宋_GB2312"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24"/>
                <w:szCs w:val="24"/>
                <w:highlight w:val="none"/>
                <w:lang w:val="en-US" w:eastAsia="zh-CN"/>
                <w14:textFill>
                  <w14:solidFill>
                    <w14:schemeClr w14:val="tx1"/>
                  </w14:solidFill>
                </w14:textFill>
              </w:rPr>
              <w:t>⑵依托化粪池及彭阳县第二污水处理厂可行性分析</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w:t>
            </w:r>
            <w:r>
              <w:rPr>
                <w:rFonts w:hint="default" w:ascii="Times New Roman" w:hAnsi="Times New Roman" w:cs="Times New Roman"/>
                <w:color w:val="000000" w:themeColor="text1"/>
                <w:highlight w:val="none"/>
                <w:lang w:val="en-US" w:eastAsia="zh-CN"/>
                <w14:textFill>
                  <w14:solidFill>
                    <w14:schemeClr w14:val="tx1"/>
                  </w14:solidFill>
                </w14:textFill>
              </w:rPr>
              <w:t>生活污水产生量为</w:t>
            </w:r>
            <w:r>
              <w:rPr>
                <w:rFonts w:hint="eastAsia" w:cs="Times New Roman"/>
                <w:color w:val="000000" w:themeColor="text1"/>
                <w:highlight w:val="none"/>
                <w:lang w:val="en-US" w:eastAsia="zh-CN"/>
                <w14:textFill>
                  <w14:solidFill>
                    <w14:schemeClr w14:val="tx1"/>
                  </w14:solidFill>
                </w14:textFill>
              </w:rPr>
              <w:t>2.86</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/d</w:t>
            </w:r>
            <w:r>
              <w:rPr>
                <w:rFonts w:hint="eastAsia" w:cs="Times New Roman"/>
                <w:color w:val="000000" w:themeColor="text1"/>
                <w:highlight w:val="none"/>
                <w:lang w:val="en-US" w:eastAsia="zh-CN"/>
                <w14:textFill>
                  <w14:solidFill>
                    <w14:schemeClr w14:val="tx1"/>
                  </w14:solidFill>
                </w14:textFill>
              </w:rPr>
              <w:t>，车辆冲洗废水0.63</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/d。系统共设有2座化粪池，管理用房生活污水经管道排至室外20m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化粪池，生产区卫生间污水经管道排至卫生间下方设置的12m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化粪池，由专业人员定期清理外运至彭阳县第二污水处理厂。因此，现有化粪池满足项目生活污水预处理需求。</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default" w:ascii="Times New Roman" w:hAnsi="Times New Roman" w:eastAsia="仿宋_GB2312"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彭阳县第二污水处理厂</w:t>
            </w:r>
            <w:r>
              <w:rPr>
                <w:rFonts w:hint="default" w:ascii="Times New Roman" w:hAnsi="Times New Roman" w:cs="Times New Roman"/>
                <w:color w:val="000000" w:themeColor="text1"/>
                <w:highlight w:val="none"/>
                <w14:textFill>
                  <w14:solidFill>
                    <w14:schemeClr w14:val="tx1"/>
                  </w14:solidFill>
                </w14:textFill>
              </w:rPr>
              <w:t>坐落于宁夏</w:t>
            </w:r>
            <w:r>
              <w:rPr>
                <w:rFonts w:hint="eastAsia" w:cs="Times New Roman"/>
                <w:color w:val="000000" w:themeColor="text1"/>
                <w:highlight w:val="none"/>
                <w:lang w:val="en-US" w:eastAsia="zh-CN"/>
                <w14:textFill>
                  <w14:solidFill>
                    <w14:schemeClr w14:val="tx1"/>
                  </w14:solidFill>
                </w14:textFill>
              </w:rPr>
              <w:t>固原</w:t>
            </w:r>
            <w:r>
              <w:rPr>
                <w:rFonts w:hint="default" w:ascii="Times New Roman" w:hAnsi="Times New Roman" w:cs="Times New Roman"/>
                <w:color w:val="000000" w:themeColor="text1"/>
                <w:highlight w:val="none"/>
                <w14:textFill>
                  <w14:solidFill>
                    <w14:schemeClr w14:val="tx1"/>
                  </w14:solidFill>
                </w14:textFill>
              </w:rPr>
              <w:t>市</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厂区具体位于宁夏固原市彭阳县王洼产业园县城特色加工制造产业区（区块三）（原彭阳县工业园区东侧），茹河以北</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设计规模1万m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/d</w:t>
            </w:r>
            <w:r>
              <w:rPr>
                <w:rFonts w:hint="eastAsia" w:cs="Times New Roman"/>
                <w:color w:val="000000" w:themeColor="text1"/>
                <w:highlight w:val="none"/>
                <w:lang w:eastAsia="zh-CN"/>
                <w14:textFill>
                  <w14:solidFill>
                    <w14:schemeClr w14:val="tx1"/>
                  </w14:solidFill>
                </w14:textFill>
              </w:rPr>
              <w:t>，并配套建设1条长1.87km污水管网。</w:t>
            </w:r>
            <w:r>
              <w:rPr>
                <w:rFonts w:hint="default" w:ascii="Times New Roman" w:hAnsi="Times New Roman" w:cs="Times New Roman"/>
                <w:color w:val="000000" w:themeColor="text1"/>
                <w:highlight w:val="none"/>
                <w14:textFill>
                  <w14:solidFill>
                    <w14:schemeClr w14:val="tx1"/>
                  </w14:solidFill>
                </w14:textFill>
              </w:rPr>
              <w:t>污水经处理后达到国家一级A排放标准</w:t>
            </w:r>
            <w:r>
              <w:rPr>
                <w:rFonts w:hint="eastAsia" w:cs="Times New Roman"/>
                <w:color w:val="000000" w:themeColor="text1"/>
                <w:highlight w:val="none"/>
                <w:lang w:eastAsia="zh-CN"/>
                <w14:textFill>
                  <w14:solidFill>
                    <w14:schemeClr w14:val="tx1"/>
                  </w14:solidFill>
                </w14:textFill>
              </w:rPr>
              <w:t>，用于接纳处理彭阳县县城及周边区域生活污水。污水处理厂拟采取预处理+调节池+生化池（AAOAO）+沉淀池+反硝化生物滤池+微砂高速沉淀池+接触消毒池处理工艺，处理后外排废水量为9301.15m</w:t>
            </w:r>
            <w:r>
              <w:rPr>
                <w:rFonts w:hint="eastAsia" w:cs="Times New Roman"/>
                <w:color w:val="000000" w:themeColor="text1"/>
                <w:highlight w:val="none"/>
                <w:vertAlign w:val="superscript"/>
                <w:lang w:eastAsia="zh-CN"/>
                <w14:textFill>
                  <w14:solidFill>
                    <w14:schemeClr w14:val="tx1"/>
                  </w14:solidFill>
                </w14:textFill>
              </w:rPr>
              <w:t>3</w:t>
            </w:r>
            <w:r>
              <w:rPr>
                <w:rFonts w:hint="eastAsia" w:cs="Times New Roman"/>
                <w:color w:val="000000" w:themeColor="text1"/>
                <w:highlight w:val="none"/>
                <w:lang w:eastAsia="zh-CN"/>
                <w14:textFill>
                  <w14:solidFill>
                    <w14:schemeClr w14:val="tx1"/>
                  </w14:solidFill>
                </w14:textFill>
              </w:rPr>
              <w:t>/d，主要污染因子COD、BOD</w:t>
            </w:r>
            <w:r>
              <w:rPr>
                <w:rFonts w:hint="eastAsia" w:cs="Times New Roman"/>
                <w:color w:val="000000" w:themeColor="text1"/>
                <w:highlight w:val="none"/>
                <w:vertAlign w:val="subscript"/>
                <w:lang w:eastAsia="zh-CN"/>
                <w14:textFill>
                  <w14:solidFill>
                    <w14:schemeClr w14:val="tx1"/>
                  </w14:solidFill>
                </w14:textFill>
              </w:rPr>
              <w:t>5</w:t>
            </w:r>
            <w:r>
              <w:rPr>
                <w:rFonts w:hint="eastAsia" w:cs="Times New Roman"/>
                <w:color w:val="000000" w:themeColor="text1"/>
                <w:highlight w:val="none"/>
                <w:lang w:eastAsia="zh-CN"/>
                <w14:textFill>
                  <w14:solidFill>
                    <w14:schemeClr w14:val="tx1"/>
                  </w14:solidFill>
                </w14:textFill>
              </w:rPr>
              <w:t>、氨氮、总磷、总氮排放浓度均可达到《城镇污水处理厂污染物排放标准》(GB18918-2002)一级A标准。</w:t>
            </w:r>
            <w:r>
              <w:rPr>
                <w:rFonts w:hint="default" w:ascii="Times New Roman" w:hAnsi="Times New Roman" w:cs="Times New Roman"/>
                <w:color w:val="000000" w:themeColor="text1"/>
                <w:highlight w:val="none"/>
                <w14:textFill>
                  <w14:solidFill>
                    <w14:schemeClr w14:val="tx1"/>
                  </w14:solidFill>
                </w14:textFill>
              </w:rPr>
              <w:t>本项目位于</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宁夏回族自治区</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固原</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市</w:t>
            </w:r>
            <w:r>
              <w:rPr>
                <w:rFonts w:hint="eastAsia" w:eastAsia="仿宋_GB2312" w:cs="Times New Roman"/>
                <w:b w:val="0"/>
                <w:bCs w:val="0"/>
                <w:color w:val="000000" w:themeColor="text1"/>
                <w:sz w:val="24"/>
                <w:szCs w:val="24"/>
                <w:highlight w:val="none"/>
                <w:u w:val="none"/>
                <w:lang w:val="en-US" w:eastAsia="zh-CN"/>
                <w14:textFill>
                  <w14:solidFill>
                    <w14:schemeClr w14:val="tx1"/>
                  </w14:solidFill>
                </w14:textFill>
              </w:rPr>
              <w:t>彭阳</w:t>
            </w:r>
            <w:r>
              <w:rPr>
                <w:rFonts w:hint="default"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县</w:t>
            </w:r>
            <w:r>
              <w:rPr>
                <w:rFonts w:hint="eastAsia" w:ascii="Times New Roman" w:hAnsi="Times New Roman" w:eastAsia="仿宋_GB2312" w:cs="Times New Roman"/>
                <w:b w:val="0"/>
                <w:bCs w:val="0"/>
                <w:color w:val="000000" w:themeColor="text1"/>
                <w:sz w:val="24"/>
                <w:szCs w:val="24"/>
                <w:highlight w:val="none"/>
                <w:u w:val="none"/>
                <w:lang w:val="en-US" w:eastAsia="zh-CN"/>
                <w14:textFill>
                  <w14:solidFill>
                    <w14:schemeClr w14:val="tx1"/>
                  </w14:solidFill>
                </w14:textFill>
              </w:rPr>
              <w:t>新集乡与白阳镇交界处，彭沟公路西侧</w:t>
            </w:r>
            <w:r>
              <w:rPr>
                <w:rFonts w:hint="default" w:ascii="Times New Roman" w:hAnsi="Times New Roman" w:cs="Times New Roman"/>
                <w:color w:val="000000" w:themeColor="text1"/>
                <w:highlight w:val="none"/>
                <w14:textFill>
                  <w14:solidFill>
                    <w14:schemeClr w14:val="tx1"/>
                  </w14:solidFill>
                </w14:textFill>
              </w:rPr>
              <w:t>，在</w:t>
            </w:r>
            <w:r>
              <w:rPr>
                <w:rFonts w:hint="default" w:ascii="Times New Roman" w:hAnsi="Times New Roman" w:cs="Times New Roman"/>
                <w:color w:val="000000" w:themeColor="text1"/>
                <w:highlight w:val="none"/>
                <w:lang w:val="en-US" w:eastAsia="zh-CN"/>
                <w14:textFill>
                  <w14:solidFill>
                    <w14:schemeClr w14:val="tx1"/>
                  </w14:solidFill>
                </w14:textFill>
              </w:rPr>
              <w:t>彭阳县第二污水处理厂</w:t>
            </w:r>
            <w:r>
              <w:rPr>
                <w:rFonts w:hint="default" w:ascii="Times New Roman" w:hAnsi="Times New Roman" w:cs="Times New Roman"/>
                <w:color w:val="000000" w:themeColor="text1"/>
                <w:highlight w:val="none"/>
                <w14:textFill>
                  <w14:solidFill>
                    <w14:schemeClr w14:val="tx1"/>
                  </w14:solidFill>
                </w14:textFill>
              </w:rPr>
              <w:t>的接收范围内</w:t>
            </w:r>
            <w:r>
              <w:rPr>
                <w:rFonts w:hint="default" w:ascii="Times New Roman" w:hAnsi="Times New Roman" w:cs="Times New Roman"/>
                <w:color w:val="000000" w:themeColor="text1"/>
                <w:highlight w:val="none"/>
                <w:lang w:eastAsia="zh-CN"/>
                <w14:textFill>
                  <w14:solidFill>
                    <w14:schemeClr w14:val="tx1"/>
                  </w14:solidFill>
                </w14:textFill>
              </w:rPr>
              <w:t>。因此，本项目生活污水排入</w:t>
            </w:r>
            <w:r>
              <w:rPr>
                <w:rFonts w:hint="default" w:ascii="Times New Roman" w:hAnsi="Times New Roman" w:cs="Times New Roman"/>
                <w:color w:val="000000" w:themeColor="text1"/>
                <w:highlight w:val="none"/>
                <w:lang w:val="en-US" w:eastAsia="zh-CN"/>
                <w14:textFill>
                  <w14:solidFill>
                    <w14:schemeClr w14:val="tx1"/>
                  </w14:solidFill>
                </w14:textFill>
              </w:rPr>
              <w:t>彭阳县第二污水处理厂可行。</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0" w:firstLineChars="0"/>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3.噪声</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⑴</w:t>
            </w:r>
            <w: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噪声源强及降噪措施</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项目噪声来自于各种机械传动装置、转动设备、泵等设备运转时产生的噪声以及气流产生的噪声等。</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本项目噪声源主要来自生产运行过程中</w:t>
            </w:r>
            <w:r>
              <w:rPr>
                <w:rFonts w:hint="eastAsia" w:cs="Times New Roman"/>
                <w:color w:val="000000" w:themeColor="text1"/>
                <w:sz w:val="24"/>
                <w:szCs w:val="24"/>
                <w:highlight w:val="none"/>
                <w:lang w:val="en-US" w:eastAsia="zh-CN"/>
                <w14:textFill>
                  <w14:solidFill>
                    <w14:schemeClr w14:val="tx1"/>
                  </w14:solidFill>
                </w14:textFill>
              </w:rPr>
              <w:t>筛分机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破碎机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给料机</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、风</w:t>
            </w:r>
            <w:r>
              <w:rPr>
                <w:rFonts w:hint="eastAsia" w:cs="Times New Roman"/>
                <w:color w:val="000000" w:themeColor="text1"/>
                <w:sz w:val="24"/>
                <w:szCs w:val="24"/>
                <w:highlight w:val="none"/>
                <w:lang w:val="en-US" w:eastAsia="zh-CN"/>
                <w14:textFill>
                  <w14:solidFill>
                    <w14:schemeClr w14:val="tx1"/>
                  </w14:solidFill>
                </w14:textFill>
              </w:rPr>
              <w:t>选</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机等设备运行时产生的机械噪声以及运输车辆产生的交通噪声，通过选择低噪声设备，各设备安装减振基垫，并采取隔声、减振、设置于车间、运输车辆限速，禁止鸣笛等综合降噪</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措施</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降低噪声强度值。针对空气动力性噪声设备，可对其安装消声装置，削减噪声传播。其他高噪声设备可根据实地情况安装隔声罩，阻隔噪声向外传播。另外可对车间顶部及墙面安装吸声材料，减少混响降低噪声，并将门窗更换成隔音门窗减小噪声对外界的影响。</w:t>
            </w:r>
          </w:p>
          <w:p>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主要生产设备噪声源强见下表4-</w:t>
            </w:r>
            <w:r>
              <w:rPr>
                <w:rFonts w:hint="eastAsia" w:cs="Times New Roman"/>
                <w:color w:val="000000" w:themeColor="text1"/>
                <w:sz w:val="24"/>
                <w:szCs w:val="24"/>
                <w:highlight w:val="none"/>
                <w:lang w:val="en-US" w:eastAsia="zh-CN"/>
                <w14:textFill>
                  <w14:solidFill>
                    <w14:schemeClr w14:val="tx1"/>
                  </w14:solidFill>
                </w14:textFill>
              </w:rPr>
              <w:t>14</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pStyle w:val="64"/>
              <w:keepNext w:val="0"/>
              <w:keepLines w:val="0"/>
              <w:pageBreakBefore w:val="0"/>
              <w:widowControl w:val="0"/>
              <w:suppressLineNumbers w:val="0"/>
              <w:tabs>
                <w:tab w:val="left" w:pos="1883"/>
                <w:tab w:val="center" w:pos="6567"/>
              </w:tabs>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表4-</w:t>
            </w: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14</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本项目主要噪声一览表</w:t>
            </w:r>
          </w:p>
          <w:tbl>
            <w:tblPr>
              <w:tblStyle w:val="37"/>
              <w:tblW w:w="4995"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361"/>
              <w:gridCol w:w="531"/>
              <w:gridCol w:w="506"/>
              <w:gridCol w:w="373"/>
              <w:gridCol w:w="450"/>
              <w:gridCol w:w="585"/>
              <w:gridCol w:w="537"/>
              <w:gridCol w:w="612"/>
              <w:gridCol w:w="420"/>
              <w:gridCol w:w="516"/>
              <w:gridCol w:w="516"/>
              <w:gridCol w:w="516"/>
              <w:gridCol w:w="519"/>
              <w:gridCol w:w="513"/>
              <w:gridCol w:w="513"/>
              <w:gridCol w:w="513"/>
              <w:gridCol w:w="516"/>
              <w:gridCol w:w="997"/>
              <w:gridCol w:w="864"/>
              <w:gridCol w:w="535"/>
              <w:gridCol w:w="535"/>
              <w:gridCol w:w="535"/>
              <w:gridCol w:w="537"/>
              <w:gridCol w:w="48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 w:hRule="atLeast"/>
                <w:tblHeader/>
                <w:jc w:val="center"/>
              </w:trPr>
              <w:tc>
                <w:tcPr>
                  <w:tcW w:w="361" w:type="dxa"/>
                  <w:vMerge w:val="restart"/>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序号</w:t>
                  </w:r>
                </w:p>
              </w:tc>
              <w:tc>
                <w:tcPr>
                  <w:tcW w:w="531" w:type="dxa"/>
                  <w:vMerge w:val="restart"/>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建筑物名称</w:t>
                  </w:r>
                </w:p>
              </w:tc>
              <w:tc>
                <w:tcPr>
                  <w:tcW w:w="506" w:type="dxa"/>
                  <w:vMerge w:val="restart"/>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声源名称</w:t>
                  </w:r>
                </w:p>
              </w:tc>
              <w:tc>
                <w:tcPr>
                  <w:tcW w:w="373" w:type="dxa"/>
                  <w:vMerge w:val="restart"/>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型号</w:t>
                  </w:r>
                </w:p>
              </w:tc>
              <w:tc>
                <w:tcPr>
                  <w:tcW w:w="450" w:type="dxa"/>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声源源强</w:t>
                  </w:r>
                </w:p>
              </w:tc>
              <w:tc>
                <w:tcPr>
                  <w:tcW w:w="585" w:type="dxa"/>
                  <w:vMerge w:val="restart"/>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声源控制措施</w:t>
                  </w:r>
                </w:p>
              </w:tc>
              <w:tc>
                <w:tcPr>
                  <w:tcW w:w="1569" w:type="dxa"/>
                  <w:gridSpan w:val="3"/>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空间相对位置/m</w:t>
                  </w:r>
                </w:p>
              </w:tc>
              <w:tc>
                <w:tcPr>
                  <w:tcW w:w="2067" w:type="dxa"/>
                  <w:gridSpan w:val="4"/>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距室内边界距离/m</w:t>
                  </w:r>
                </w:p>
              </w:tc>
              <w:tc>
                <w:tcPr>
                  <w:tcW w:w="2055" w:type="dxa"/>
                  <w:gridSpan w:val="4"/>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室内边界声级/dB(A)</w:t>
                  </w:r>
                </w:p>
              </w:tc>
              <w:tc>
                <w:tcPr>
                  <w:tcW w:w="997" w:type="dxa"/>
                  <w:vMerge w:val="restart"/>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运行时段</w:t>
                  </w:r>
                </w:p>
              </w:tc>
              <w:tc>
                <w:tcPr>
                  <w:tcW w:w="864" w:type="dxa"/>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建筑物插入损失 /dB(A)</w:t>
                  </w:r>
                </w:p>
              </w:tc>
              <w:tc>
                <w:tcPr>
                  <w:tcW w:w="2626" w:type="dxa"/>
                  <w:gridSpan w:val="5"/>
                  <w:tcBorders>
                    <w:tl2br w:val="nil"/>
                    <w:tr2bl w:val="nil"/>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建筑物外噪声声压级/dB(A)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 w:hRule="atLeast"/>
                <w:tblHeader/>
                <w:jc w:val="center"/>
              </w:trPr>
              <w:tc>
                <w:tcPr>
                  <w:tcW w:w="36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p>
              </w:tc>
              <w:tc>
                <w:tcPr>
                  <w:tcW w:w="506"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p>
              </w:tc>
              <w:tc>
                <w:tcPr>
                  <w:tcW w:w="373"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声功率级/dB(A)</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X</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Y</w:t>
                  </w:r>
                </w:p>
              </w:tc>
              <w:tc>
                <w:tcPr>
                  <w:tcW w:w="42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Z</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东</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南</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西</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北</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东</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南</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西</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北</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东</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南</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西</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北</w:t>
                  </w:r>
                </w:p>
              </w:tc>
              <w:tc>
                <w:tcPr>
                  <w:tcW w:w="48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0"/>
                      <w:szCs w:val="20"/>
                      <w:highlight w:val="none"/>
                      <w:lang w:val="en-US" w:eastAsia="zh-CN" w:bidi="ar-SA"/>
                      <w14:textFill>
                        <w14:solidFill>
                          <w14:schemeClr w14:val="tx1"/>
                        </w14:solidFill>
                      </w14:textFill>
                    </w:rPr>
                    <w:t>建筑物外距离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c>
                <w:tcPr>
                  <w:tcW w:w="531" w:type="dxa"/>
                  <w:vMerge w:val="restart"/>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建筑垃圾再生利用车间</w:t>
                  </w: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履带移动式重型筛分机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restart"/>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选择低噪声设备，各设备安装减振基垫，并采取隔声、减振、设置于车间。</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-33.</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9</w:t>
                  </w:r>
                </w:p>
              </w:tc>
              <w:tc>
                <w:tcPr>
                  <w:tcW w:w="42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10.27</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4.98</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6.78</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21.80</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72.52</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72.58</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72.54</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997" w:type="dxa"/>
                  <w:vMerge w:val="restart"/>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昼间</w:t>
                  </w: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50.52</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50.58</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50.54</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50.50</w:t>
                  </w:r>
                </w:p>
              </w:tc>
              <w:tc>
                <w:tcPr>
                  <w:tcW w:w="48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履带移动式成品筛分机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-39.66</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27.71</w:t>
                  </w:r>
                </w:p>
              </w:tc>
              <w:tc>
                <w:tcPr>
                  <w:tcW w:w="42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3.4</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6.15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13.63</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20.79</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.66</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.55</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.51</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50.66</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50.55</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50.51</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50.50</w:t>
                  </w:r>
                </w:p>
              </w:tc>
              <w:tc>
                <w:tcPr>
                  <w:tcW w:w="48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重型</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振动给料机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-43.71</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19.04</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3.53</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15.71</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13.37</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11.22</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72.65</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72.51</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72.51</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72.51</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50.65</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50.51</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50.51</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50.51</w:t>
                  </w:r>
                </w:p>
              </w:tc>
              <w:tc>
                <w:tcPr>
                  <w:tcW w:w="48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4</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鄂式破碎机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-34.55</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30.44</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6.82</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1.42</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10.28</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25.44</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77.54</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78.37</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77.52</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77.50</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55.54</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55.37</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55.52</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55.50</w:t>
                  </w:r>
                </w:p>
              </w:tc>
              <w:tc>
                <w:tcPr>
                  <w:tcW w:w="48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除土筛分机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-38.21</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32.11</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1.56</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14.3</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25.39</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22.00</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73.23</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72.51</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51.23</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50.51</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50.50</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50.50</w:t>
                  </w:r>
                </w:p>
              </w:tc>
              <w:tc>
                <w:tcPr>
                  <w:tcW w:w="48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固定式风选机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both"/>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-42.35</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35.04</w:t>
                  </w:r>
                </w:p>
              </w:tc>
              <w:tc>
                <w:tcPr>
                  <w:tcW w:w="42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2.55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5.87</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14.63</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21.55</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.23</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50.6</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50.5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w:t>
                  </w:r>
                </w:p>
              </w:tc>
              <w:tc>
                <w:tcPr>
                  <w:tcW w:w="48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7</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磁选机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-35.55</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32.45</w:t>
                  </w:r>
                </w:p>
              </w:tc>
              <w:tc>
                <w:tcPr>
                  <w:tcW w:w="42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5.88</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7.55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15.68</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21.75</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15</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53.24</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52.36</w:t>
                  </w:r>
                </w:p>
              </w:tc>
              <w:tc>
                <w:tcPr>
                  <w:tcW w:w="535"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52.36</w:t>
                  </w:r>
                </w:p>
              </w:tc>
              <w:tc>
                <w:tcPr>
                  <w:tcW w:w="537"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52.36</w:t>
                  </w:r>
                </w:p>
              </w:tc>
              <w:tc>
                <w:tcPr>
                  <w:tcW w:w="48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cs="Times New Roman"/>
                      <w:b w:val="0"/>
                      <w:bCs w:val="0"/>
                      <w:color w:val="000000" w:themeColor="text1"/>
                      <w:kern w:val="2"/>
                      <w:sz w:val="20"/>
                      <w:szCs w:val="20"/>
                      <w:highlight w:val="none"/>
                      <w:lang w:val="en-US" w:eastAsia="zh-CN" w:bidi="ar-SA"/>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8</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搅拌机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-38.57</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34.45</w:t>
                  </w:r>
                </w:p>
              </w:tc>
              <w:tc>
                <w:tcPr>
                  <w:tcW w:w="42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6.45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4.25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11.87</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23.74</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75.28</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77.16</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75.24</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75.77</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.6</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w:t>
                  </w: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w:t>
                  </w:r>
                </w:p>
              </w:tc>
              <w:tc>
                <w:tcPr>
                  <w:tcW w:w="48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cs="Times New Roman"/>
                      <w:b w:val="0"/>
                      <w:bCs w:val="0"/>
                      <w:color w:val="000000" w:themeColor="text1"/>
                      <w:kern w:val="2"/>
                      <w:sz w:val="20"/>
                      <w:szCs w:val="20"/>
                      <w:highlight w:val="none"/>
                      <w:lang w:val="en-US" w:eastAsia="zh-CN" w:bidi="ar-SA"/>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9</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履带移动反击式破碎机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w:t>
                  </w:r>
                </w:p>
              </w:tc>
              <w:tc>
                <w:tcPr>
                  <w:tcW w:w="420"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6.45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4.25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11.87</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24.33</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.23</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56</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52</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2</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48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cs="Times New Roman"/>
                      <w:b w:val="0"/>
                      <w:bCs w:val="0"/>
                      <w:color w:val="000000" w:themeColor="text1"/>
                      <w:kern w:val="2"/>
                      <w:sz w:val="20"/>
                      <w:szCs w:val="20"/>
                      <w:highlight w:val="none"/>
                      <w:lang w:val="en-US" w:eastAsia="zh-CN" w:bidi="ar-SA"/>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361"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31"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0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kern w:val="0"/>
                      <w:sz w:val="21"/>
                      <w:szCs w:val="21"/>
                      <w:lang w:val="en-US" w:eastAsia="zh-CN" w:bidi="ar"/>
                    </w:rPr>
                    <w:t>皮带输送机</w:t>
                  </w:r>
                </w:p>
              </w:tc>
              <w:tc>
                <w:tcPr>
                  <w:tcW w:w="37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w:t>
                  </w:r>
                </w:p>
              </w:tc>
              <w:tc>
                <w:tcPr>
                  <w:tcW w:w="45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80</w:t>
                  </w:r>
                </w:p>
              </w:tc>
              <w:tc>
                <w:tcPr>
                  <w:tcW w:w="585"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FF0000"/>
                      <w:kern w:val="2"/>
                      <w:sz w:val="20"/>
                      <w:szCs w:val="20"/>
                      <w:highlight w:val="none"/>
                      <w:lang w:val="en-US" w:eastAsia="zh-CN" w:bidi="ar-SA"/>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-41.23</w:t>
                  </w:r>
                </w:p>
              </w:tc>
              <w:tc>
                <w:tcPr>
                  <w:tcW w:w="612"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35.33</w:t>
                  </w:r>
                </w:p>
              </w:tc>
              <w:tc>
                <w:tcPr>
                  <w:tcW w:w="420"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6.28</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6.25</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19.82</w:t>
                  </w:r>
                </w:p>
              </w:tc>
              <w:tc>
                <w:tcPr>
                  <w:tcW w:w="519"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t>26.54</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38</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w:t>
                  </w:r>
                  <w:r>
                    <w:rPr>
                      <w:rFonts w:hint="eastAsia"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75</w:t>
                  </w:r>
                </w:p>
              </w:tc>
              <w:tc>
                <w:tcPr>
                  <w:tcW w:w="513"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516"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eastAsia"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72.50</w:t>
                  </w:r>
                </w:p>
              </w:tc>
              <w:tc>
                <w:tcPr>
                  <w:tcW w:w="997" w:type="dxa"/>
                  <w:vMerge w:val="continue"/>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864"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t>16.0</w:t>
                  </w: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35"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537" w:type="dxa"/>
                  <w:tcBorders>
                    <w:tl2br w:val="nil"/>
                    <w:tr2bl w:val="nil"/>
                  </w:tcBorders>
                  <w:shd w:val="clear" w:color="auto" w:fill="auto"/>
                  <w:tcMar>
                    <w:top w:w="0" w:type="dxa"/>
                    <w:left w:w="0" w:type="dxa"/>
                    <w:bottom w:w="0" w:type="dxa"/>
                    <w:right w:w="0" w:type="dxa"/>
                  </w:tcMar>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0"/>
                      <w:szCs w:val="20"/>
                      <w:highlight w:val="none"/>
                      <w:lang w:val="en-US" w:eastAsia="zh-CN" w:bidi="ar-SA"/>
                      <w14:textFill>
                        <w14:solidFill>
                          <w14:schemeClr w14:val="tx1"/>
                        </w14:solidFill>
                      </w14:textFill>
                    </w:rPr>
                  </w:pPr>
                </w:p>
              </w:tc>
              <w:tc>
                <w:tcPr>
                  <w:tcW w:w="484" w:type="dxa"/>
                  <w:tcBorders>
                    <w:tl2br w:val="nil"/>
                    <w:tr2bl w:val="nil"/>
                  </w:tcBorders>
                  <w:shd w:val="clear" w:color="auto" w:fill="auto"/>
                  <w:tcMar>
                    <w:top w:w="0" w:type="dxa"/>
                    <w:left w:w="0" w:type="dxa"/>
                    <w:bottom w:w="0" w:type="dxa"/>
                    <w:right w:w="0" w:type="dxa"/>
                  </w:tcMar>
                  <w:vAlign w:val="center"/>
                </w:tcPr>
                <w:p>
                  <w:pPr>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60" w:lineRule="exact"/>
                    <w:ind w:left="0" w:leftChars="0" w:right="0" w:rightChars="0" w:firstLine="0" w:firstLineChars="0"/>
                    <w:jc w:val="center"/>
                    <w:textAlignment w:val="auto"/>
                    <w:rPr>
                      <w:rFonts w:hint="default" w:cs="Times New Roman"/>
                      <w:b w:val="0"/>
                      <w:bCs w:val="0"/>
                      <w:color w:val="000000" w:themeColor="text1"/>
                      <w:kern w:val="2"/>
                      <w:sz w:val="20"/>
                      <w:szCs w:val="20"/>
                      <w:highlight w:val="none"/>
                      <w:lang w:val="en-US" w:eastAsia="zh-CN" w:bidi="ar-SA"/>
                      <w14:textFill>
                        <w14:solidFill>
                          <w14:schemeClr w14:val="tx1"/>
                        </w14:solidFill>
                      </w14:textFill>
                    </w:rPr>
                  </w:pPr>
                  <w:r>
                    <w:rPr>
                      <w:rFonts w:hint="eastAsia" w:cs="Times New Roman"/>
                      <w:b w:val="0"/>
                      <w:bCs w:val="0"/>
                      <w:color w:val="000000" w:themeColor="text1"/>
                      <w:kern w:val="2"/>
                      <w:sz w:val="20"/>
                      <w:szCs w:val="20"/>
                      <w:highlight w:val="none"/>
                      <w:lang w:val="en-US" w:eastAsia="zh-CN" w:bidi="ar-SA"/>
                      <w14:textFill>
                        <w14:solidFill>
                          <w14:schemeClr w14:val="tx1"/>
                        </w14:solidFill>
                      </w14:textFill>
                    </w:rPr>
                    <w:t>2</w:t>
                  </w:r>
                </w:p>
              </w:tc>
            </w:tr>
          </w:tbl>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0" w:firstLineChars="0"/>
              <w:rPr>
                <w:rFonts w:hint="default" w:ascii="Times New Roman" w:hAnsi="Times New Roman" w:eastAsia="仿宋_GB2312" w:cs="Times New Roman"/>
                <w:color w:val="FF0000"/>
                <w:sz w:val="24"/>
                <w:szCs w:val="24"/>
                <w:highlight w:val="none"/>
                <w:lang w:val="en-US" w:eastAsia="zh-CN"/>
              </w:rPr>
            </w:pPr>
          </w:p>
        </w:tc>
      </w:tr>
    </w:tbl>
    <w:p>
      <w:pPr>
        <w:pageBreakBefore w:val="0"/>
        <w:kinsoku/>
        <w:wordWrap/>
        <w:topLinePunct w:val="0"/>
        <w:bidi w:val="0"/>
        <w:adjustRightInd w:val="0"/>
        <w:snapToGrid w:val="0"/>
        <w:rPr>
          <w:rFonts w:hint="default" w:ascii="Times New Roman" w:hAnsi="Times New Roman" w:eastAsia="黑体" w:cs="Times New Roman"/>
          <w:b/>
          <w:color w:val="FF0000"/>
          <w:sz w:val="28"/>
          <w:highlight w:val="none"/>
        </w:rPr>
        <w:sectPr>
          <w:pgSz w:w="16838" w:h="11905" w:orient="landscape"/>
          <w:pgMar w:top="1587" w:right="1417" w:bottom="1587" w:left="1417" w:header="1247" w:footer="124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7"/>
        <w:tblW w:w="93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7"/>
        <w:gridCol w:w="86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3282" w:hRule="atLeast"/>
          <w:jc w:val="center"/>
        </w:trPr>
        <w:tc>
          <w:tcPr>
            <w:tcW w:w="72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eastAsia" w:eastAsia="宋体" w:cs="Times New Roman"/>
                <w:b/>
                <w:bCs/>
                <w:color w:val="000000" w:themeColor="text1"/>
                <w:kern w:val="2"/>
                <w:sz w:val="24"/>
                <w:szCs w:val="24"/>
                <w:highlight w:val="none"/>
                <w:lang w:val="en-US" w:eastAsia="zh-CN" w:bidi="ar-SA"/>
                <w14:textFill>
                  <w14:solidFill>
                    <w14:schemeClr w14:val="tx1"/>
                  </w14:solidFill>
                </w14:textFill>
              </w:rPr>
              <w:t>运</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营期环境影响和保护措施</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eastAsia" w:eastAsia="宋体" w:cs="Times New Roman"/>
                <w:b/>
                <w:bCs/>
                <w:color w:val="auto"/>
                <w:kern w:val="2"/>
                <w:sz w:val="24"/>
                <w:szCs w:val="24"/>
                <w:highlight w:val="none"/>
                <w:lang w:val="en-US" w:eastAsia="zh-CN" w:bidi="ar-SA"/>
              </w:rPr>
              <w:t>运</w:t>
            </w:r>
            <w:r>
              <w:rPr>
                <w:rFonts w:hint="default" w:ascii="Times New Roman" w:hAnsi="Times New Roman" w:eastAsia="宋体" w:cs="Times New Roman"/>
                <w:b/>
                <w:bCs/>
                <w:color w:val="auto"/>
                <w:kern w:val="2"/>
                <w:sz w:val="24"/>
                <w:szCs w:val="24"/>
                <w:highlight w:val="none"/>
                <w:lang w:val="en-US" w:eastAsia="zh-CN" w:bidi="ar-SA"/>
              </w:rPr>
              <w:t>营期环境影响和保护措施</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p>
        </w:tc>
        <w:tc>
          <w:tcPr>
            <w:tcW w:w="8627" w:type="dxa"/>
            <w:vMerge w:val="restart"/>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157" w:beforeLines="50" w:beforeAutospacing="0" w:after="0" w:afterAutospacing="0"/>
              <w:ind w:left="0" w:leftChars="0" w:right="0" w:firstLine="482" w:firstLineChars="200"/>
              <w:textAlignment w:val="auto"/>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⑵厂界标达标情况</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本项目噪声源按衰减模式计算，本次评价将噪声源</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按照</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点声源</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考虑</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，传播方式为半自由空间。若在距离声源</w:t>
            </w:r>
            <w:r>
              <w:rPr>
                <w:rFonts w:hint="default" w:ascii="Times New Roman" w:hAnsi="Times New Roman" w:eastAsia="仿宋_GB2312" w:cs="Times New Roman"/>
                <w:color w:val="000000" w:themeColor="text1"/>
                <w:sz w:val="24"/>
                <w:szCs w:val="24"/>
                <w:highlight w:val="none"/>
                <w:vertAlign w:val="baseline"/>
                <w14:textFill>
                  <w14:solidFill>
                    <w14:schemeClr w14:val="tx1"/>
                  </w14:solidFill>
                </w14:textFill>
              </w:rPr>
              <w:t>r</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处的声压级为L</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时，则在</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r</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处的噪声为（忽略空气吸收的作用）：</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1200" w:firstLineChars="500"/>
              <w:jc w:val="both"/>
              <w:textAlignment w:val="auto"/>
              <w:outlineLvl w:val="9"/>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L</w:t>
            </w:r>
            <w:r>
              <w:rPr>
                <w:rFonts w:hint="default" w:ascii="Times New Roman" w:hAnsi="Times New Roman" w:eastAsia="仿宋_GB2312" w:cs="Times New Roman"/>
                <w:color w:val="000000" w:themeColor="text1"/>
                <w:sz w:val="24"/>
                <w:szCs w:val="24"/>
                <w:highlight w:val="none"/>
                <w:vertAlign w:val="subscript"/>
                <w:lang w:val="en-US" w:eastAsia="zh-CN"/>
                <w14:textFill>
                  <w14:solidFill>
                    <w14:schemeClr w14:val="tx1"/>
                  </w14:solidFill>
                </w14:textFill>
              </w:rPr>
              <w:t>p</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=L</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－20lg(r/r</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-△L</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式中：</w:t>
            </w:r>
            <w:r>
              <w:rPr>
                <w:rFonts w:hint="default" w:ascii="Times New Roman" w:hAnsi="Times New Roman" w:eastAsia="仿宋_GB2312" w:cs="Times New Roman"/>
                <w:color w:val="000000" w:themeColor="text1"/>
                <w:sz w:val="24"/>
                <w:szCs w:val="24"/>
                <w:highlight w:val="none"/>
                <w:vertAlign w:val="baseline"/>
                <w14:textFill>
                  <w14:solidFill>
                    <w14:schemeClr w14:val="tx1"/>
                  </w14:solidFill>
                </w14:textFill>
              </w:rPr>
              <w:t>r</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、r —离声源的距离（m）；</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1200" w:firstLineChars="5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L</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—距声源距离为</w:t>
            </w:r>
            <w:r>
              <w:rPr>
                <w:rFonts w:hint="default" w:ascii="Times New Roman" w:hAnsi="Times New Roman" w:eastAsia="仿宋_GB2312" w:cs="Times New Roman"/>
                <w:color w:val="000000" w:themeColor="text1"/>
                <w:sz w:val="24"/>
                <w:szCs w:val="24"/>
                <w:highlight w:val="none"/>
                <w:vertAlign w:val="baseline"/>
                <w14:textFill>
                  <w14:solidFill>
                    <w14:schemeClr w14:val="tx1"/>
                  </w14:solidFill>
                </w14:textFill>
              </w:rPr>
              <w:t>r</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处的等效A声级值，dB（A）；</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1200" w:firstLineChars="5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L</w:t>
            </w:r>
            <w:r>
              <w:rPr>
                <w:rFonts w:hint="default" w:ascii="Times New Roman" w:hAnsi="Times New Roman" w:eastAsia="仿宋_GB2312" w:cs="Times New Roman"/>
                <w:color w:val="000000" w:themeColor="text1"/>
                <w:sz w:val="24"/>
                <w:szCs w:val="24"/>
                <w:highlight w:val="none"/>
                <w:vertAlign w:val="subscript"/>
                <w:lang w:val="en-US" w:eastAsia="zh-CN"/>
                <w14:textFill>
                  <w14:solidFill>
                    <w14:schemeClr w14:val="tx1"/>
                  </w14:solidFill>
                </w14:textFill>
              </w:rPr>
              <w:t>p</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—离声源距离r处的声压级 dB(A)；</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1200" w:firstLineChars="5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△L—各种衰减量，dB(A)。</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现场有多台设备同时运转，其噪声情况应是这些设备总迭加。多个噪声源迭加后的总声压级，按下式计算：</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1200" w:firstLineChars="5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L＝10lg(∑10</w:t>
            </w:r>
            <w:r>
              <w:rPr>
                <w:rFonts w:hint="default" w:ascii="Times New Roman" w:hAnsi="Times New Roman" w:eastAsia="仿宋_GB2312" w:cs="Times New Roman"/>
                <w:color w:val="000000" w:themeColor="text1"/>
                <w:sz w:val="24"/>
                <w:szCs w:val="24"/>
                <w:highlight w:val="none"/>
                <w:vertAlign w:val="superscript"/>
                <w14:textFill>
                  <w14:solidFill>
                    <w14:schemeClr w14:val="tx1"/>
                  </w14:solidFill>
                </w14:textFill>
              </w:rPr>
              <w:t>0.1Li</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式中：L—预侧点噪声叠加值，dB（A）；</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1200" w:firstLineChars="500"/>
              <w:jc w:val="left"/>
              <w:textAlignment w:val="auto"/>
              <w:outlineLvl w:val="9"/>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L</w:t>
            </w:r>
            <w:r>
              <w:rPr>
                <w:rFonts w:hint="default" w:ascii="Times New Roman" w:hAnsi="Times New Roman" w:eastAsia="仿宋_GB2312" w:cs="Times New Roman"/>
                <w:color w:val="000000" w:themeColor="text1"/>
                <w:sz w:val="24"/>
                <w:szCs w:val="24"/>
                <w:highlight w:val="none"/>
                <w:vertAlign w:val="subscript"/>
                <w14:textFill>
                  <w14:solidFill>
                    <w14:schemeClr w14:val="tx1"/>
                  </w14:solidFill>
                </w14:textFill>
              </w:rPr>
              <w:t>i</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—第i个声源的声压级，dB（A）；</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1200" w:firstLineChars="500"/>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n—声源数量。</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根据上述公式，本项目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噪声</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预测结果</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见表4-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w:t>
            </w:r>
          </w:p>
          <w:p>
            <w:pPr>
              <w:pStyle w:val="2"/>
              <w:keepNext w:val="0"/>
              <w:keepLines w:val="0"/>
              <w:suppressLineNumbers w:val="0"/>
              <w:adjustRightInd w:val="0"/>
              <w:snapToGrid w:val="0"/>
              <w:spacing w:before="0" w:beforeLines="0" w:beforeAutospacing="0" w:after="0" w:afterLines="0" w:afterAutospacing="0" w:line="240" w:lineRule="auto"/>
              <w:ind w:left="0" w:leftChars="0" w:right="0" w:firstLine="0" w:firstLineChars="0"/>
              <w:jc w:val="center"/>
              <w:rPr>
                <w:rFonts w:hint="default"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表4-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14:textFill>
                  <w14:solidFill>
                    <w14:schemeClr w14:val="tx1"/>
                  </w14:solidFill>
                </w14:textFill>
              </w:rPr>
              <w:t>厂界噪声预测结果与达标分析表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21"/>
              <w:gridCol w:w="912"/>
              <w:gridCol w:w="912"/>
              <w:gridCol w:w="912"/>
              <w:gridCol w:w="976"/>
              <w:gridCol w:w="1390"/>
              <w:gridCol w:w="1391"/>
              <w:gridCol w:w="116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1" w:type="dxa"/>
                  <w:vMerge w:val="restart"/>
                  <w:tcBorders>
                    <w:top w:val="single" w:color="auto" w:sz="12" w:space="0"/>
                    <w:left w:val="single" w:color="auto" w:sz="12"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预测方位</w:t>
                  </w:r>
                </w:p>
              </w:tc>
              <w:tc>
                <w:tcPr>
                  <w:tcW w:w="2736" w:type="dxa"/>
                  <w:gridSpan w:val="3"/>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最大值点空间相对位置/m</w:t>
                  </w:r>
                </w:p>
              </w:tc>
              <w:tc>
                <w:tcPr>
                  <w:tcW w:w="976" w:type="dxa"/>
                  <w:vMerge w:val="restart"/>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时段</w:t>
                  </w:r>
                </w:p>
              </w:tc>
              <w:tc>
                <w:tcPr>
                  <w:tcW w:w="1390" w:type="dxa"/>
                  <w:vMerge w:val="restart"/>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贡献值（dB(A)）</w:t>
                  </w:r>
                </w:p>
              </w:tc>
              <w:tc>
                <w:tcPr>
                  <w:tcW w:w="1391" w:type="dxa"/>
                  <w:vMerge w:val="restart"/>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标准限值（dB(A)）</w:t>
                  </w:r>
                </w:p>
              </w:tc>
              <w:tc>
                <w:tcPr>
                  <w:tcW w:w="1167" w:type="dxa"/>
                  <w:vMerge w:val="restart"/>
                  <w:tcBorders>
                    <w:top w:val="single" w:color="auto" w:sz="12" w:space="0"/>
                    <w:left w:val="single" w:color="auto" w:sz="4" w:space="0"/>
                    <w:bottom w:val="single" w:color="auto" w:sz="4" w:space="0"/>
                    <w:right w:val="single" w:color="auto" w:sz="12"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1" w:type="dxa"/>
                  <w:vMerge w:val="continue"/>
                  <w:tcBorders>
                    <w:top w:val="single" w:color="auto" w:sz="4" w:space="0"/>
                    <w:left w:val="single" w:color="auto" w:sz="12" w:space="0"/>
                    <w:bottom w:val="single" w:color="auto" w:sz="4" w:space="0"/>
                    <w:right w:val="single" w:color="auto" w:sz="4" w:space="0"/>
                  </w:tcBorders>
                  <w:shd w:val="clear" w:color="auto" w:fill="FFFFFF"/>
                  <w:noWrap w:val="0"/>
                  <w:vAlign w:val="center"/>
                </w:tcPr>
                <w:p>
                  <w:pPr>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X</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Y</w:t>
                  </w:r>
                </w:p>
              </w:tc>
              <w:tc>
                <w:tcPr>
                  <w:tcW w:w="91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Z</w:t>
                  </w:r>
                </w:p>
              </w:tc>
              <w:tc>
                <w:tcPr>
                  <w:tcW w:w="976"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139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1391"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c>
                <w:tcPr>
                  <w:tcW w:w="1167" w:type="dxa"/>
                  <w:vMerge w:val="continue"/>
                  <w:tcBorders>
                    <w:top w:val="single" w:color="auto" w:sz="4" w:space="0"/>
                    <w:left w:val="single" w:color="auto" w:sz="4" w:space="0"/>
                    <w:bottom w:val="single" w:color="auto" w:sz="4" w:space="0"/>
                    <w:right w:val="single" w:color="auto" w:sz="12" w:space="0"/>
                  </w:tcBorders>
                  <w:shd w:val="clear" w:color="auto" w:fill="FFFFFF"/>
                  <w:noWrap w:val="0"/>
                  <w:vAlign w:val="center"/>
                </w:tcPr>
                <w:p>
                  <w:pPr>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1"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东侧</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57.35</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-33.53</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1.2</w:t>
                  </w:r>
                </w:p>
              </w:tc>
              <w:tc>
                <w:tcPr>
                  <w:tcW w:w="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.92</w:t>
                  </w:r>
                </w:p>
              </w:tc>
              <w:tc>
                <w:tcPr>
                  <w:tcW w:w="13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14:textFill>
                        <w14:solidFill>
                          <w14:schemeClr w14:val="tx1"/>
                        </w14:solidFill>
                      </w14:textFill>
                    </w:rPr>
                    <w:t>6</w:t>
                  </w: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5</w:t>
                  </w:r>
                </w:p>
              </w:tc>
              <w:tc>
                <w:tcPr>
                  <w:tcW w:w="1167"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1"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南侧</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-44.14</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-11.31</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1.2</w:t>
                  </w:r>
                </w:p>
              </w:tc>
              <w:tc>
                <w:tcPr>
                  <w:tcW w:w="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5.11</w:t>
                  </w:r>
                </w:p>
              </w:tc>
              <w:tc>
                <w:tcPr>
                  <w:tcW w:w="13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14:textFill>
                        <w14:solidFill>
                          <w14:schemeClr w14:val="tx1"/>
                        </w14:solidFill>
                      </w14:textFill>
                    </w:rPr>
                    <w:t>6</w:t>
                  </w: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5</w:t>
                  </w:r>
                </w:p>
              </w:tc>
              <w:tc>
                <w:tcPr>
                  <w:tcW w:w="1167"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1"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西侧</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-56.39</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38.93</w:t>
                  </w:r>
                </w:p>
              </w:tc>
              <w:tc>
                <w:tcPr>
                  <w:tcW w:w="9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1.2</w:t>
                  </w:r>
                </w:p>
              </w:tc>
              <w:tc>
                <w:tcPr>
                  <w:tcW w:w="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5.37</w:t>
                  </w:r>
                </w:p>
              </w:tc>
              <w:tc>
                <w:tcPr>
                  <w:tcW w:w="13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14:textFill>
                        <w14:solidFill>
                          <w14:schemeClr w14:val="tx1"/>
                        </w14:solidFill>
                      </w14:textFill>
                    </w:rPr>
                    <w:t>6</w:t>
                  </w: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5</w:t>
                  </w:r>
                </w:p>
              </w:tc>
              <w:tc>
                <w:tcPr>
                  <w:tcW w:w="1167"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1" w:type="dxa"/>
                  <w:tcBorders>
                    <w:top w:val="single" w:color="auto" w:sz="4" w:space="0"/>
                    <w:left w:val="single" w:color="auto" w:sz="12" w:space="0"/>
                    <w:bottom w:val="single" w:color="auto" w:sz="12"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北侧</w:t>
                  </w:r>
                </w:p>
              </w:tc>
              <w:tc>
                <w:tcPr>
                  <w:tcW w:w="91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-33.13</w:t>
                  </w:r>
                </w:p>
              </w:tc>
              <w:tc>
                <w:tcPr>
                  <w:tcW w:w="91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41.60</w:t>
                  </w:r>
                </w:p>
              </w:tc>
              <w:tc>
                <w:tcPr>
                  <w:tcW w:w="91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1.2</w:t>
                  </w:r>
                </w:p>
              </w:tc>
              <w:tc>
                <w:tcPr>
                  <w:tcW w:w="976"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p>
              </w:tc>
              <w:tc>
                <w:tcPr>
                  <w:tcW w:w="1390"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6.99</w:t>
                  </w:r>
                </w:p>
              </w:tc>
              <w:tc>
                <w:tcPr>
                  <w:tcW w:w="1391"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highlight w:val="none"/>
                      <w14:textFill>
                        <w14:solidFill>
                          <w14:schemeClr w14:val="tx1"/>
                        </w14:solidFill>
                      </w14:textFill>
                    </w:rPr>
                    <w:t>6</w:t>
                  </w:r>
                  <w: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t>5</w:t>
                  </w:r>
                </w:p>
              </w:tc>
              <w:tc>
                <w:tcPr>
                  <w:tcW w:w="1167" w:type="dxa"/>
                  <w:tcBorders>
                    <w:top w:val="single" w:color="auto" w:sz="4" w:space="0"/>
                    <w:left w:val="single" w:color="auto" w:sz="4" w:space="0"/>
                    <w:bottom w:val="single" w:color="auto" w:sz="12" w:space="0"/>
                    <w:right w:val="single" w:color="auto" w:sz="12" w:space="0"/>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pPr>
              <w:keepNext w:val="0"/>
              <w:keepLines w:val="0"/>
              <w:suppressLineNumbers w:val="0"/>
              <w:adjustRightInd w:val="0"/>
              <w:snapToGrid w:val="0"/>
              <w:spacing w:before="0" w:beforeLines="0" w:beforeAutospacing="0" w:after="0" w:afterLines="0" w:afterAutospacing="0" w:line="360" w:lineRule="auto"/>
              <w:ind w:left="0" w:right="0" w:firstLine="361" w:firstLineChars="200"/>
              <w:jc w:val="both"/>
              <w:rPr>
                <w:rFonts w:hint="default" w:ascii="Times New Roman" w:hAnsi="Times New Roman" w:eastAsia="仿宋_GB2312"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仿宋_GB2312" w:cs="Times New Roman"/>
                <w:b/>
                <w:color w:val="000000" w:themeColor="text1"/>
                <w:sz w:val="18"/>
                <w:szCs w:val="18"/>
                <w:highlight w:val="none"/>
                <w14:textFill>
                  <w14:solidFill>
                    <w14:schemeClr w14:val="tx1"/>
                  </w14:solidFill>
                </w14:textFill>
              </w:rPr>
              <w:t>注：表中坐标以厂界（106.345850,35.495061）为坐标原点，正东向为X轴正方向，正北向为Y轴正方向。</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由预测结果可见，本项目投入运行后噪声源在厂界四周的昼间、夜间贡献值均可满足《工业企业厂界环境噪声排放标准》（GB12348-2008）中</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类标准限值要求，</w:t>
            </w:r>
            <w:r>
              <w:rPr>
                <w:rFonts w:hint="default" w:ascii="Times New Roman" w:hAnsi="Times New Roman" w:eastAsia="仿宋_GB2312" w:cs="Times New Roman"/>
                <w:color w:val="000000" w:themeColor="text1"/>
                <w:kern w:val="0"/>
                <w:sz w:val="24"/>
                <w:highlight w:val="none"/>
                <w:shd w:val="clear" w:color="auto" w:fill="auto"/>
                <w:lang w:val="en-US" w:eastAsia="zh-CN"/>
                <w14:textFill>
                  <w14:solidFill>
                    <w14:schemeClr w14:val="tx1"/>
                  </w14:solidFill>
                </w14:textFill>
              </w:rPr>
              <w:t>并且本项目声环境影响评价范围内不存在敏感点，</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因此本项目建成后产生的噪声对周围声环境的影响</w:t>
            </w:r>
            <w:r>
              <w:rPr>
                <w:rFonts w:hint="default" w:ascii="Times New Roman" w:hAnsi="Times New Roman" w:cs="Times New Roman"/>
                <w:color w:val="000000" w:themeColor="text1"/>
                <w:sz w:val="24"/>
                <w:szCs w:val="24"/>
                <w:highlight w:val="none"/>
                <w:lang w:eastAsia="zh-CN"/>
                <w14:textFill>
                  <w14:solidFill>
                    <w14:schemeClr w14:val="tx1"/>
                  </w14:solidFill>
                </w14:textFill>
              </w:rPr>
              <w:t>可接受。</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b/>
                <w:bCs/>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⑶监测要求</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0"/>
                <w:kern w:val="2"/>
                <w:sz w:val="24"/>
                <w:szCs w:val="24"/>
                <w:highlight w:val="none"/>
                <w:lang w:val="en-US" w:eastAsia="zh-CN" w:bidi="ar-SA"/>
                <w14:textFill>
                  <w14:solidFill>
                    <w14:schemeClr w14:val="tx1"/>
                  </w14:solidFill>
                </w14:textFill>
              </w:rPr>
              <w:t>本项目厂界噪声监测见</w:t>
            </w:r>
            <w:r>
              <w:rPr>
                <w:rFonts w:hint="default" w:ascii="Times New Roman" w:hAnsi="Times New Roman" w:cs="Times New Roman"/>
                <w:color w:val="000000" w:themeColor="text1"/>
                <w:highlight w:val="none"/>
                <w:lang w:val="en-US" w:eastAsia="zh-CN"/>
                <w14:textFill>
                  <w14:solidFill>
                    <w14:schemeClr w14:val="tx1"/>
                  </w14:solidFill>
                </w14:textFill>
              </w:rPr>
              <w:t>表4-1</w:t>
            </w:r>
            <w:r>
              <w:rPr>
                <w:rFonts w:hint="eastAsia"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表</w:t>
            </w:r>
            <w:r>
              <w:rPr>
                <w:rFonts w:hint="default"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4-1</w:t>
            </w:r>
            <w:r>
              <w:rPr>
                <w:rFonts w:hint="eastAsia"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6</w:t>
            </w: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本</w:t>
            </w:r>
            <w:r>
              <w:rPr>
                <w:rFonts w:hint="default" w:ascii="Times New Roman" w:hAnsi="Times New Roman" w:cs="Times New Roman"/>
                <w:b/>
                <w:color w:val="000000" w:themeColor="text1"/>
                <w:kern w:val="2"/>
                <w:sz w:val="24"/>
                <w:szCs w:val="24"/>
                <w:highlight w:val="none"/>
                <w:lang w:val="en-US" w:eastAsia="zh-CN" w:bidi="ar-SA"/>
                <w14:textFill>
                  <w14:solidFill>
                    <w14:schemeClr w14:val="tx1"/>
                  </w14:solidFill>
                </w14:textFill>
              </w:rPr>
              <w:t>项目</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噪声监测内容及监测计划</w:t>
            </w:r>
          </w:p>
          <w:tbl>
            <w:tblPr>
              <w:tblStyle w:val="38"/>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231"/>
              <w:gridCol w:w="1791"/>
              <w:gridCol w:w="1266"/>
              <w:gridCol w:w="33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tcBorders>
                    <w:tl2br w:val="nil"/>
                    <w:tr2bl w:val="nil"/>
                  </w:tcBorders>
                  <w:vAlign w:val="center"/>
                </w:tcPr>
                <w:p>
                  <w:pPr>
                    <w:pStyle w:val="9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项目</w:t>
                  </w:r>
                </w:p>
              </w:tc>
              <w:tc>
                <w:tcPr>
                  <w:tcW w:w="733" w:type="pct"/>
                  <w:tcBorders>
                    <w:tl2br w:val="nil"/>
                    <w:tr2bl w:val="nil"/>
                  </w:tcBorders>
                  <w:vAlign w:val="center"/>
                </w:tcPr>
                <w:p>
                  <w:pPr>
                    <w:pStyle w:val="9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监测项目</w:t>
                  </w:r>
                </w:p>
              </w:tc>
              <w:tc>
                <w:tcPr>
                  <w:tcW w:w="1067" w:type="pct"/>
                  <w:tcBorders>
                    <w:tl2br w:val="nil"/>
                    <w:tr2bl w:val="nil"/>
                  </w:tcBorders>
                  <w:vAlign w:val="center"/>
                </w:tcPr>
                <w:p>
                  <w:pPr>
                    <w:pStyle w:val="5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监测点</w:t>
                  </w:r>
                </w:p>
              </w:tc>
              <w:tc>
                <w:tcPr>
                  <w:tcW w:w="754" w:type="pct"/>
                  <w:tcBorders>
                    <w:tl2br w:val="nil"/>
                    <w:tr2bl w:val="nil"/>
                  </w:tcBorders>
                  <w:vAlign w:val="center"/>
                </w:tcPr>
                <w:p>
                  <w:pPr>
                    <w:pStyle w:val="5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监测频次</w:t>
                  </w:r>
                </w:p>
              </w:tc>
              <w:tc>
                <w:tcPr>
                  <w:tcW w:w="1997" w:type="pct"/>
                  <w:tcBorders>
                    <w:tl2br w:val="nil"/>
                    <w:tr2bl w:val="nil"/>
                  </w:tcBorders>
                  <w:vAlign w:val="center"/>
                </w:tcPr>
                <w:p>
                  <w:pPr>
                    <w:pStyle w:val="5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 w:type="pct"/>
                  <w:tcBorders>
                    <w:tl2br w:val="nil"/>
                    <w:tr2bl w:val="nil"/>
                  </w:tcBorders>
                  <w:vAlign w:val="center"/>
                </w:tcPr>
                <w:p>
                  <w:pPr>
                    <w:pStyle w:val="9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噪声</w:t>
                  </w:r>
                </w:p>
              </w:tc>
              <w:tc>
                <w:tcPr>
                  <w:tcW w:w="733" w:type="pct"/>
                  <w:tcBorders>
                    <w:tl2br w:val="nil"/>
                    <w:tr2bl w:val="nil"/>
                  </w:tcBorders>
                  <w:vAlign w:val="center"/>
                </w:tcPr>
                <w:p>
                  <w:pPr>
                    <w:pStyle w:val="9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Leq(A)</w:t>
                  </w:r>
                </w:p>
              </w:tc>
              <w:tc>
                <w:tcPr>
                  <w:tcW w:w="1067" w:type="pct"/>
                  <w:tcBorders>
                    <w:tl2br w:val="nil"/>
                    <w:tr2bl w:val="nil"/>
                  </w:tcBorders>
                  <w:vAlign w:val="center"/>
                </w:tcPr>
                <w:p>
                  <w:pPr>
                    <w:pStyle w:val="5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厂界外1m处</w:t>
                  </w:r>
                </w:p>
              </w:tc>
              <w:tc>
                <w:tcPr>
                  <w:tcW w:w="754" w:type="pct"/>
                  <w:tcBorders>
                    <w:tl2br w:val="nil"/>
                    <w:tr2bl w:val="nil"/>
                  </w:tcBorders>
                  <w:vAlign w:val="center"/>
                </w:tcPr>
                <w:p>
                  <w:pPr>
                    <w:pStyle w:val="56"/>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1次/季度</w:t>
                  </w:r>
                </w:p>
              </w:tc>
              <w:tc>
                <w:tcPr>
                  <w:tcW w:w="1997" w:type="pct"/>
                  <w:tcBorders>
                    <w:tl2br w:val="nil"/>
                    <w:tr2bl w:val="nil"/>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《工业企业厂界环境噪声排放标准》（GB12348-2008）中</w:t>
                  </w:r>
                  <w:r>
                    <w:rPr>
                      <w:rFonts w:hint="eastAsia"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类标准。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textAlignment w:val="auto"/>
              <w:rPr>
                <w:rFonts w:hint="default" w:ascii="Times New Roman" w:hAnsi="Times New Roman" w:eastAsia="仿宋_GB2312" w:cs="Times New Roman"/>
                <w:b/>
                <w:bCs/>
                <w:color w:val="auto"/>
                <w:kern w:val="0"/>
                <w:sz w:val="24"/>
                <w:szCs w:val="24"/>
                <w:highlight w:val="none"/>
                <w:lang w:val="en-US" w:eastAsia="zh-CN"/>
              </w:rPr>
            </w:pPr>
            <w:r>
              <w:rPr>
                <w:rFonts w:hint="default" w:ascii="Times New Roman" w:hAnsi="Times New Roman" w:eastAsia="仿宋_GB2312" w:cs="Times New Roman"/>
                <w:b/>
                <w:bCs/>
                <w:color w:val="auto"/>
                <w:kern w:val="0"/>
                <w:sz w:val="24"/>
                <w:szCs w:val="24"/>
                <w:highlight w:val="none"/>
                <w:lang w:val="en-US" w:eastAsia="zh-CN"/>
              </w:rPr>
              <w:t>4.固体废物</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⑴固废产生情况</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根据《固体废物鉴别标准通则》（GB 34330-20</w:t>
            </w:r>
            <w:r>
              <w:rPr>
                <w:rFonts w:hint="eastAsia" w:cs="Times New Roman"/>
                <w:color w:val="000000" w:themeColor="text1"/>
                <w:highlight w:val="none"/>
                <w:lang w:val="en-US" w:eastAsia="zh-CN"/>
                <w14:textFill>
                  <w14:solidFill>
                    <w14:schemeClr w14:val="tx1"/>
                  </w14:solidFill>
                </w14:textFill>
              </w:rPr>
              <w:t>25代替</w:t>
            </w:r>
            <w:r>
              <w:rPr>
                <w:rFonts w:hint="default" w:ascii="Times New Roman" w:hAnsi="Times New Roman" w:cs="Times New Roman"/>
                <w:color w:val="000000" w:themeColor="text1"/>
                <w:highlight w:val="none"/>
                <w:lang w:val="en-US" w:eastAsia="zh-CN"/>
                <w14:textFill>
                  <w14:solidFill>
                    <w14:schemeClr w14:val="tx1"/>
                  </w14:solidFill>
                </w14:textFill>
              </w:rPr>
              <w:t>GB 34330-20</w:t>
            </w:r>
            <w:r>
              <w:rPr>
                <w:rFonts w:hint="eastAsia" w:cs="Times New Roman"/>
                <w:color w:val="000000" w:themeColor="text1"/>
                <w:highlight w:val="none"/>
                <w:lang w:val="en-US" w:eastAsia="zh-CN"/>
                <w14:textFill>
                  <w14:solidFill>
                    <w14:schemeClr w14:val="tx1"/>
                  </w14:solidFill>
                </w14:textFill>
              </w:rPr>
              <w:t>17</w:t>
            </w:r>
            <w:r>
              <w:rPr>
                <w:rFonts w:hint="default" w:ascii="Times New Roman" w:hAnsi="Times New Roman" w:cs="Times New Roman"/>
                <w:color w:val="000000" w:themeColor="text1"/>
                <w:highlight w:val="none"/>
                <w:lang w:val="en-US" w:eastAsia="zh-CN"/>
                <w14:textFill>
                  <w14:solidFill>
                    <w14:schemeClr w14:val="tx1"/>
                  </w14:solidFill>
                </w14:textFill>
              </w:rPr>
              <w:t>）、《国家危险废物名录》（2025年版）等相关文件，对本项目产生的固体废物进行判定，并按照《固体废物分类与代码目录》（公告2024年第4号）、《国家危险废物名录》（2025年版）的要求确定一般固废和危废的代码。本项目产生的固体废物主要为</w:t>
            </w:r>
            <w:r>
              <w:rPr>
                <w:rFonts w:hint="default" w:ascii="Times New Roman" w:hAnsi="Times New Roman" w:cs="Times New Roman"/>
                <w:color w:val="000000" w:themeColor="text1"/>
                <w:szCs w:val="22"/>
                <w:highlight w:val="none"/>
                <w:lang w:val="en-US" w:eastAsia="zh-CN"/>
                <w14:textFill>
                  <w14:solidFill>
                    <w14:schemeClr w14:val="tx1"/>
                  </w14:solidFill>
                </w14:textFill>
              </w:rPr>
              <w:t>建筑固废中其他组成</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szCs w:val="22"/>
                <w:highlight w:val="none"/>
                <w:lang w:val="en-US" w:eastAsia="zh-CN"/>
                <w14:textFill>
                  <w14:solidFill>
                    <w14:schemeClr w14:val="tx1"/>
                  </w14:solidFill>
                </w14:textFill>
              </w:rPr>
              <w:t>建筑固废中的品质较差骨料和渣土类、生产线废水沉淀泥浆</w:t>
            </w:r>
            <w:r>
              <w:rPr>
                <w:rFonts w:hint="eastAsia" w:cs="Times New Roman"/>
                <w:color w:val="000000" w:themeColor="text1"/>
                <w:szCs w:val="22"/>
                <w:highlight w:val="none"/>
                <w:lang w:val="en-US" w:eastAsia="zh-CN"/>
                <w14:textFill>
                  <w14:solidFill>
                    <w14:schemeClr w14:val="tx1"/>
                  </w14:solidFill>
                </w14:textFill>
              </w:rPr>
              <w:t>、</w:t>
            </w:r>
            <w:r>
              <w:rPr>
                <w:rFonts w:hint="default" w:ascii="Times New Roman" w:hAnsi="Times New Roman" w:cs="Times New Roman"/>
                <w:color w:val="000000" w:themeColor="text1"/>
                <w:szCs w:val="22"/>
                <w:highlight w:val="none"/>
                <w:lang w:val="en-US" w:eastAsia="zh-CN"/>
                <w14:textFill>
                  <w14:solidFill>
                    <w14:schemeClr w14:val="tx1"/>
                  </w14:solidFill>
                </w14:textFill>
              </w:rPr>
              <w:t>各类型收尘器集灰系统、其他各类废料</w:t>
            </w:r>
            <w:r>
              <w:rPr>
                <w:rFonts w:hint="eastAsia" w:cs="Times New Roman"/>
                <w:color w:val="000000" w:themeColor="text1"/>
                <w:szCs w:val="22"/>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生活垃圾、废润滑油</w:t>
            </w:r>
            <w:r>
              <w:rPr>
                <w:rFonts w:hint="eastAsia" w:cs="Times New Roman"/>
                <w:color w:val="000000" w:themeColor="text1"/>
                <w:highlight w:val="none"/>
                <w:lang w:val="en-US" w:eastAsia="zh-CN"/>
                <w14:textFill>
                  <w14:solidFill>
                    <w14:schemeClr w14:val="tx1"/>
                  </w14:solidFill>
                </w14:textFill>
              </w:rPr>
              <w:t>等</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①建筑固废中其他组成：本项目设计中主要利用建筑固废中混凝土、砂石等组分，其他组分如沥青</w:t>
            </w:r>
            <w:r>
              <w:rPr>
                <w:rFonts w:hint="eastAsia" w:cs="Times New Roman"/>
                <w:color w:val="000000" w:themeColor="text1"/>
                <w:highlight w:val="none"/>
                <w:lang w:val="en-US" w:eastAsia="zh-CN"/>
                <w14:textFill>
                  <w14:solidFill>
                    <w14:schemeClr w14:val="tx1"/>
                  </w14:solidFill>
                </w14:textFill>
              </w:rPr>
              <w:t>（0.225万t）</w:t>
            </w:r>
            <w:r>
              <w:rPr>
                <w:rFonts w:hint="eastAsia" w:ascii="Times New Roman" w:hAnsi="Times New Roman" w:cs="Times New Roman"/>
                <w:color w:val="000000" w:themeColor="text1"/>
                <w:highlight w:val="none"/>
                <w:lang w:val="en-US" w:eastAsia="zh-CN"/>
                <w14:textFill>
                  <w14:solidFill>
                    <w14:schemeClr w14:val="tx1"/>
                  </w14:solidFill>
                </w14:textFill>
              </w:rPr>
              <w:t>、玻璃</w:t>
            </w:r>
            <w:r>
              <w:rPr>
                <w:rFonts w:hint="eastAsia" w:cs="Times New Roman"/>
                <w:color w:val="000000" w:themeColor="text1"/>
                <w:highlight w:val="none"/>
                <w:lang w:val="en-US" w:eastAsia="zh-CN"/>
                <w14:textFill>
                  <w14:solidFill>
                    <w14:schemeClr w14:val="tx1"/>
                  </w14:solidFill>
                </w14:textFill>
              </w:rPr>
              <w:t>（0.03万t）</w:t>
            </w:r>
            <w:r>
              <w:rPr>
                <w:rFonts w:hint="eastAsia" w:ascii="Times New Roman" w:hAnsi="Times New Roman" w:cs="Times New Roman"/>
                <w:color w:val="000000" w:themeColor="text1"/>
                <w:highlight w:val="none"/>
                <w:lang w:val="en-US" w:eastAsia="zh-CN"/>
                <w14:textFill>
                  <w14:solidFill>
                    <w14:schemeClr w14:val="tx1"/>
                  </w14:solidFill>
                </w14:textFill>
              </w:rPr>
              <w:t>、金属</w:t>
            </w:r>
            <w:r>
              <w:rPr>
                <w:rFonts w:hint="eastAsia" w:cs="Times New Roman"/>
                <w:color w:val="000000" w:themeColor="text1"/>
                <w:highlight w:val="none"/>
                <w:lang w:val="en-US" w:eastAsia="zh-CN"/>
                <w14:textFill>
                  <w14:solidFill>
                    <w14:schemeClr w14:val="tx1"/>
                  </w14:solidFill>
                </w14:textFill>
              </w:rPr>
              <w:t>（0.525万t）</w:t>
            </w:r>
            <w:r>
              <w:rPr>
                <w:rFonts w:hint="eastAsia" w:ascii="Times New Roman" w:hAnsi="Times New Roman" w:cs="Times New Roman"/>
                <w:color w:val="000000" w:themeColor="text1"/>
                <w:highlight w:val="none"/>
                <w:lang w:val="en-US" w:eastAsia="zh-CN"/>
                <w14:textFill>
                  <w14:solidFill>
                    <w14:schemeClr w14:val="tx1"/>
                  </w14:solidFill>
                </w14:textFill>
              </w:rPr>
              <w:t>、塑料</w:t>
            </w:r>
            <w:r>
              <w:rPr>
                <w:rFonts w:hint="eastAsia" w:cs="Times New Roman"/>
                <w:color w:val="000000" w:themeColor="text1"/>
                <w:highlight w:val="none"/>
                <w:lang w:val="en-US" w:eastAsia="zh-CN"/>
                <w14:textFill>
                  <w14:solidFill>
                    <w14:schemeClr w14:val="tx1"/>
                  </w14:solidFill>
                </w14:textFill>
              </w:rPr>
              <w:t>（0.09万t）</w:t>
            </w:r>
            <w:r>
              <w:rPr>
                <w:rFonts w:hint="eastAsia" w:ascii="Times New Roman" w:hAnsi="Times New Roman" w:cs="Times New Roman"/>
                <w:color w:val="000000" w:themeColor="text1"/>
                <w:highlight w:val="none"/>
                <w:lang w:val="en-US" w:eastAsia="zh-CN"/>
                <w14:textFill>
                  <w14:solidFill>
                    <w14:schemeClr w14:val="tx1"/>
                  </w14:solidFill>
                </w14:textFill>
              </w:rPr>
              <w:t>、竹木料</w:t>
            </w:r>
            <w:r>
              <w:rPr>
                <w:rFonts w:hint="eastAsia" w:cs="Times New Roman"/>
                <w:color w:val="000000" w:themeColor="text1"/>
                <w:highlight w:val="none"/>
                <w:lang w:val="en-US" w:eastAsia="zh-CN"/>
                <w14:textFill>
                  <w14:solidFill>
                    <w14:schemeClr w14:val="tx1"/>
                  </w14:solidFill>
                </w14:textFill>
              </w:rPr>
              <w:t>（1.125万t）</w:t>
            </w:r>
            <w:r>
              <w:rPr>
                <w:rFonts w:hint="eastAsia" w:ascii="Times New Roman" w:hAnsi="Times New Roman" w:cs="Times New Roman"/>
                <w:color w:val="000000" w:themeColor="text1"/>
                <w:highlight w:val="none"/>
                <w:lang w:val="en-US" w:eastAsia="zh-CN"/>
                <w14:textFill>
                  <w14:solidFill>
                    <w14:schemeClr w14:val="tx1"/>
                  </w14:solidFill>
                </w14:textFill>
              </w:rPr>
              <w:t>等在分拣、风选、除铁等过程中分离出来，统一收集，采用合理地利用方案转交给其他项目处置，不会对外界环境造成污染，产生量</w:t>
            </w:r>
            <w:r>
              <w:rPr>
                <w:rFonts w:hint="eastAsia" w:cs="Times New Roman"/>
                <w:color w:val="000000" w:themeColor="text1"/>
                <w:highlight w:val="none"/>
                <w:lang w:val="en-US" w:eastAsia="zh-CN"/>
                <w14:textFill>
                  <w14:solidFill>
                    <w14:schemeClr w14:val="tx1"/>
                  </w14:solidFill>
                </w14:textFill>
              </w:rPr>
              <w:t>共</w:t>
            </w:r>
            <w:r>
              <w:rPr>
                <w:rFonts w:hint="eastAsia" w:ascii="Times New Roman" w:hAnsi="Times New Roman" w:cs="Times New Roman"/>
                <w:color w:val="000000" w:themeColor="text1"/>
                <w:highlight w:val="none"/>
                <w:lang w:val="en-US" w:eastAsia="zh-CN"/>
                <w14:textFill>
                  <w14:solidFill>
                    <w14:schemeClr w14:val="tx1"/>
                  </w14:solidFill>
                </w14:textFill>
              </w:rPr>
              <w:t>1.995万t/a。</w:t>
            </w:r>
          </w:p>
          <w:p>
            <w:pPr>
              <w:pStyle w:val="64"/>
              <w:keepNext w:val="0"/>
              <w:keepLines w:val="0"/>
              <w:pageBreakBefore w:val="0"/>
              <w:numPr>
                <w:ilvl w:val="0"/>
                <w:numId w:val="4"/>
              </w:numPr>
              <w:suppressLineNumbers w:val="0"/>
              <w:kinsoku/>
              <w:wordWrap/>
              <w:topLinePunct w:val="0"/>
              <w:bidi w:val="0"/>
              <w:adjustRightInd w:val="0"/>
              <w:snapToGrid w:val="0"/>
              <w:spacing w:before="0" w:beforeAutospacing="0" w:after="0" w:afterAutospacing="0"/>
              <w:ind w:left="0" w:right="0" w:firstLine="480" w:firstLineChars="20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沥青：</w:t>
            </w:r>
            <w:r>
              <w:rPr>
                <w:rFonts w:hint="eastAsia"/>
                <w:color w:val="000000" w:themeColor="text1"/>
                <w:highlight w:val="none"/>
                <w14:textFill>
                  <w14:solidFill>
                    <w14:schemeClr w14:val="tx1"/>
                  </w14:solidFill>
                </w14:textFill>
              </w:rPr>
              <w:t>本项目通过</w:t>
            </w:r>
            <w:r>
              <w:rPr>
                <w:rFonts w:hint="eastAsia" w:ascii="Times New Roman" w:hAnsi="Times New Roman" w:cs="Times New Roman"/>
                <w:color w:val="000000" w:themeColor="text1"/>
                <w:highlight w:val="none"/>
                <w:lang w:val="en-US" w:eastAsia="zh-CN"/>
                <w14:textFill>
                  <w14:solidFill>
                    <w14:schemeClr w14:val="tx1"/>
                  </w14:solidFill>
                </w14:textFill>
              </w:rPr>
              <w:t>分拣</w:t>
            </w:r>
            <w:r>
              <w:rPr>
                <w:rFonts w:hint="eastAsia"/>
                <w:color w:val="000000" w:themeColor="text1"/>
                <w:highlight w:val="none"/>
                <w14:textFill>
                  <w14:solidFill>
                    <w14:schemeClr w14:val="tx1"/>
                  </w14:solidFill>
                </w14:textFill>
              </w:rPr>
              <w:t>产生的</w:t>
            </w:r>
            <w:r>
              <w:rPr>
                <w:rFonts w:hint="eastAsia"/>
                <w:color w:val="000000" w:themeColor="text1"/>
                <w:highlight w:val="none"/>
                <w:lang w:val="en-US" w:eastAsia="zh-CN"/>
                <w14:textFill>
                  <w14:solidFill>
                    <w14:schemeClr w14:val="tx1"/>
                  </w14:solidFill>
                </w14:textFill>
              </w:rPr>
              <w:t>沥青</w:t>
            </w:r>
            <w:r>
              <w:rPr>
                <w:rFonts w:hint="eastAsia"/>
                <w:color w:val="000000" w:themeColor="text1"/>
                <w:highlight w:val="none"/>
                <w:lang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.225万</w:t>
            </w:r>
            <w:r>
              <w:rPr>
                <w:rFonts w:hint="eastAsia"/>
                <w:color w:val="000000" w:themeColor="text1"/>
                <w:highlight w:val="none"/>
                <w14:textFill>
                  <w14:solidFill>
                    <w14:schemeClr w14:val="tx1"/>
                  </w14:solidFill>
                </w14:textFill>
              </w:rPr>
              <w:t>t/a，不暂存，外售</w:t>
            </w:r>
            <w:r>
              <w:rPr>
                <w:rFonts w:hint="eastAsia" w:cs="Times New Roman"/>
                <w:color w:val="000000" w:themeColor="text1"/>
                <w:highlight w:val="none"/>
                <w:lang w:val="en-US" w:eastAsia="zh-CN"/>
                <w14:textFill>
                  <w14:solidFill>
                    <w14:schemeClr w14:val="tx1"/>
                  </w14:solidFill>
                </w14:textFill>
              </w:rPr>
              <w:t>沥青</w:t>
            </w:r>
            <w:r>
              <w:rPr>
                <w:rFonts w:hint="eastAsia"/>
                <w:color w:val="000000" w:themeColor="text1"/>
                <w:highlight w:val="none"/>
                <w14:textFill>
                  <w14:solidFill>
                    <w14:schemeClr w14:val="tx1"/>
                  </w14:solidFill>
                </w14:textFill>
              </w:rPr>
              <w:t>厂。</w:t>
            </w:r>
          </w:p>
          <w:p>
            <w:pPr>
              <w:pStyle w:val="64"/>
              <w:keepNext w:val="0"/>
              <w:keepLines w:val="0"/>
              <w:pageBreakBefore w:val="0"/>
              <w:numPr>
                <w:ilvl w:val="0"/>
                <w:numId w:val="4"/>
              </w:numPr>
              <w:suppressLineNumbers w:val="0"/>
              <w:kinsoku/>
              <w:wordWrap/>
              <w:topLinePunct w:val="0"/>
              <w:bidi w:val="0"/>
              <w:adjustRightInd w:val="0"/>
              <w:snapToGrid w:val="0"/>
              <w:spacing w:before="0" w:beforeAutospacing="0" w:after="0" w:afterAutospacing="0"/>
              <w:ind w:left="0" w:right="0" w:firstLine="480" w:firstLineChars="20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玻璃：</w:t>
            </w:r>
            <w:r>
              <w:rPr>
                <w:rFonts w:hint="eastAsia"/>
                <w:color w:val="000000" w:themeColor="text1"/>
                <w:highlight w:val="none"/>
                <w14:textFill>
                  <w14:solidFill>
                    <w14:schemeClr w14:val="tx1"/>
                  </w14:solidFill>
                </w14:textFill>
              </w:rPr>
              <w:t>本项目通过</w:t>
            </w:r>
            <w:r>
              <w:rPr>
                <w:rFonts w:hint="eastAsia" w:ascii="Times New Roman" w:hAnsi="Times New Roman" w:cs="Times New Roman"/>
                <w:color w:val="000000" w:themeColor="text1"/>
                <w:highlight w:val="none"/>
                <w:lang w:val="en-US" w:eastAsia="zh-CN"/>
                <w14:textFill>
                  <w14:solidFill>
                    <w14:schemeClr w14:val="tx1"/>
                  </w14:solidFill>
                </w14:textFill>
              </w:rPr>
              <w:t>分拣</w:t>
            </w:r>
            <w:r>
              <w:rPr>
                <w:rFonts w:hint="eastAsia"/>
                <w:color w:val="000000" w:themeColor="text1"/>
                <w:highlight w:val="none"/>
                <w14:textFill>
                  <w14:solidFill>
                    <w14:schemeClr w14:val="tx1"/>
                  </w14:solidFill>
                </w14:textFill>
              </w:rPr>
              <w:t>产生的</w:t>
            </w:r>
            <w:r>
              <w:rPr>
                <w:rFonts w:hint="eastAsia" w:cs="Times New Roman"/>
                <w:color w:val="000000" w:themeColor="text1"/>
                <w:highlight w:val="none"/>
                <w:lang w:val="en-US" w:eastAsia="zh-CN"/>
                <w14:textFill>
                  <w14:solidFill>
                    <w14:schemeClr w14:val="tx1"/>
                  </w14:solidFill>
                </w14:textFill>
              </w:rPr>
              <w:t>玻璃</w:t>
            </w:r>
            <w:r>
              <w:rPr>
                <w:rFonts w:hint="eastAsia"/>
                <w:color w:val="000000" w:themeColor="text1"/>
                <w:highlight w:val="none"/>
                <w:lang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.03万</w:t>
            </w:r>
            <w:r>
              <w:rPr>
                <w:rFonts w:hint="eastAsia"/>
                <w:color w:val="000000" w:themeColor="text1"/>
                <w:highlight w:val="none"/>
                <w14:textFill>
                  <w14:solidFill>
                    <w14:schemeClr w14:val="tx1"/>
                  </w14:solidFill>
                </w14:textFill>
              </w:rPr>
              <w:t>t/a，不暂存，外售</w:t>
            </w:r>
            <w:r>
              <w:rPr>
                <w:rFonts w:hint="eastAsia" w:cs="Times New Roman"/>
                <w:color w:val="000000" w:themeColor="text1"/>
                <w:highlight w:val="none"/>
                <w:lang w:val="en-US" w:eastAsia="zh-CN"/>
                <w14:textFill>
                  <w14:solidFill>
                    <w14:schemeClr w14:val="tx1"/>
                  </w14:solidFill>
                </w14:textFill>
              </w:rPr>
              <w:t>玻璃</w:t>
            </w:r>
            <w:r>
              <w:rPr>
                <w:rFonts w:hint="eastAsia"/>
                <w:color w:val="000000" w:themeColor="text1"/>
                <w:highlight w:val="none"/>
                <w14:textFill>
                  <w14:solidFill>
                    <w14:schemeClr w14:val="tx1"/>
                  </w14:solidFill>
                </w14:textFill>
              </w:rPr>
              <w:t>厂。</w:t>
            </w:r>
          </w:p>
          <w:p>
            <w:pPr>
              <w:pStyle w:val="64"/>
              <w:keepNext w:val="0"/>
              <w:keepLines w:val="0"/>
              <w:pageBreakBefore w:val="0"/>
              <w:numPr>
                <w:ilvl w:val="0"/>
                <w:numId w:val="4"/>
              </w:numPr>
              <w:suppressLineNumbers w:val="0"/>
              <w:kinsoku/>
              <w:wordWrap/>
              <w:topLinePunct w:val="0"/>
              <w:bidi w:val="0"/>
              <w:adjustRightInd w:val="0"/>
              <w:snapToGrid w:val="0"/>
              <w:spacing w:before="0" w:beforeAutospacing="0" w:after="0" w:afterAutospacing="0"/>
              <w:ind w:left="0" w:right="0" w:firstLine="480" w:firstLineChars="200"/>
              <w:rPr>
                <w:rFonts w:hint="default"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金属</w:t>
            </w:r>
            <w:r>
              <w:rPr>
                <w:rFonts w:hint="eastAsia" w:cs="Times New Roman"/>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本项目通过</w:t>
            </w:r>
            <w:r>
              <w:rPr>
                <w:rFonts w:hint="eastAsia"/>
                <w:color w:val="000000" w:themeColor="text1"/>
                <w:highlight w:val="none"/>
                <w:lang w:val="en-US" w:eastAsia="zh-CN"/>
                <w14:textFill>
                  <w14:solidFill>
                    <w14:schemeClr w14:val="tx1"/>
                  </w14:solidFill>
                </w14:textFill>
              </w:rPr>
              <w:t>除铁</w:t>
            </w:r>
            <w:r>
              <w:rPr>
                <w:rFonts w:hint="eastAsia"/>
                <w:color w:val="000000" w:themeColor="text1"/>
                <w:highlight w:val="none"/>
                <w14:textFill>
                  <w14:solidFill>
                    <w14:schemeClr w14:val="tx1"/>
                  </w14:solidFill>
                </w14:textFill>
              </w:rPr>
              <w:t>产生的</w:t>
            </w:r>
            <w:r>
              <w:rPr>
                <w:rFonts w:hint="eastAsia" w:ascii="Times New Roman" w:hAnsi="Times New Roman" w:cs="Times New Roman"/>
                <w:color w:val="000000" w:themeColor="text1"/>
                <w:highlight w:val="none"/>
                <w:lang w:val="en-US" w:eastAsia="zh-CN"/>
                <w14:textFill>
                  <w14:solidFill>
                    <w14:schemeClr w14:val="tx1"/>
                  </w14:solidFill>
                </w14:textFill>
              </w:rPr>
              <w:t>金属</w:t>
            </w:r>
            <w:r>
              <w:rPr>
                <w:rFonts w:hint="eastAsia"/>
                <w:color w:val="000000" w:themeColor="text1"/>
                <w:highlight w:val="none"/>
                <w:lang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.525万</w:t>
            </w:r>
            <w:r>
              <w:rPr>
                <w:rFonts w:hint="eastAsia"/>
                <w:color w:val="000000" w:themeColor="text1"/>
                <w:highlight w:val="none"/>
                <w14:textFill>
                  <w14:solidFill>
                    <w14:schemeClr w14:val="tx1"/>
                  </w14:solidFill>
                </w14:textFill>
              </w:rPr>
              <w:t>t/a，不暂存，</w:t>
            </w:r>
            <w:r>
              <w:rPr>
                <w:rFonts w:hint="default" w:cs="Times New Roman"/>
                <w:color w:val="000000" w:themeColor="text1"/>
                <w:sz w:val="24"/>
                <w:szCs w:val="24"/>
                <w:highlight w:val="none"/>
                <w:lang w:val="en-US" w:eastAsia="zh-CN"/>
                <w14:textFill>
                  <w14:solidFill>
                    <w14:schemeClr w14:val="tx1"/>
                  </w14:solidFill>
                </w14:textFill>
              </w:rPr>
              <w:t>外售废品回收站</w:t>
            </w:r>
            <w:r>
              <w:rPr>
                <w:rFonts w:hint="eastAsia"/>
                <w:color w:val="000000" w:themeColor="text1"/>
                <w:highlight w:val="none"/>
                <w14:textFill>
                  <w14:solidFill>
                    <w14:schemeClr w14:val="tx1"/>
                  </w14:solidFill>
                </w14:textFill>
              </w:rPr>
              <w:t>。</w:t>
            </w:r>
          </w:p>
          <w:p>
            <w:pPr>
              <w:pStyle w:val="64"/>
              <w:keepNext w:val="0"/>
              <w:keepLines w:val="0"/>
              <w:pageBreakBefore w:val="0"/>
              <w:numPr>
                <w:ilvl w:val="0"/>
                <w:numId w:val="4"/>
              </w:numPr>
              <w:suppressLineNumbers w:val="0"/>
              <w:kinsoku/>
              <w:wordWrap/>
              <w:topLinePunct w:val="0"/>
              <w:bidi w:val="0"/>
              <w:adjustRightInd w:val="0"/>
              <w:snapToGrid w:val="0"/>
              <w:spacing w:before="0" w:beforeAutospacing="0" w:after="0" w:afterAutospacing="0"/>
              <w:ind w:left="0" w:right="0" w:firstLine="480" w:firstLineChars="200"/>
              <w:rPr>
                <w:rFonts w:hint="default"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塑料</w:t>
            </w:r>
            <w:r>
              <w:rPr>
                <w:rFonts w:hint="eastAsia" w:cs="Times New Roman"/>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本项目通过</w:t>
            </w:r>
            <w:r>
              <w:rPr>
                <w:rFonts w:hint="eastAsia" w:cs="Times New Roman"/>
                <w:color w:val="000000" w:themeColor="text1"/>
                <w:highlight w:val="none"/>
                <w:lang w:val="en-US" w:eastAsia="zh-CN"/>
                <w14:textFill>
                  <w14:solidFill>
                    <w14:schemeClr w14:val="tx1"/>
                  </w14:solidFill>
                </w14:textFill>
              </w:rPr>
              <w:t>风选</w:t>
            </w:r>
            <w:r>
              <w:rPr>
                <w:rFonts w:hint="eastAsia"/>
                <w:color w:val="000000" w:themeColor="text1"/>
                <w:highlight w:val="none"/>
                <w14:textFill>
                  <w14:solidFill>
                    <w14:schemeClr w14:val="tx1"/>
                  </w14:solidFill>
                </w14:textFill>
              </w:rPr>
              <w:t>产生的</w:t>
            </w:r>
            <w:r>
              <w:rPr>
                <w:rFonts w:hint="eastAsia" w:ascii="Times New Roman" w:hAnsi="Times New Roman" w:cs="Times New Roman"/>
                <w:color w:val="000000" w:themeColor="text1"/>
                <w:highlight w:val="none"/>
                <w:lang w:val="en-US" w:eastAsia="zh-CN"/>
                <w14:textFill>
                  <w14:solidFill>
                    <w14:schemeClr w14:val="tx1"/>
                  </w14:solidFill>
                </w14:textFill>
              </w:rPr>
              <w:t>塑料</w:t>
            </w:r>
            <w:r>
              <w:rPr>
                <w:rFonts w:hint="eastAsia"/>
                <w:color w:val="000000" w:themeColor="text1"/>
                <w:highlight w:val="none"/>
                <w:lang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.09万</w:t>
            </w:r>
            <w:r>
              <w:rPr>
                <w:rFonts w:hint="eastAsia"/>
                <w:color w:val="000000" w:themeColor="text1"/>
                <w:highlight w:val="none"/>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不暂存，外售废塑料加工厂。</w:t>
            </w:r>
          </w:p>
          <w:p>
            <w:pPr>
              <w:pStyle w:val="64"/>
              <w:keepNext w:val="0"/>
              <w:keepLines w:val="0"/>
              <w:pageBreakBefore w:val="0"/>
              <w:numPr>
                <w:ilvl w:val="0"/>
                <w:numId w:val="4"/>
              </w:numPr>
              <w:suppressLineNumbers w:val="0"/>
              <w:kinsoku/>
              <w:wordWrap/>
              <w:topLinePunct w:val="0"/>
              <w:bidi w:val="0"/>
              <w:adjustRightInd w:val="0"/>
              <w:snapToGrid w:val="0"/>
              <w:spacing w:before="0" w:beforeAutospacing="0" w:after="0" w:afterAutospacing="0"/>
              <w:ind w:left="0" w:right="0" w:firstLine="480" w:firstLineChars="200"/>
              <w:rPr>
                <w:rFonts w:hint="default"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竹木料</w:t>
            </w:r>
            <w:r>
              <w:rPr>
                <w:rFonts w:hint="eastAsia" w:cs="Times New Roman"/>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本项目通过人工分选产生的废木材，产生量约为</w:t>
            </w:r>
            <w:r>
              <w:rPr>
                <w:rFonts w:hint="eastAsia"/>
                <w:color w:val="000000" w:themeColor="text1"/>
                <w:highlight w:val="none"/>
                <w:lang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.125</w:t>
            </w:r>
            <w:r>
              <w:rPr>
                <w:rFonts w:hint="eastAsia" w:cs="Times New Roman"/>
                <w:color w:val="000000" w:themeColor="text1"/>
                <w:highlight w:val="none"/>
                <w:lang w:val="en-US" w:eastAsia="zh-CN"/>
                <w14:textFill>
                  <w14:solidFill>
                    <w14:schemeClr w14:val="tx1"/>
                  </w14:solidFill>
                </w14:textFill>
              </w:rPr>
              <w:t>万</w:t>
            </w:r>
            <w:r>
              <w:rPr>
                <w:rFonts w:hint="eastAsia"/>
                <w:color w:val="000000" w:themeColor="text1"/>
                <w:highlight w:val="none"/>
                <w14:textFill>
                  <w14:solidFill>
                    <w14:schemeClr w14:val="tx1"/>
                  </w14:solidFill>
                </w14:textFill>
              </w:rPr>
              <w:t>t/a,不暂存，外售木材厂处理。</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②建筑固废中的品质较差骨料和渣土类：项目设计中针对建筑固废成分内红砖类居多、含泥土量较大、有机物或其他杂物较多，筛分小于5mm以下的物料称为渣土类物料。该部分物料生产再生混凝土和砂浆不能满足工艺条件要求，只能利用产出较低附加值产品，产生量约1万t/a。具体利用途径：1）一部分质量中上的物料可作为生产原料用于再生混凝土砌块及制品类渣土砖的生产；2）另一部分连同品质较差骨料作为道路用再生骨料水稳料使用。</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③生产线废水沉淀泥浆：</w:t>
            </w:r>
            <w:r>
              <w:rPr>
                <w:rFonts w:hint="eastAsia" w:cs="Times New Roman"/>
                <w:color w:val="000000" w:themeColor="text1"/>
                <w:highlight w:val="none"/>
                <w:lang w:val="en-US" w:eastAsia="zh-CN"/>
                <w14:textFill>
                  <w14:solidFill>
                    <w14:schemeClr w14:val="tx1"/>
                  </w14:solidFill>
                </w14:textFill>
              </w:rPr>
              <w:t>本</w:t>
            </w:r>
            <w:r>
              <w:rPr>
                <w:rFonts w:hint="eastAsia" w:ascii="Times New Roman" w:hAnsi="Times New Roman" w:cs="Times New Roman"/>
                <w:color w:val="000000" w:themeColor="text1"/>
                <w:highlight w:val="none"/>
                <w:lang w:val="en-US" w:eastAsia="zh-CN"/>
                <w14:textFill>
                  <w14:solidFill>
                    <w14:schemeClr w14:val="tx1"/>
                  </w14:solidFill>
                </w14:textFill>
              </w:rPr>
              <w:t>项目中水循环系统沉淀下来的泥浆定期收集，可作为道路用再生骨料水稳料掺和使用，产生量约</w:t>
            </w:r>
            <w:r>
              <w:rPr>
                <w:rFonts w:hint="eastAsia" w:cs="Times New Roman"/>
                <w:color w:val="000000" w:themeColor="text1"/>
                <w:highlight w:val="none"/>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t/a。</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④各类型收尘器集灰系统：固定式再生骨料精选线中收尘器集灰系统，一部分灰收集后回落至生产系统，另一部分灰为不影响后续工序产品质量，收集后进入储灰桶定期由人工转移至再生混凝土制品类生产线再利用</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产生量约</w:t>
            </w:r>
            <w:r>
              <w:rPr>
                <w:rFonts w:hint="eastAsia" w:cs="Times New Roman"/>
                <w:color w:val="000000" w:themeColor="text1"/>
                <w:highlight w:val="none"/>
                <w:lang w:val="en-US" w:eastAsia="zh-CN"/>
                <w14:textFill>
                  <w14:solidFill>
                    <w14:schemeClr w14:val="tx1"/>
                  </w14:solidFill>
                </w14:textFill>
              </w:rPr>
              <w:t>92.41</w:t>
            </w:r>
            <w:r>
              <w:rPr>
                <w:rFonts w:hint="eastAsia" w:ascii="Times New Roman" w:hAnsi="Times New Roman" w:cs="Times New Roman"/>
                <w:color w:val="000000" w:themeColor="text1"/>
                <w:highlight w:val="none"/>
                <w:lang w:val="en-US" w:eastAsia="zh-CN"/>
                <w14:textFill>
                  <w14:solidFill>
                    <w14:schemeClr w14:val="tx1"/>
                  </w14:solidFill>
                </w14:textFill>
              </w:rPr>
              <w:t>t/a。各类粉料罐/仓收尘灰，其集灰一般直接回落至罐或仓。</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⑤生活垃圾：本项目工作人员共30人，年工作日210天，按照每人每天产生0.50kg计算，生活垃圾产生量为3.15t/a，厂区内设置生活垃圾分类收集设施，集中收集后交由环卫部门进行处置。</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⑥废润滑油等危险废物收集后按危险废物相关规定进行暂存</w:t>
            </w:r>
            <w:r>
              <w:rPr>
                <w:rFonts w:hint="default"/>
                <w:color w:val="000000" w:themeColor="text1"/>
                <w:szCs w:val="22"/>
                <w:highlight w:val="none"/>
                <w14:textFill>
                  <w14:solidFill>
                    <w14:schemeClr w14:val="tx1"/>
                  </w14:solidFill>
                </w14:textFill>
              </w:rPr>
              <w:t>（生产车间内设置危险废物贮存点，5m</w:t>
            </w:r>
            <w:r>
              <w:rPr>
                <w:rFonts w:hint="default"/>
                <w:color w:val="000000" w:themeColor="text1"/>
                <w:szCs w:val="22"/>
                <w:highlight w:val="none"/>
                <w:vertAlign w:val="superscript"/>
                <w14:textFill>
                  <w14:solidFill>
                    <w14:schemeClr w14:val="tx1"/>
                  </w14:solidFill>
                </w14:textFill>
              </w:rPr>
              <w:t>2</w:t>
            </w:r>
            <w:r>
              <w:rPr>
                <w:rFonts w:hint="default"/>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，定期由有资质单位处置，产生量0.5t/a。</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具体产生情况见表4-1</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34"/>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黑体" w:cs="Times New Roman"/>
                <w:b w:val="0"/>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lang w:val="en-US" w:eastAsia="zh-CN" w:bidi="ar"/>
                <w14:textFill>
                  <w14:solidFill>
                    <w14:schemeClr w14:val="tx1"/>
                  </w14:solidFill>
                </w14:textFill>
              </w:rPr>
              <w:t>表4-</w:t>
            </w:r>
            <w:r>
              <w:rPr>
                <w:rFonts w:hint="default"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t>1</w:t>
            </w:r>
            <w:r>
              <w:rPr>
                <w:rFonts w:hint="eastAsia" w:ascii="Times New Roman" w:hAnsi="Times New Roman" w:cs="Times New Roman"/>
                <w:b w:val="0"/>
                <w:bCs/>
                <w:color w:val="000000" w:themeColor="text1"/>
                <w:kern w:val="2"/>
                <w:sz w:val="21"/>
                <w:szCs w:val="21"/>
                <w:highlight w:val="none"/>
                <w:lang w:val="en-US" w:eastAsia="zh-CN" w:bidi="ar"/>
                <w14:textFill>
                  <w14:solidFill>
                    <w14:schemeClr w14:val="tx1"/>
                  </w14:solidFill>
                </w14:textFill>
              </w:rPr>
              <w:t>6</w:t>
            </w:r>
            <w:r>
              <w:rPr>
                <w:rFonts w:hint="default" w:ascii="Times New Roman" w:hAnsi="Times New Roman" w:eastAsia="宋体" w:cs="Times New Roman"/>
                <w:b/>
                <w:bCs w:val="0"/>
                <w:color w:val="000000" w:themeColor="text1"/>
                <w:kern w:val="2"/>
                <w:sz w:val="21"/>
                <w:szCs w:val="21"/>
                <w:highlight w:val="none"/>
                <w:lang w:val="en-US" w:eastAsia="zh-CN" w:bidi="ar"/>
                <w14:textFill>
                  <w14:solidFill>
                    <w14:schemeClr w14:val="tx1"/>
                  </w14:solidFill>
                </w14:textFill>
              </w:rPr>
              <w:t xml:space="preserve">   </w:t>
            </w:r>
            <w:r>
              <w:rPr>
                <w:rFonts w:hint="default" w:ascii="Times New Roman" w:hAnsi="Times New Roman" w:eastAsia="宋体" w:cs="Times New Roman"/>
                <w:b/>
                <w:bCs w:val="0"/>
                <w:color w:val="000000" w:themeColor="text1"/>
                <w:kern w:val="2"/>
                <w:sz w:val="24"/>
                <w:szCs w:val="24"/>
                <w:highlight w:val="none"/>
                <w:lang w:val="en-US" w:eastAsia="zh-CN" w:bidi="ar"/>
                <w14:textFill>
                  <w14:solidFill>
                    <w14:schemeClr w14:val="tx1"/>
                  </w14:solidFill>
                </w14:textFill>
              </w:rPr>
              <w:t>固体废物产生及处理情况</w:t>
            </w:r>
          </w:p>
          <w:tbl>
            <w:tblPr>
              <w:tblStyle w:val="37"/>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2"/>
              <w:gridCol w:w="825"/>
              <w:gridCol w:w="863"/>
              <w:gridCol w:w="1687"/>
              <w:gridCol w:w="1263"/>
              <w:gridCol w:w="700"/>
              <w:gridCol w:w="1025"/>
              <w:gridCol w:w="11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名称</w:t>
                  </w:r>
                </w:p>
              </w:tc>
              <w:tc>
                <w:tcPr>
                  <w:tcW w:w="8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产生环节</w:t>
                  </w:r>
                </w:p>
              </w:tc>
              <w:tc>
                <w:tcPr>
                  <w:tcW w:w="8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属性</w:t>
                  </w:r>
                </w:p>
              </w:tc>
              <w:tc>
                <w:tcPr>
                  <w:tcW w:w="168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固废代码</w:t>
                  </w:r>
                </w:p>
              </w:tc>
              <w:tc>
                <w:tcPr>
                  <w:tcW w:w="1263"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产生量</w:t>
                  </w:r>
                </w:p>
              </w:tc>
              <w:tc>
                <w:tcPr>
                  <w:tcW w:w="70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贮存方式</w:t>
                  </w:r>
                </w:p>
              </w:tc>
              <w:tc>
                <w:tcPr>
                  <w:tcW w:w="2170" w:type="dxa"/>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bidi="ar"/>
                      <w14:textFill>
                        <w14:solidFill>
                          <w14:schemeClr w14:val="tx1"/>
                        </w14:solidFill>
                      </w14:textFill>
                    </w:rPr>
                    <w:t>处置方式和去向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6" w:hRule="atLeast"/>
                <w:jc w:val="center"/>
              </w:trPr>
              <w:tc>
                <w:tcPr>
                  <w:tcW w:w="882"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建筑固废中其他组成</w:t>
                  </w:r>
                </w:p>
              </w:tc>
              <w:tc>
                <w:tcPr>
                  <w:tcW w:w="825" w:type="dxa"/>
                  <w:vMerge w:val="restart"/>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t>分拣、风选、除铁</w:t>
                  </w:r>
                  <w:r>
                    <w:rPr>
                      <w:rFonts w:hint="eastAsia" w:ascii="Times New Roman" w:hAnsi="Times New Roman" w:cs="Times New Roman"/>
                      <w:bCs/>
                      <w:color w:val="000000" w:themeColor="text1"/>
                      <w:kern w:val="0"/>
                      <w:sz w:val="21"/>
                      <w:szCs w:val="21"/>
                      <w:highlight w:val="none"/>
                      <w:lang w:val="en-US" w:eastAsia="zh-CN"/>
                      <w14:textFill>
                        <w14:solidFill>
                          <w14:schemeClr w14:val="tx1"/>
                        </w14:solidFill>
                      </w14:textFill>
                    </w:rPr>
                    <w:t>阶段</w:t>
                  </w:r>
                </w:p>
              </w:tc>
              <w:tc>
                <w:tcPr>
                  <w:tcW w:w="863" w:type="dxa"/>
                  <w:vMerge w:val="restart"/>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一般</w:t>
                  </w:r>
                  <w:r>
                    <w:rPr>
                      <w:rFonts w:hint="eastAsia" w:ascii="Times New Roman" w:hAnsi="Times New Roman" w:cs="Times New Roman"/>
                      <w:bCs/>
                      <w:color w:val="000000" w:themeColor="text1"/>
                      <w:kern w:val="0"/>
                      <w:sz w:val="21"/>
                      <w:szCs w:val="21"/>
                      <w:highlight w:val="none"/>
                      <w:lang w:val="en-US" w:eastAsia="zh-CN"/>
                      <w14:textFill>
                        <w14:solidFill>
                          <w14:schemeClr w14:val="tx1"/>
                        </w14:solidFill>
                      </w14:textFill>
                    </w:rPr>
                    <w:t>工业</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固废</w:t>
                  </w:r>
                </w:p>
              </w:tc>
              <w:tc>
                <w:tcPr>
                  <w:tcW w:w="1687" w:type="dxa"/>
                  <w:vMerge w:val="restart"/>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SW73拆除垃圾</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502-001-S73</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502-002-S73</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SW74装修垃圾</w:t>
                  </w:r>
                </w:p>
              </w:tc>
              <w:tc>
                <w:tcPr>
                  <w:tcW w:w="1263" w:type="dxa"/>
                  <w:vMerge w:val="restart"/>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t>1</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.995万</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t/a</w:t>
                  </w:r>
                </w:p>
              </w:tc>
              <w:tc>
                <w:tcPr>
                  <w:tcW w:w="700" w:type="dxa"/>
                  <w:vMerge w:val="restart"/>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统一收集</w:t>
                  </w:r>
                </w:p>
              </w:tc>
              <w:tc>
                <w:tcPr>
                  <w:tcW w:w="10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沥青</w:t>
                  </w:r>
                </w:p>
              </w:tc>
              <w:tc>
                <w:tcPr>
                  <w:tcW w:w="114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left"/>
                    <w:textAlignment w:val="auto"/>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color w:val="000000" w:themeColor="text1"/>
                      <w:sz w:val="18"/>
                      <w:szCs w:val="18"/>
                      <w:highlight w:val="none"/>
                      <w14:textFill>
                        <w14:solidFill>
                          <w14:schemeClr w14:val="tx1"/>
                        </w14:solidFill>
                      </w14:textFill>
                    </w:rPr>
                    <w:t>不暂存，外售</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沥青</w:t>
                  </w:r>
                  <w:r>
                    <w:rPr>
                      <w:rFonts w:hint="default" w:ascii="Times New Roman" w:hAnsi="Times New Roman"/>
                      <w:color w:val="000000" w:themeColor="text1"/>
                      <w:sz w:val="18"/>
                      <w:szCs w:val="18"/>
                      <w:highlight w:val="none"/>
                      <w14:textFill>
                        <w14:solidFill>
                          <w14:schemeClr w14:val="tx1"/>
                        </w14:solidFill>
                      </w14:textFill>
                    </w:rPr>
                    <w:t>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6" w:hRule="atLeast"/>
                <w:jc w:val="center"/>
              </w:trPr>
              <w:tc>
                <w:tcPr>
                  <w:tcW w:w="882"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25"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687"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2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700"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0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玻璃</w:t>
                  </w:r>
                </w:p>
              </w:tc>
              <w:tc>
                <w:tcPr>
                  <w:tcW w:w="114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left"/>
                    <w:textAlignment w:val="auto"/>
                    <w:rPr>
                      <w:rFonts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不暂存，外售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玻璃</w:t>
                  </w:r>
                  <w:r>
                    <w:rPr>
                      <w:rFonts w:hint="default" w:ascii="Times New Roman" w:hAnsi="Times New Roman"/>
                      <w:color w:val="000000" w:themeColor="text1"/>
                      <w:sz w:val="21"/>
                      <w:szCs w:val="21"/>
                      <w:highlight w:val="none"/>
                      <w14:textFill>
                        <w14:solidFill>
                          <w14:schemeClr w14:val="tx1"/>
                        </w14:solidFill>
                      </w14:textFill>
                    </w:rPr>
                    <w:t>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6" w:hRule="atLeast"/>
                <w:jc w:val="center"/>
              </w:trPr>
              <w:tc>
                <w:tcPr>
                  <w:tcW w:w="882"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25"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687"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2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700"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0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金属</w:t>
                  </w:r>
                </w:p>
              </w:tc>
              <w:tc>
                <w:tcPr>
                  <w:tcW w:w="114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left"/>
                    <w:textAlignment w:val="auto"/>
                  </w:pPr>
                  <w:r>
                    <w:rPr>
                      <w:rFonts w:hint="default" w:ascii="Times New Roman" w:hAnsi="Times New Roman"/>
                      <w:color w:val="000000" w:themeColor="text1"/>
                      <w:sz w:val="21"/>
                      <w:szCs w:val="21"/>
                      <w:highlight w:val="none"/>
                      <w14:textFill>
                        <w14:solidFill>
                          <w14:schemeClr w14:val="tx1"/>
                        </w14:solidFill>
                      </w14:textFill>
                    </w:rPr>
                    <w:t>不暂存，</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外售废品回收站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6" w:hRule="atLeast"/>
                <w:jc w:val="center"/>
              </w:trPr>
              <w:tc>
                <w:tcPr>
                  <w:tcW w:w="882"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25"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687"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2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700"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0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塑料</w:t>
                  </w:r>
                </w:p>
              </w:tc>
              <w:tc>
                <w:tcPr>
                  <w:tcW w:w="114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left"/>
                    <w:textAlignment w:val="auto"/>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不</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暂存，外售废塑料加工厂。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6" w:hRule="atLeast"/>
                <w:jc w:val="center"/>
              </w:trPr>
              <w:tc>
                <w:tcPr>
                  <w:tcW w:w="882"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25"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8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687"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263"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700" w:type="dxa"/>
                  <w:vMerge w:val="continue"/>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pPr>
                </w:p>
              </w:tc>
              <w:tc>
                <w:tcPr>
                  <w:tcW w:w="10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竹木料</w:t>
                  </w:r>
                </w:p>
              </w:tc>
              <w:tc>
                <w:tcPr>
                  <w:tcW w:w="1145" w:type="dxa"/>
                  <w:tcBorders>
                    <w:tl2br w:val="nil"/>
                    <w:tr2bl w:val="nil"/>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left"/>
                    <w:textAlignment w:val="auto"/>
                    <w:rPr>
                      <w:rFonts w:ascii="Times New Roman" w:hAnsi="Times New Roman"/>
                      <w:color w:val="000000" w:themeColor="text1"/>
                      <w:sz w:val="21"/>
                      <w:szCs w:val="21"/>
                      <w:highlight w:val="none"/>
                      <w14:textFill>
                        <w14:solidFill>
                          <w14:schemeClr w14:val="tx1"/>
                        </w14:solidFill>
                      </w14:textFill>
                    </w:rPr>
                  </w:pPr>
                  <w:r>
                    <w:rPr>
                      <w:rFonts w:hint="default" w:ascii="Times New Roman" w:hAnsi="Times New Roman"/>
                      <w:color w:val="000000" w:themeColor="text1"/>
                      <w:sz w:val="21"/>
                      <w:szCs w:val="21"/>
                      <w:highlight w:val="none"/>
                      <w14:textFill>
                        <w14:solidFill>
                          <w14:schemeClr w14:val="tx1"/>
                        </w14:solidFill>
                      </w14:textFill>
                    </w:rPr>
                    <w:t>不暂存，外售木材厂处理。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Cs/>
                      <w:color w:val="FF0000"/>
                      <w:kern w:val="0"/>
                      <w:sz w:val="21"/>
                      <w:szCs w:val="21"/>
                      <w:highlight w:val="none"/>
                      <w:lang w:eastAsia="zh-CN"/>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建筑固废中的品质较差骨料和渣土类</w:t>
                  </w:r>
                </w:p>
              </w:tc>
              <w:tc>
                <w:tcPr>
                  <w:tcW w:w="8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FF0000"/>
                      <w:kern w:val="0"/>
                      <w:sz w:val="21"/>
                      <w:szCs w:val="21"/>
                      <w:highlight w:val="none"/>
                      <w:lang w:val="en-US" w:eastAsia="zh-CN"/>
                    </w:rPr>
                  </w:pPr>
                  <w:r>
                    <w:rPr>
                      <w:rFonts w:hint="eastAsia" w:ascii="Times New Roman" w:hAnsi="Times New Roman" w:cs="Times New Roman"/>
                      <w:bCs/>
                      <w:color w:val="000000" w:themeColor="text1"/>
                      <w:kern w:val="0"/>
                      <w:sz w:val="21"/>
                      <w:szCs w:val="21"/>
                      <w:highlight w:val="none"/>
                      <w:lang w:val="en-US" w:eastAsia="zh-CN"/>
                      <w14:textFill>
                        <w14:solidFill>
                          <w14:schemeClr w14:val="tx1"/>
                        </w14:solidFill>
                      </w14:textFill>
                    </w:rPr>
                    <w:t>筛分阶段</w:t>
                  </w:r>
                </w:p>
              </w:tc>
              <w:tc>
                <w:tcPr>
                  <w:tcW w:w="8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FF0000"/>
                      <w:kern w:val="0"/>
                      <w:sz w:val="21"/>
                      <w:szCs w:val="21"/>
                      <w:highlight w:val="none"/>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一般</w:t>
                  </w:r>
                  <w:r>
                    <w:rPr>
                      <w:rFonts w:hint="eastAsia" w:ascii="Times New Roman" w:hAnsi="Times New Roman" w:cs="Times New Roman"/>
                      <w:bCs/>
                      <w:color w:val="000000" w:themeColor="text1"/>
                      <w:kern w:val="0"/>
                      <w:sz w:val="21"/>
                      <w:szCs w:val="21"/>
                      <w:highlight w:val="none"/>
                      <w:lang w:val="en-US" w:eastAsia="zh-CN"/>
                      <w14:textFill>
                        <w14:solidFill>
                          <w14:schemeClr w14:val="tx1"/>
                        </w14:solidFill>
                      </w14:textFill>
                    </w:rPr>
                    <w:t>工业</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固废</w:t>
                  </w:r>
                </w:p>
              </w:tc>
              <w:tc>
                <w:tcPr>
                  <w:tcW w:w="1687"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SW73拆除垃圾</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502-001-S73</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502-002-S73</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kern w:val="2"/>
                      <w:sz w:val="21"/>
                      <w:szCs w:val="21"/>
                      <w:highlight w:val="none"/>
                      <w:lang w:val="en-US" w:eastAsia="zh-CN"/>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SW74装修垃圾</w:t>
                  </w:r>
                </w:p>
              </w:tc>
              <w:tc>
                <w:tcPr>
                  <w:tcW w:w="12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kern w:val="2"/>
                      <w:sz w:val="21"/>
                      <w:szCs w:val="21"/>
                      <w:highlight w:val="none"/>
                      <w:lang w:val="en-US"/>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1</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t/a</w:t>
                  </w:r>
                </w:p>
              </w:tc>
              <w:tc>
                <w:tcPr>
                  <w:tcW w:w="700"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kern w:val="2"/>
                      <w:sz w:val="21"/>
                      <w:szCs w:val="21"/>
                      <w:highlight w:val="none"/>
                      <w:lang w:val="en-US" w:eastAsia="zh-CN"/>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不</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贮存</w:t>
                  </w:r>
                </w:p>
              </w:tc>
              <w:tc>
                <w:tcPr>
                  <w:tcW w:w="2170" w:type="dxa"/>
                  <w:gridSpan w:val="2"/>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kern w:val="2"/>
                      <w:sz w:val="21"/>
                      <w:szCs w:val="21"/>
                      <w:highlight w:val="none"/>
                      <w:lang w:val="en-US" w:eastAsia="zh-CN"/>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骨料</w:t>
                  </w:r>
                  <w:r>
                    <w:rPr>
                      <w:rFonts w:hint="default"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回用于生产</w:t>
                  </w: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；渣土</w:t>
                  </w:r>
                  <w:r>
                    <w:rPr>
                      <w:rFonts w:hint="default" w:ascii="Times New Roman" w:hAnsi="Times New Roman"/>
                      <w:color w:val="000000" w:themeColor="text1"/>
                      <w:sz w:val="21"/>
                      <w:szCs w:val="21"/>
                      <w:highlight w:val="none"/>
                      <w14:textFill>
                        <w14:solidFill>
                          <w14:schemeClr w14:val="tx1"/>
                        </w14:solidFill>
                      </w14:textFill>
                    </w:rPr>
                    <w:t>经车辆外运至</w:t>
                  </w:r>
                  <w:r>
                    <w:rPr>
                      <w:rFonts w:hint="default" w:ascii="Times New Roman" w:hAnsi="Times New Roman"/>
                      <w:color w:val="000000" w:themeColor="text1"/>
                      <w:sz w:val="21"/>
                      <w:szCs w:val="21"/>
                      <w:highlight w:val="none"/>
                      <w:lang w:val="en-US" w:eastAsia="zh-CN"/>
                      <w14:textFill>
                        <w14:solidFill>
                          <w14:schemeClr w14:val="tx1"/>
                        </w14:solidFill>
                      </w14:textFill>
                    </w:rPr>
                    <w:t>填埋场</w:t>
                  </w:r>
                  <w:r>
                    <w:rPr>
                      <w:rFonts w:hint="default" w:ascii="Times New Roman" w:hAnsi="Times New Roman"/>
                      <w:color w:val="000000" w:themeColor="text1"/>
                      <w:sz w:val="21"/>
                      <w:szCs w:val="21"/>
                      <w:highlight w:val="none"/>
                      <w14:textFill>
                        <w14:solidFill>
                          <w14:schemeClr w14:val="tx1"/>
                        </w14:solidFill>
                      </w14:textFill>
                    </w:rPr>
                    <w:t>进行卫生填埋，主要用于回填工程，如拆除工程场地平整，垃圾填埋场的封场填埋等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生产线废水沉淀泥浆</w:t>
                  </w:r>
                </w:p>
              </w:tc>
              <w:tc>
                <w:tcPr>
                  <w:tcW w:w="8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bCs/>
                      <w:color w:val="FF0000"/>
                      <w:kern w:val="0"/>
                      <w:sz w:val="21"/>
                      <w:szCs w:val="21"/>
                      <w:highlight w:val="none"/>
                      <w:lang w:val="en-US" w:eastAsia="zh-CN"/>
                    </w:rPr>
                  </w:pPr>
                  <w:r>
                    <w:rPr>
                      <w:rFonts w:hint="eastAsia" w:ascii="Times New Roman" w:hAnsi="Times New Roman" w:cs="Times New Roman"/>
                      <w:bCs/>
                      <w:color w:val="000000" w:themeColor="text1"/>
                      <w:kern w:val="0"/>
                      <w:sz w:val="21"/>
                      <w:szCs w:val="21"/>
                      <w:highlight w:val="none"/>
                      <w:lang w:val="en-US" w:eastAsia="zh-CN"/>
                      <w14:textFill>
                        <w14:solidFill>
                          <w14:schemeClr w14:val="tx1"/>
                        </w14:solidFill>
                      </w14:textFill>
                    </w:rPr>
                    <w:t>破碎、筛分阶段</w:t>
                  </w:r>
                </w:p>
              </w:tc>
              <w:tc>
                <w:tcPr>
                  <w:tcW w:w="8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bCs/>
                      <w:color w:val="FF0000"/>
                      <w:kern w:val="0"/>
                      <w:sz w:val="21"/>
                      <w:szCs w:val="21"/>
                      <w:highlight w:val="none"/>
                      <w:lang w:eastAsia="zh-CN"/>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一般工业固废</w:t>
                  </w:r>
                </w:p>
              </w:tc>
              <w:tc>
                <w:tcPr>
                  <w:tcW w:w="1687"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SW07污泥900-99-S07</w:t>
                  </w:r>
                </w:p>
              </w:tc>
              <w:tc>
                <w:tcPr>
                  <w:tcW w:w="12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kern w:val="2"/>
                      <w:sz w:val="21"/>
                      <w:szCs w:val="21"/>
                      <w:highlight w:val="none"/>
                      <w:lang w:val="en-US" w:eastAsia="zh-CN"/>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t/a</w:t>
                  </w:r>
                </w:p>
              </w:tc>
              <w:tc>
                <w:tcPr>
                  <w:tcW w:w="700"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kern w:val="2"/>
                      <w:sz w:val="21"/>
                      <w:szCs w:val="21"/>
                      <w:highlight w:val="none"/>
                      <w:lang w:val="en-US" w:eastAsia="zh-CN"/>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不</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贮存</w:t>
                  </w:r>
                </w:p>
              </w:tc>
              <w:tc>
                <w:tcPr>
                  <w:tcW w:w="2170" w:type="dxa"/>
                  <w:gridSpan w:val="2"/>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kern w:val="0"/>
                      <w:sz w:val="21"/>
                      <w:szCs w:val="21"/>
                      <w:highlight w:val="none"/>
                      <w:vertAlign w:val="baseline"/>
                      <w:lang w:val="en-US" w:eastAsia="zh-CN" w:bidi="ar-SA"/>
                    </w:rPr>
                  </w:pPr>
                  <w:r>
                    <w:rPr>
                      <w:rFonts w:hint="default"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定期收集</w:t>
                  </w: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可作为道路用再生骨料水稳料掺和使用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各类型收尘器集灰系统</w:t>
                  </w:r>
                </w:p>
              </w:tc>
              <w:tc>
                <w:tcPr>
                  <w:tcW w:w="8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bCs/>
                      <w:color w:val="FF0000"/>
                      <w:kern w:val="0"/>
                      <w:sz w:val="21"/>
                      <w:szCs w:val="21"/>
                      <w:highlight w:val="none"/>
                      <w:lang w:eastAsia="zh-CN"/>
                    </w:rPr>
                  </w:pPr>
                  <w:r>
                    <w:rPr>
                      <w:rFonts w:hint="eastAsia" w:ascii="Times New Roman" w:hAnsi="Times New Roman" w:cs="Times New Roman"/>
                      <w:bCs/>
                      <w:color w:val="000000" w:themeColor="text1"/>
                      <w:kern w:val="0"/>
                      <w:sz w:val="21"/>
                      <w:szCs w:val="21"/>
                      <w:highlight w:val="none"/>
                      <w:lang w:val="en-US" w:eastAsia="zh-CN"/>
                      <w14:textFill>
                        <w14:solidFill>
                          <w14:schemeClr w14:val="tx1"/>
                        </w14:solidFill>
                      </w14:textFill>
                    </w:rPr>
                    <w:t>布袋除尘器</w:t>
                  </w:r>
                </w:p>
              </w:tc>
              <w:tc>
                <w:tcPr>
                  <w:tcW w:w="8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bCs/>
                      <w:color w:val="FF0000"/>
                      <w:kern w:val="0"/>
                      <w:sz w:val="21"/>
                      <w:szCs w:val="21"/>
                      <w:highlight w:val="none"/>
                      <w:lang w:eastAsia="zh-CN"/>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一般工业固废</w:t>
                  </w:r>
                </w:p>
              </w:tc>
              <w:tc>
                <w:tcPr>
                  <w:tcW w:w="1687"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2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FF0000"/>
                      <w:kern w:val="2"/>
                      <w:sz w:val="21"/>
                      <w:szCs w:val="21"/>
                      <w:highlight w:val="none"/>
                      <w:lang w:val="en-US" w:eastAsia="zh-CN"/>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92.41</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t/a</w:t>
                  </w:r>
                </w:p>
              </w:tc>
              <w:tc>
                <w:tcPr>
                  <w:tcW w:w="700"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储灰桶</w:t>
                  </w:r>
                </w:p>
              </w:tc>
              <w:tc>
                <w:tcPr>
                  <w:tcW w:w="2170" w:type="dxa"/>
                  <w:gridSpan w:val="2"/>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定期由人工转移至再生混凝土制品类生产线再利用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FF0000"/>
                      <w:kern w:val="2"/>
                      <w:sz w:val="21"/>
                      <w:szCs w:val="21"/>
                      <w:highlight w:val="none"/>
                      <w:lang w:val="en-US" w:eastAsia="zh-CN"/>
                    </w:rPr>
                  </w:pPr>
                  <w:r>
                    <w:rPr>
                      <w:rFonts w:hint="default" w:ascii="Times New Roman" w:hAnsi="Times New Roman" w:cs="Times New Roman"/>
                      <w:color w:val="000000" w:themeColor="text1"/>
                      <w:szCs w:val="22"/>
                      <w:highlight w:val="none"/>
                      <w:lang w:val="en-US" w:eastAsia="zh-CN"/>
                      <w14:textFill>
                        <w14:solidFill>
                          <w14:schemeClr w14:val="tx1"/>
                        </w14:solidFill>
                      </w14:textFill>
                    </w:rPr>
                    <w:t>废润滑油</w:t>
                  </w:r>
                </w:p>
              </w:tc>
              <w:tc>
                <w:tcPr>
                  <w:tcW w:w="8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t>设备维修</w:t>
                  </w:r>
                </w:p>
              </w:tc>
              <w:tc>
                <w:tcPr>
                  <w:tcW w:w="8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lang w:eastAsia="zh-CN"/>
                      <w14:textFill>
                        <w14:solidFill>
                          <w14:schemeClr w14:val="tx1"/>
                        </w14:solidFill>
                      </w14:textFill>
                    </w:rPr>
                    <w:t>危险废物</w:t>
                  </w:r>
                </w:p>
              </w:tc>
              <w:tc>
                <w:tcPr>
                  <w:tcW w:w="1687"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900-249-08</w:t>
                  </w:r>
                </w:p>
              </w:tc>
              <w:tc>
                <w:tcPr>
                  <w:tcW w:w="12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0.5</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t/a</w:t>
                  </w:r>
                </w:p>
              </w:tc>
              <w:tc>
                <w:tcPr>
                  <w:tcW w:w="700"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both"/>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按危险废物相关规定进行暂存</w:t>
                  </w:r>
                </w:p>
              </w:tc>
              <w:tc>
                <w:tcPr>
                  <w:tcW w:w="2170" w:type="dxa"/>
                  <w:gridSpan w:val="2"/>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委托</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资质单位</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定期</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生活垃圾</w:t>
                  </w:r>
                </w:p>
              </w:tc>
              <w:tc>
                <w:tcPr>
                  <w:tcW w:w="825"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职工生活办公</w:t>
                  </w:r>
                </w:p>
              </w:tc>
              <w:tc>
                <w:tcPr>
                  <w:tcW w:w="8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cs="Times New Roman"/>
                      <w:bCs/>
                      <w:color w:val="000000" w:themeColor="text1"/>
                      <w:kern w:val="0"/>
                      <w:sz w:val="21"/>
                      <w:szCs w:val="21"/>
                      <w:highlight w:val="none"/>
                      <w:lang w:val="en-US" w:eastAsia="zh-CN" w:bidi="ar"/>
                      <w14:textFill>
                        <w14:solidFill>
                          <w14:schemeClr w14:val="tx1"/>
                        </w14:solidFill>
                      </w14:textFill>
                    </w:rPr>
                    <w:t>生活垃圾</w:t>
                  </w:r>
                </w:p>
              </w:tc>
              <w:tc>
                <w:tcPr>
                  <w:tcW w:w="1687"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t>900-001-S60</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t>900-001-S62</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t>900-002-S62</w:t>
                  </w:r>
                </w:p>
              </w:tc>
              <w:tc>
                <w:tcPr>
                  <w:tcW w:w="1263"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3.15</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t/a</w:t>
                  </w:r>
                </w:p>
              </w:tc>
              <w:tc>
                <w:tcPr>
                  <w:tcW w:w="700" w:type="dxa"/>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垃圾收集箱</w:t>
                  </w:r>
                </w:p>
              </w:tc>
              <w:tc>
                <w:tcPr>
                  <w:tcW w:w="2170" w:type="dxa"/>
                  <w:gridSpan w:val="2"/>
                  <w:tcBorders>
                    <w:tl2br w:val="nil"/>
                    <w:tr2bl w:val="nil"/>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楷体_GB2312"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交由环卫部门统一处置</w:t>
                  </w:r>
                </w:p>
              </w:tc>
            </w:tr>
          </w:tbl>
          <w:p>
            <w:pPr>
              <w:pStyle w:val="64"/>
              <w:keepNext w:val="0"/>
              <w:keepLines w:val="0"/>
              <w:pageBreakBefore w:val="0"/>
              <w:widowControl/>
              <w:numPr>
                <w:ilvl w:val="-1"/>
                <w:numId w:val="0"/>
              </w:numPr>
              <w:suppressLineNumbers w:val="0"/>
              <w:kinsoku/>
              <w:wordWrap/>
              <w:overflowPunct/>
              <w:topLinePunct w:val="0"/>
              <w:autoSpaceDE/>
              <w:autoSpaceDN/>
              <w:bidi w:val="0"/>
              <w:adjustRightInd w:val="0"/>
              <w:snapToGrid w:val="0"/>
              <w:spacing w:before="157" w:beforeLines="50" w:beforeAutospacing="0" w:after="0" w:afterAutospacing="0"/>
              <w:ind w:left="0" w:leftChars="0" w:right="0" w:rightChars="0" w:firstLine="482"/>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bCs/>
                <w:color w:val="auto"/>
                <w:highlight w:val="none"/>
                <w:lang w:val="en-US" w:eastAsia="zh-CN"/>
              </w:rPr>
              <w:t>⑵环境管理</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ascii="Times New Roman" w:hAnsi="Times New Roman" w:eastAsia="仿宋_GB2312" w:cs="Times New Roman"/>
              </w:rPr>
              <w:t>⑴</w:t>
            </w:r>
            <w:r>
              <w:rPr>
                <w:rFonts w:hint="eastAsia"/>
                <w:lang w:val="en-US" w:eastAsia="zh-CN"/>
              </w:rPr>
              <w:t>固体废物</w:t>
            </w:r>
            <w:r>
              <w:rPr>
                <w:rFonts w:hint="eastAsia"/>
              </w:rPr>
              <w:t>贮存废管理要求：</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对固体废物实行从产生、运输直至最终处理实行全过程管理，加强固体废物运输过程的事故风险防范，按照有关法律、法规的要求，对固体废弃物全过程管理应报当地环保行政主管部门等批准。</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①不相容的一般工业固体废物应设置不同的分区进行贮存和消纳作业。</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②危险废物和生活垃圾不得进入一般工业固体废物暂存点。</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③贮存场的环境保护图形标志应符合《环境保护图形标志-固体废物贮存（处置）场》（GB15562.2-1995）及修改单的规定，并应定期检查和维护。</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④易产生扬尘的贮存或消纳场应采取分区作业、覆盖、洒水等有效抑尘措施防止扬尘污染。</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ascii="Times New Roman" w:hAnsi="Times New Roman" w:eastAsia="仿宋_GB2312" w:cs="Times New Roman"/>
              </w:rPr>
              <w:t>⑵</w:t>
            </w:r>
            <w:r>
              <w:rPr>
                <w:rFonts w:hint="eastAsia"/>
              </w:rPr>
              <w:t>危险废物贮存点管理要求：</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本项目在厂区生产车间内设置5m</w:t>
            </w:r>
            <w:r>
              <w:rPr>
                <w:rFonts w:hint="eastAsia"/>
                <w:vertAlign w:val="superscript"/>
              </w:rPr>
              <w:t>2</w:t>
            </w:r>
            <w:r>
              <w:rPr>
                <w:rFonts w:hint="eastAsia"/>
              </w:rPr>
              <w:t>危险废物贮存点，根据《危险废物贮存污染物控制标准》（GB18597-2023）、《危险废物管理计划和管理台账制定技术导则》（HJ1259-2022）、《危险废物识别标志设置技术规范》（HJ 1276-2022）项目产生的危险废物具体管理要求如下：</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①贮存点应具有固定的区域边界，并应采取与其他区域进行隔离的措施；</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②贮存点应采取防风、防雨、防晒和防止危险废物流失、扬散等措施；</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③贮存点贮存的危险废物应置于容器或包装物中，不应直接散堆；</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④贮存点应根据危险废物的形态、物理化学性质、包装形式等，采取防、防漏等污染防治措施或采用具有相应功能的装置；</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⑤贮存点应及时清运贮存的危险废物，实时贮存量不应超过3吨；</w:t>
            </w:r>
          </w:p>
          <w:p>
            <w:pPr>
              <w:pStyle w:val="64"/>
              <w:keepNext w:val="0"/>
              <w:keepLines w:val="0"/>
              <w:suppressLineNumbers w:val="0"/>
              <w:adjustRightInd w:val="0"/>
              <w:snapToGrid w:val="0"/>
              <w:spacing w:before="0" w:beforeAutospacing="0" w:after="0" w:afterAutospacing="0"/>
              <w:ind w:left="0" w:right="0" w:firstLineChars="200"/>
              <w:jc w:val="both"/>
              <w:rPr>
                <w:rFonts w:hint="eastAsia" w:ascii="Times New Roman" w:hAnsi="Times New Roman" w:cs="Times New Roman"/>
                <w:lang w:eastAsia="zh-CN"/>
              </w:rPr>
            </w:pPr>
            <w:r>
              <w:rPr>
                <w:rFonts w:hint="eastAsia" w:ascii="Times New Roman" w:hAnsi="Times New Roman" w:eastAsia="仿宋_GB2312" w:cs="Times New Roman"/>
              </w:rPr>
              <w:t>⑥</w:t>
            </w:r>
            <w:r>
              <w:rPr>
                <w:rFonts w:hint="eastAsia" w:ascii="Times New Roman" w:hAnsi="Times New Roman" w:cs="Times New Roman"/>
              </w:rPr>
              <w:t>危险废物标签应以醒目的字样标注“危险废物”</w:t>
            </w:r>
            <w:r>
              <w:rPr>
                <w:rFonts w:hint="eastAsia" w:ascii="Times New Roman" w:hAnsi="Times New Roman" w:cs="Times New Roman"/>
                <w:lang w:eastAsia="zh-CN"/>
              </w:rPr>
              <w:t>；</w:t>
            </w:r>
            <w:r>
              <w:rPr>
                <w:rFonts w:hint="eastAsia" w:ascii="Times New Roman" w:hAnsi="Times New Roman" w:cs="Times New Roman"/>
              </w:rPr>
              <w:t>危险废物标签应包含废物名称、废物类别、废物代码、废物形态、危险特性、主要成分、有害成分、注意事项、产生/收集单位名称、联系人、联系方式、产生日期、废物重量和备注</w:t>
            </w:r>
            <w:r>
              <w:rPr>
                <w:rFonts w:hint="eastAsia" w:ascii="Times New Roman" w:hAnsi="Times New Roman" w:cs="Times New Roman"/>
                <w:lang w:eastAsia="zh-CN"/>
              </w:rPr>
              <w:t>；</w:t>
            </w:r>
            <w:r>
              <w:rPr>
                <w:rFonts w:hint="eastAsia" w:ascii="Times New Roman" w:hAnsi="Times New Roman" w:cs="Times New Roman"/>
              </w:rPr>
              <w:t>危险废物标签宜设置危险废物数字识别码和二维码</w:t>
            </w:r>
            <w:r>
              <w:rPr>
                <w:rFonts w:hint="eastAsia" w:ascii="Times New Roman" w:hAnsi="Times New Roman" w:cs="Times New Roman"/>
                <w:lang w:eastAsia="zh-CN"/>
              </w:rPr>
              <w:t>。</w:t>
            </w:r>
          </w:p>
          <w:p>
            <w:pPr>
              <w:pStyle w:val="64"/>
              <w:keepNext w:val="0"/>
              <w:keepLines w:val="0"/>
              <w:suppressLineNumbers w:val="0"/>
              <w:adjustRightInd w:val="0"/>
              <w:snapToGrid w:val="0"/>
              <w:spacing w:before="0" w:beforeAutospacing="0" w:after="0" w:afterAutospacing="0"/>
              <w:ind w:left="0" w:right="0" w:firstLineChars="200"/>
              <w:jc w:val="both"/>
              <w:rPr>
                <w:rFonts w:hint="eastAsia" w:ascii="Times New Roman" w:hAnsi="Times New Roman" w:cs="Times New Roman"/>
                <w:lang w:eastAsia="zh-CN"/>
              </w:rPr>
            </w:pPr>
            <w:r>
              <w:rPr>
                <w:rFonts w:hint="eastAsia" w:ascii="Times New Roman" w:hAnsi="Times New Roman" w:eastAsia="仿宋_GB2312" w:cs="Times New Roman"/>
              </w:rPr>
              <w:t>⑦</w:t>
            </w:r>
            <w:r>
              <w:rPr>
                <w:rFonts w:hint="eastAsia" w:ascii="Times New Roman" w:hAnsi="Times New Roman" w:cs="Times New Roman"/>
              </w:rPr>
              <w:t>危险废物相关单位的每一个贮存、利用、处置设施均应在设施附近或场所的入口处设置相应的危险废物贮存设施标志、危险废物利用设施标志、危险废物处置设施标志。</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ascii="Times New Roman" w:hAnsi="Times New Roman" w:eastAsia="仿宋_GB2312" w:cs="Times New Roman"/>
              </w:rPr>
              <w:t>⑶</w:t>
            </w:r>
            <w:r>
              <w:rPr>
                <w:rFonts w:hint="eastAsia"/>
              </w:rPr>
              <w:t>贮存设施运行环境管理要求：</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①应定期检查危险废物的贮存状况，及时清理贮存设施地面，更换破损泄漏的危险废物贮存容器和包装物，保证堆存危险废物的防雨、防风、防扬尘等设施功能完好。</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②作业设备及车辆等结束作业离开贮存设施时，应对其残蜜的危险废物进行清理，清理的废物或清洗废水应收集处理。</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③贮存设施运行期间，应按国家有关标准和规定建立危险废物管理台账并保存。</w:t>
            </w:r>
          </w:p>
          <w:p>
            <w:pPr>
              <w:pStyle w:val="64"/>
              <w:keepNext w:val="0"/>
              <w:keepLines w:val="0"/>
              <w:suppressLineNumbers w:val="0"/>
              <w:adjustRightInd w:val="0"/>
              <w:snapToGrid w:val="0"/>
              <w:spacing w:before="0" w:beforeAutospacing="0" w:after="0" w:afterAutospacing="0"/>
              <w:ind w:left="0" w:right="0" w:firstLineChars="200"/>
              <w:jc w:val="both"/>
              <w:rPr>
                <w:rFonts w:hint="eastAsia"/>
              </w:rPr>
            </w:pPr>
            <w:r>
              <w:rPr>
                <w:rFonts w:hint="eastAsia"/>
              </w:rPr>
              <w:t>④贮存设施所有者或运营者应建立贮存设施环境管理制度、管理人员岗位职责制度、设施运行操作制度、人员岗位培训制度等。</w:t>
            </w:r>
          </w:p>
          <w:p>
            <w:pPr>
              <w:pStyle w:val="64"/>
              <w:keepNext w:val="0"/>
              <w:keepLines w:val="0"/>
              <w:suppressLineNumbers w:val="0"/>
              <w:adjustRightInd w:val="0"/>
              <w:snapToGrid w:val="0"/>
              <w:spacing w:before="0" w:beforeAutospacing="0" w:after="0" w:afterAutospacing="0"/>
              <w:ind w:left="0" w:right="0" w:firstLineChars="200"/>
              <w:jc w:val="both"/>
              <w:rPr>
                <w:rFonts w:hint="default" w:ascii="Times New Roman" w:hAnsi="Times New Roman" w:cs="Times New Roman"/>
                <w:color w:val="auto"/>
                <w:highlight w:val="none"/>
                <w:lang w:val="en-US" w:eastAsia="zh-CN"/>
              </w:rPr>
            </w:pPr>
            <w:r>
              <w:rPr>
                <w:rFonts w:hint="eastAsia"/>
              </w:rPr>
              <w:t>⑤贮存设施所有者或运营者应依据国家土壤和地下水污染防治的有关规定，结合贮存设施特点建立土壤和地下水污染隐患排查制度，并定期开展隐患排查;发现隐患应及时采取措施消除隐患，并建立档案。</w:t>
            </w:r>
          </w:p>
          <w:p>
            <w:pPr>
              <w:pStyle w:val="64"/>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spacing w:before="0" w:beforeLines="0" w:beforeAutospacing="0" w:after="0" w:afterAutospacing="0"/>
              <w:ind w:left="0" w:leftChars="0" w:right="0" w:rightChars="0"/>
              <w:textAlignment w:val="auto"/>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5.地下水、土壤</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leftChars="0" w:right="0" w:firstLine="48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建筑垃圾再生利用车间</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管理用房</w:t>
            </w:r>
            <w:r>
              <w:rPr>
                <w:rFonts w:hint="default"/>
                <w:color w:val="000000" w:themeColor="text1"/>
                <w:highlight w:val="none"/>
                <w14:textFill>
                  <w14:solidFill>
                    <w14:schemeClr w14:val="tx1"/>
                  </w14:solidFill>
                </w14:textFill>
              </w:rPr>
              <w:t>及厂房外路面严格按照《环境影响评价技术导则 地下水环境》（HJ610-2016）、《石油化工工程防渗技术规范》（GB/T50934-2013）及《给水排水管道工程施工及验收规范》（GB50268-2008）要求进行防渗措施建设，本项目涉及的地下水污染防渗区包括重点污染防渗区和一般污染防渗区。</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leftChars="0" w:right="0" w:firstLine="48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一般污染防渗区：主要为建筑垃圾再生利用车间，防渗设置为等效黏土防渗层Mb≥1.5m，K≤1×10</w:t>
            </w:r>
            <w:r>
              <w:rPr>
                <w:rFonts w:hint="default"/>
                <w:color w:val="000000" w:themeColor="text1"/>
                <w:highlight w:val="none"/>
                <w:vertAlign w:val="superscript"/>
                <w14:textFill>
                  <w14:solidFill>
                    <w14:schemeClr w14:val="tx1"/>
                  </w14:solidFill>
                </w14:textFill>
              </w:rPr>
              <w:t>-7</w:t>
            </w:r>
            <w:r>
              <w:rPr>
                <w:rFonts w:hint="default"/>
                <w:color w:val="000000" w:themeColor="text1"/>
                <w:highlight w:val="none"/>
                <w14:textFill>
                  <w14:solidFill>
                    <w14:schemeClr w14:val="tx1"/>
                  </w14:solidFill>
                </w14:textFill>
              </w:rPr>
              <w:t>cm/s；参照《一般工业固体废物贮存和填埋污染控制标准》（GB18599-20</w:t>
            </w:r>
            <w:r>
              <w:rPr>
                <w:rFonts w:hint="eastAsia"/>
                <w:color w:val="000000" w:themeColor="text1"/>
                <w:highlight w:val="none"/>
                <w:lang w:val="en-US" w:eastAsia="zh-CN"/>
                <w14:textFill>
                  <w14:solidFill>
                    <w14:schemeClr w14:val="tx1"/>
                  </w14:solidFill>
                </w14:textFill>
              </w:rPr>
              <w:t>20</w:t>
            </w:r>
            <w:r>
              <w:rPr>
                <w:rFonts w:hint="default"/>
                <w:color w:val="000000" w:themeColor="text1"/>
                <w:highlight w:val="none"/>
                <w14:textFill>
                  <w14:solidFill>
                    <w14:schemeClr w14:val="tx1"/>
                  </w14:solidFill>
                </w14:textFill>
              </w:rPr>
              <w:t>）中II类场要求设计防渗方案，采用铺设钢筋混</w:t>
            </w:r>
            <w:bookmarkStart w:id="9" w:name="_GoBack"/>
            <w:bookmarkEnd w:id="9"/>
            <w:r>
              <w:rPr>
                <w:rFonts w:hint="default"/>
                <w:color w:val="000000" w:themeColor="text1"/>
                <w:highlight w:val="none"/>
                <w14:textFill>
                  <w14:solidFill>
                    <w14:schemeClr w14:val="tx1"/>
                  </w14:solidFill>
                </w14:textFill>
              </w:rPr>
              <w:t>凝土加防渗剂防渗地坪。</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leftChars="0" w:right="0" w:firstLine="48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重点污染防渗区：主要包括危险废物贮存点等，设置等效黏土防渗层Mb≥6.0m，K≤1×10</w:t>
            </w:r>
            <w:r>
              <w:rPr>
                <w:rFonts w:hint="default"/>
                <w:color w:val="000000" w:themeColor="text1"/>
                <w:highlight w:val="none"/>
                <w:vertAlign w:val="superscript"/>
                <w14:textFill>
                  <w14:solidFill>
                    <w14:schemeClr w14:val="tx1"/>
                  </w14:solidFill>
                </w14:textFill>
              </w:rPr>
              <w:t>-7</w:t>
            </w:r>
            <w:r>
              <w:rPr>
                <w:rFonts w:hint="default"/>
                <w:color w:val="000000" w:themeColor="text1"/>
                <w:highlight w:val="none"/>
                <w14:textFill>
                  <w14:solidFill>
                    <w14:schemeClr w14:val="tx1"/>
                  </w14:solidFill>
                </w14:textFill>
              </w:rPr>
              <w:t>cm/s；参照《危险废物贮存污染控制标准》（GB 18597-2023）中要求的设计防渗方案，防渗材料考虑HDPE防渗膜和水泥基渗透结晶型防渗材料，一种材料单独使用或多种材料结合使用。</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leftChars="0" w:right="0" w:firstLine="48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厂区道路及其他区域仅需一般地面硬化，简单防渗处理。其余区域均为简单防渗区，作一般地面硬化处理即可。</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leftChars="0" w:right="0" w:firstLine="48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切实执行上述环保措施后，危险废物贮存点对地下水和土壤环境影响在可接受范围内，对环境影响较小。</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ind w:left="0" w:leftChars="0" w:right="0" w:firstLine="0" w:firstLineChars="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6.环境风险</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根据《建设项目环境风险评价技术导则》（HJ169-2018）附录B，本项目所涉及的风险物质主要为</w:t>
            </w:r>
            <w:r>
              <w:rPr>
                <w:rFonts w:hint="default" w:ascii="Times New Roman" w:hAnsi="Times New Roman" w:cs="Times New Roman"/>
                <w:color w:val="000000" w:themeColor="text1"/>
                <w:szCs w:val="22"/>
                <w:highlight w:val="none"/>
                <w:lang w:val="en-US" w:eastAsia="zh-CN"/>
                <w14:textFill>
                  <w14:solidFill>
                    <w14:schemeClr w14:val="tx1"/>
                  </w14:solidFill>
                </w14:textFill>
              </w:rPr>
              <w:t>废润滑油</w:t>
            </w:r>
            <w:r>
              <w:rPr>
                <w:rFonts w:hint="default"/>
                <w:color w:val="auto"/>
                <w:highlight w:val="none"/>
                <w:lang w:bidi="ar"/>
              </w:rPr>
              <w:t>，计算本项目风险物质数量与临界量比值Q为0.0002，即Q＜1，根据《建设项目环境影响报告表编制技术指南（污染影响类）》表1“有毒有害和易燃易爆危险物质存储量超过临界量的建设项目，需开展环境风险专项评价”。故本项目</w:t>
            </w:r>
            <w:r>
              <w:rPr>
                <w:rFonts w:hint="eastAsia"/>
                <w:color w:val="auto"/>
                <w:highlight w:val="none"/>
                <w:lang w:val="en-US" w:eastAsia="zh-CN" w:bidi="ar"/>
              </w:rPr>
              <w:t>仅需简单分析，</w:t>
            </w:r>
            <w:r>
              <w:rPr>
                <w:rFonts w:hint="default"/>
                <w:color w:val="auto"/>
                <w:highlight w:val="none"/>
                <w:lang w:bidi="ar"/>
              </w:rPr>
              <w:t>不需要设置《环境风险专项评价》。本项目涉及的风险物质储存及分布情况见表4-1</w:t>
            </w:r>
            <w:r>
              <w:rPr>
                <w:rFonts w:hint="eastAsia"/>
                <w:color w:val="auto"/>
                <w:highlight w:val="none"/>
                <w:lang w:val="en-US" w:eastAsia="zh-CN" w:bidi="ar"/>
              </w:rPr>
              <w:t>7</w:t>
            </w:r>
            <w:r>
              <w:rPr>
                <w:rFonts w:hint="default"/>
                <w:color w:val="auto"/>
                <w:highlight w:val="none"/>
                <w:lang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4"/>
                <w:szCs w:val="22"/>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表</w:t>
            </w: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4-</w:t>
            </w:r>
            <w:r>
              <w:rPr>
                <w:rFonts w:hint="default" w:eastAsia="宋体" w:cs="Times New Roman"/>
                <w:b w:val="0"/>
                <w:bCs/>
                <w:color w:val="000000" w:themeColor="text1"/>
                <w:sz w:val="21"/>
                <w:szCs w:val="21"/>
                <w:highlight w:val="none"/>
                <w:lang w:val="en-US" w:eastAsia="zh-CN" w:bidi="ar"/>
                <w14:textFill>
                  <w14:solidFill>
                    <w14:schemeClr w14:val="tx1"/>
                  </w14:solidFill>
                </w14:textFill>
              </w:rPr>
              <w:t>1</w:t>
            </w:r>
            <w:r>
              <w:rPr>
                <w:rFonts w:hint="eastAsia" w:cs="Times New Roman"/>
                <w:b w:val="0"/>
                <w:bCs/>
                <w:color w:val="000000" w:themeColor="text1"/>
                <w:sz w:val="21"/>
                <w:szCs w:val="21"/>
                <w:highlight w:val="none"/>
                <w:lang w:val="en-US" w:eastAsia="zh-CN" w:bidi="ar"/>
                <w14:textFill>
                  <w14:solidFill>
                    <w14:schemeClr w14:val="tx1"/>
                  </w14:solidFill>
                </w14:textFill>
              </w:rPr>
              <w:t>7</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风险物质数量和分布情况一览表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20"/>
              <w:gridCol w:w="2624"/>
              <w:gridCol w:w="1821"/>
              <w:gridCol w:w="1173"/>
              <w:gridCol w:w="8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63"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序号</w:t>
                  </w:r>
                </w:p>
              </w:tc>
              <w:tc>
                <w:tcPr>
                  <w:tcW w:w="1186"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物质名称</w:t>
                  </w:r>
                </w:p>
              </w:tc>
              <w:tc>
                <w:tcPr>
                  <w:tcW w:w="2550"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区域</w:t>
                  </w:r>
                </w:p>
              </w:tc>
              <w:tc>
                <w:tcPr>
                  <w:tcW w:w="1770"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lang w:eastAsia="zh-CN"/>
                      <w14:textFill>
                        <w14:solidFill>
                          <w14:schemeClr w14:val="tx1"/>
                        </w14:solidFill>
                      </w14:textFill>
                    </w:rPr>
                    <w:t>最大储存</w:t>
                  </w:r>
                  <w:r>
                    <w:rPr>
                      <w:rFonts w:hint="default"/>
                      <w:b/>
                      <w:bCs/>
                      <w:color w:val="000000" w:themeColor="text1"/>
                      <w:highlight w:val="none"/>
                      <w14:textFill>
                        <w14:solidFill>
                          <w14:schemeClr w14:val="tx1"/>
                        </w14:solidFill>
                      </w14:textFill>
                    </w:rPr>
                    <w:t>量（</w:t>
                  </w:r>
                  <w:r>
                    <w:rPr>
                      <w:rFonts w:hint="default"/>
                      <w:b/>
                      <w:bCs/>
                      <w:color w:val="000000" w:themeColor="text1"/>
                      <w:highlight w:val="none"/>
                      <w:lang w:val="en-US" w:eastAsia="zh-CN"/>
                      <w14:textFill>
                        <w14:solidFill>
                          <w14:schemeClr w14:val="tx1"/>
                        </w14:solidFill>
                      </w14:textFill>
                    </w:rPr>
                    <w:t>t</w:t>
                  </w:r>
                  <w:r>
                    <w:rPr>
                      <w:rFonts w:hint="default"/>
                      <w:b/>
                      <w:bCs/>
                      <w:color w:val="000000" w:themeColor="text1"/>
                      <w:highlight w:val="none"/>
                      <w14:textFill>
                        <w14:solidFill>
                          <w14:schemeClr w14:val="tx1"/>
                        </w14:solidFill>
                      </w14:textFill>
                    </w:rPr>
                    <w:t>）</w:t>
                  </w:r>
                </w:p>
              </w:tc>
              <w:tc>
                <w:tcPr>
                  <w:tcW w:w="1140"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highlight w:val="none"/>
                      <w:lang w:eastAsia="zh-CN"/>
                      <w14:textFill>
                        <w14:solidFill>
                          <w14:schemeClr w14:val="tx1"/>
                        </w14:solidFill>
                      </w14:textFill>
                    </w:rPr>
                  </w:pPr>
                  <w:r>
                    <w:rPr>
                      <w:rFonts w:hint="default"/>
                      <w:b/>
                      <w:bCs/>
                      <w:color w:val="000000" w:themeColor="text1"/>
                      <w:highlight w:val="none"/>
                      <w:lang w:eastAsia="zh-CN"/>
                      <w14:textFill>
                        <w14:solidFill>
                          <w14:schemeClr w14:val="tx1"/>
                        </w14:solidFill>
                      </w14:textFill>
                    </w:rPr>
                    <w:t>临界量（</w:t>
                  </w:r>
                  <w:r>
                    <w:rPr>
                      <w:rFonts w:hint="default"/>
                      <w:b/>
                      <w:bCs/>
                      <w:color w:val="000000" w:themeColor="text1"/>
                      <w:highlight w:val="none"/>
                      <w:lang w:val="en-US" w:eastAsia="zh-CN"/>
                      <w14:textFill>
                        <w14:solidFill>
                          <w14:schemeClr w14:val="tx1"/>
                        </w14:solidFill>
                      </w14:textFill>
                    </w:rPr>
                    <w:t>t</w:t>
                  </w:r>
                  <w:r>
                    <w:rPr>
                      <w:rFonts w:hint="default"/>
                      <w:b/>
                      <w:bCs/>
                      <w:color w:val="000000" w:themeColor="text1"/>
                      <w:highlight w:val="none"/>
                      <w:lang w:eastAsia="zh-CN"/>
                      <w14:textFill>
                        <w14:solidFill>
                          <w14:schemeClr w14:val="tx1"/>
                        </w14:solidFill>
                      </w14:textFill>
                    </w:rPr>
                    <w:t>）</w:t>
                  </w:r>
                </w:p>
              </w:tc>
              <w:tc>
                <w:tcPr>
                  <w:tcW w:w="836"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1186"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w:t>废润滑油</w:t>
                  </w:r>
                </w:p>
              </w:tc>
              <w:tc>
                <w:tcPr>
                  <w:tcW w:w="2550"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highlight w:val="none"/>
                      <w:lang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密闭桶收集</w:t>
                  </w:r>
                  <w:r>
                    <w:rPr>
                      <w:rFonts w:hint="eastAsia"/>
                      <w:color w:val="000000" w:themeColor="text1"/>
                      <w:highlight w:val="none"/>
                      <w:lang w:val="en-US" w:eastAsia="zh-CN"/>
                      <w14:textFill>
                        <w14:solidFill>
                          <w14:schemeClr w14:val="tx1"/>
                        </w14:solidFill>
                      </w14:textFill>
                    </w:rPr>
                    <w:t>危险废物</w:t>
                  </w:r>
                  <w:r>
                    <w:rPr>
                      <w:rFonts w:hint="eastAsia"/>
                      <w:color w:val="000000" w:themeColor="text1"/>
                      <w:highlight w:val="none"/>
                      <w:lang w:eastAsia="zh-CN"/>
                      <w14:textFill>
                        <w14:solidFill>
                          <w14:schemeClr w14:val="tx1"/>
                        </w14:solidFill>
                      </w14:textFill>
                    </w:rPr>
                    <w:t>贮存点</w:t>
                  </w:r>
                </w:p>
              </w:tc>
              <w:tc>
                <w:tcPr>
                  <w:tcW w:w="1770"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w:t>
                  </w:r>
                </w:p>
              </w:tc>
              <w:tc>
                <w:tcPr>
                  <w:tcW w:w="1140"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2500</w:t>
                  </w:r>
                </w:p>
              </w:tc>
              <w:tc>
                <w:tcPr>
                  <w:tcW w:w="836" w:type="dxa"/>
                  <w:noWrap w:val="0"/>
                  <w:vAlign w:val="center"/>
                </w:tcPr>
                <w:p>
                  <w:pPr>
                    <w:pStyle w:val="56"/>
                    <w:keepNext w:val="0"/>
                    <w:keepLines w:val="0"/>
                    <w:suppressLineNumbers w:val="0"/>
                    <w:bidi w:val="0"/>
                    <w:spacing w:before="0" w:beforeAutospacing="0" w:after="0" w:afterAutospacing="0"/>
                    <w:ind w:left="0" w:right="0" w:firstLine="0" w:firstLineChars="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0.0002</w:t>
                  </w:r>
                </w:p>
              </w:tc>
            </w:tr>
          </w:tbl>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环境风险影响评价结论如下：</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⑴项目危险因素</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根据《建设项目环境风险评价技术导则》（HJ169-2018）附录B及化学品危险特性进行辨识，本项目涉及的风险物质主要为</w:t>
            </w:r>
            <w:r>
              <w:rPr>
                <w:rFonts w:hint="default" w:ascii="Times New Roman" w:hAnsi="Times New Roman" w:cs="Times New Roman"/>
                <w:color w:val="000000" w:themeColor="text1"/>
                <w:szCs w:val="22"/>
                <w:highlight w:val="none"/>
                <w:lang w:val="en-US" w:eastAsia="zh-CN"/>
                <w14:textFill>
                  <w14:solidFill>
                    <w14:schemeClr w14:val="tx1"/>
                  </w14:solidFill>
                </w14:textFill>
              </w:rPr>
              <w:t>废润滑油</w:t>
            </w:r>
            <w:r>
              <w:rPr>
                <w:rFonts w:hint="default"/>
                <w:color w:val="auto"/>
                <w:highlight w:val="none"/>
                <w:lang w:bidi="ar"/>
              </w:rPr>
              <w:t>。</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⑵环境敏感性及事故环境影响</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①密闭桶及贮存点防渗层破损导致</w:t>
            </w:r>
            <w:r>
              <w:rPr>
                <w:rFonts w:hint="default" w:ascii="Times New Roman" w:hAnsi="Times New Roman" w:cs="Times New Roman"/>
                <w:color w:val="000000" w:themeColor="text1"/>
                <w:szCs w:val="22"/>
                <w:highlight w:val="none"/>
                <w:lang w:val="en-US" w:eastAsia="zh-CN"/>
                <w14:textFill>
                  <w14:solidFill>
                    <w14:schemeClr w14:val="tx1"/>
                  </w14:solidFill>
                </w14:textFill>
              </w:rPr>
              <w:t>废润滑油</w:t>
            </w:r>
            <w:r>
              <w:rPr>
                <w:rFonts w:hint="default"/>
                <w:color w:val="auto"/>
                <w:highlight w:val="none"/>
                <w:lang w:bidi="ar"/>
              </w:rPr>
              <w:t>泄漏下渗污染土壤、地下水。</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②</w:t>
            </w:r>
            <w:r>
              <w:rPr>
                <w:rFonts w:hint="default" w:ascii="Times New Roman" w:hAnsi="Times New Roman" w:cs="Times New Roman"/>
                <w:color w:val="000000" w:themeColor="text1"/>
                <w:szCs w:val="22"/>
                <w:highlight w:val="none"/>
                <w:lang w:val="en-US" w:eastAsia="zh-CN"/>
                <w14:textFill>
                  <w14:solidFill>
                    <w14:schemeClr w14:val="tx1"/>
                  </w14:solidFill>
                </w14:textFill>
              </w:rPr>
              <w:t>废润滑油</w:t>
            </w:r>
            <w:r>
              <w:rPr>
                <w:rFonts w:hint="default"/>
                <w:color w:val="auto"/>
                <w:highlight w:val="none"/>
                <w:lang w:bidi="ar"/>
              </w:rPr>
              <w:t>的挥发性较高，容易释放大量的挥发性有机物质，形成空气污染物，高温或明火下，可能会引起火灾。</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⑶防范措施</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①厂区内危险废物贮存点必须严格按照《危险废物贮存污染控制标准》（GB18597-2023）、《危险废物收集、贮存、运输技术规范》（HJ2025-2012）的要求进行建设。厂区全部硬化，危废贮存点地面采用抗渗混凝土+高密度聚乙烯膜防渗措施，并涂至少2mm高密度聚氯乙烯膜，（防渗层的防渗性能不应低于6.0m厚渗透系数为1.0×10-7cm/s的粘土层的防渗性能）</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color w:val="auto"/>
                <w:highlight w:val="none"/>
                <w:lang w:bidi="ar"/>
              </w:rPr>
            </w:pPr>
            <w:r>
              <w:rPr>
                <w:rFonts w:hint="default"/>
                <w:color w:val="auto"/>
                <w:highlight w:val="none"/>
                <w:lang w:bidi="ar"/>
              </w:rPr>
              <w:t>②设置防渗漏检查设施、消防设施、灭火设施等措施，严禁烟火，并在明显位置张贴危险品标志，一旦发生险情可及时发现处理，消灭隐患。</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FF0000"/>
                <w:highlight w:val="none"/>
                <w:lang w:val="en-US" w:eastAsia="zh-CN"/>
              </w:rPr>
            </w:pPr>
            <w:r>
              <w:rPr>
                <w:rFonts w:hint="default"/>
                <w:color w:val="auto"/>
                <w:highlight w:val="none"/>
                <w:lang w:bidi="ar"/>
              </w:rPr>
              <w:t>综上所述，建设单位应严格落实各项风险防范措施，避免环境风险事故的发生，一旦发生事故，按照完善的事故应急措施及时控制事故，防止事故蔓延，则在此基础上，项目的环境风险可接受。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82" w:hRule="atLeast"/>
          <w:jc w:val="center"/>
        </w:trPr>
        <w:tc>
          <w:tcPr>
            <w:tcW w:w="72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运营期环境影响和保护措施</w:t>
            </w:r>
          </w:p>
        </w:tc>
        <w:tc>
          <w:tcPr>
            <w:tcW w:w="8627" w:type="dxa"/>
            <w:vMerge w:val="continue"/>
            <w:vAlign w:val="center"/>
          </w:tcPr>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FF0000"/>
                <w:highlight w:val="none"/>
                <w:lang w:val="en-US" w:eastAsia="zh-CN"/>
              </w:rPr>
            </w:pPr>
          </w:p>
        </w:tc>
      </w:tr>
    </w:tbl>
    <w:p>
      <w:pPr>
        <w:pStyle w:val="4"/>
        <w:pageBreakBefore w:val="0"/>
        <w:kinsoku/>
        <w:wordWrap/>
        <w:topLinePunct w:val="0"/>
        <w:bidi w:val="0"/>
        <w:adjustRightInd w:val="0"/>
        <w:snapToGrid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五、环境保护措施监督性检查清单</w:t>
      </w:r>
    </w:p>
    <w:tbl>
      <w:tblPr>
        <w:tblStyle w:val="37"/>
        <w:tblW w:w="93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2"/>
        <w:gridCol w:w="1416"/>
        <w:gridCol w:w="1417"/>
        <w:gridCol w:w="2535"/>
        <w:gridCol w:w="22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tcBorders>
              <w:tl2br w:val="single" w:color="auto" w:sz="12" w:space="0"/>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 xml:space="preserve">  内容</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both"/>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要素</w:t>
            </w: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排放口（编号、名称）/污染源</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污染物项目</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环境保护措施</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restart"/>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FF0000"/>
                <w:kern w:val="2"/>
                <w:sz w:val="24"/>
                <w:szCs w:val="24"/>
                <w:highlight w:val="none"/>
                <w:lang w:val="en-US" w:eastAsia="zh-CN" w:bidi="ar-SA"/>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大气环境</w:t>
            </w:r>
          </w:p>
        </w:tc>
        <w:tc>
          <w:tcPr>
            <w:tcW w:w="1416" w:type="dxa"/>
            <w:tcBorders>
              <w:bottom w:val="single" w:color="auto" w:sz="6" w:space="0"/>
            </w:tcBorders>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color w:val="FF0000"/>
                <w:sz w:val="24"/>
                <w:szCs w:val="24"/>
                <w:highlight w:val="none"/>
                <w:lang w:val="en-US" w:eastAsia="zh-CN"/>
              </w:rPr>
            </w:pPr>
            <w:r>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t>建筑垃圾再生利用车间DA00</w:t>
            </w:r>
            <w:r>
              <w:rPr>
                <w:rFonts w:hint="eastAsia" w:eastAsia="仿宋_GB2312" w:cs="Times New Roman"/>
                <w:b w:val="0"/>
                <w:bCs/>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排气筒</w:t>
            </w:r>
          </w:p>
        </w:tc>
        <w:tc>
          <w:tcPr>
            <w:tcW w:w="1417" w:type="dxa"/>
            <w:tcBorders>
              <w:bottom w:val="single" w:color="auto" w:sz="6" w:space="0"/>
            </w:tcBorders>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颗粒物</w:t>
            </w:r>
          </w:p>
        </w:tc>
        <w:tc>
          <w:tcPr>
            <w:tcW w:w="2535" w:type="dxa"/>
            <w:tcBorders>
              <w:bottom w:val="single" w:color="auto" w:sz="6" w:space="0"/>
            </w:tcBorders>
            <w:vAlign w:val="center"/>
          </w:tcPr>
          <w:p>
            <w:pPr>
              <w:keepNext w:val="0"/>
              <w:keepLines w:val="0"/>
              <w:suppressLineNumbers w:val="0"/>
              <w:spacing w:before="0" w:beforeAutospacing="0" w:after="0" w:afterAutospacing="0" w:line="240" w:lineRule="exact"/>
              <w:ind w:left="0" w:right="0" w:firstLine="480" w:firstLineChars="200"/>
              <w:jc w:val="both"/>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pPr>
            <w:r>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t>采用“</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密闭集气罩+布袋除尘器+</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15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m排气筒</w:t>
            </w:r>
            <w:r>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t>”有组织排放，配套使用4台</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活性干雾机</w:t>
            </w:r>
            <w:r>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t>降尘</w:t>
            </w:r>
            <w:r>
              <w:rPr>
                <w:rFonts w:hint="default" w:eastAsia="仿宋_GB2312"/>
                <w:color w:val="000000" w:themeColor="text1"/>
                <w:kern w:val="16"/>
                <w:sz w:val="24"/>
                <w:szCs w:val="24"/>
                <w:highlight w:val="none"/>
                <w:lang w:val="en-US" w:eastAsia="zh-CN"/>
                <w14:textFill>
                  <w14:solidFill>
                    <w14:schemeClr w14:val="tx1"/>
                  </w14:solidFill>
                </w14:textFill>
              </w:rPr>
              <w:t>进行降尘</w:t>
            </w:r>
            <w:r>
              <w:rPr>
                <w:rFonts w:hint="eastAsia" w:eastAsia="仿宋_GB2312"/>
                <w:color w:val="000000" w:themeColor="text1"/>
                <w:kern w:val="16"/>
                <w:sz w:val="24"/>
                <w:szCs w:val="24"/>
                <w:highlight w:val="none"/>
                <w:lang w:val="en-US" w:eastAsia="zh-CN"/>
                <w14:textFill>
                  <w14:solidFill>
                    <w14:schemeClr w14:val="tx1"/>
                  </w14:solidFill>
                </w14:textFill>
              </w:rPr>
              <w:t>处理</w:t>
            </w:r>
            <w:r>
              <w:rPr>
                <w:rFonts w:hint="default" w:eastAsia="仿宋_GB2312"/>
                <w:color w:val="000000" w:themeColor="text1"/>
                <w:kern w:val="16"/>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从而降低粉尘无组织排放量</w:t>
            </w:r>
            <w:r>
              <w:rPr>
                <w:rFonts w:hint="default" w:eastAsia="仿宋_GB2312" w:cs="Times New Roman"/>
                <w:color w:val="000000" w:themeColor="text1"/>
                <w:kern w:val="16"/>
                <w:sz w:val="24"/>
                <w:szCs w:val="24"/>
                <w:highlight w:val="none"/>
                <w:lang w:val="en-US" w:eastAsia="zh-CN"/>
                <w14:textFill>
                  <w14:solidFill>
                    <w14:schemeClr w14:val="tx1"/>
                  </w14:solidFill>
                </w14:textFill>
              </w:rPr>
              <w:t>。</w:t>
            </w:r>
          </w:p>
        </w:tc>
        <w:tc>
          <w:tcPr>
            <w:tcW w:w="2274" w:type="dxa"/>
            <w:tcBorders>
              <w:bottom w:val="single" w:color="auto" w:sz="6" w:space="0"/>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FF0000"/>
                <w:kern w:val="2"/>
                <w:sz w:val="24"/>
                <w:szCs w:val="24"/>
                <w:highlight w:val="none"/>
                <w:lang w:val="en-US" w:eastAsia="zh-CN" w:bidi="ar-SA"/>
              </w:rPr>
            </w:pPr>
            <w:r>
              <w:rPr>
                <w:rFonts w:hint="default" w:ascii="Times New Roman" w:hAnsi="Times New Roman" w:cs="Times New Roman"/>
                <w:b w:val="0"/>
                <w:bCs w:val="0"/>
                <w:color w:val="000000" w:themeColor="text1"/>
                <w:highlight w:val="none"/>
                <w:lang w:eastAsia="zh-CN"/>
                <w14:textFill>
                  <w14:solidFill>
                    <w14:schemeClr w14:val="tx1"/>
                  </w14:solidFill>
                </w14:textFill>
              </w:rPr>
              <w:t>《大气污染物综合排放标准》（GB16297-1996）表2新污染源大气污染物排放限值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p>
        </w:tc>
        <w:tc>
          <w:tcPr>
            <w:tcW w:w="1416" w:type="dxa"/>
            <w:tcBorders>
              <w:bottom w:val="single" w:color="auto" w:sz="6" w:space="0"/>
            </w:tcBorders>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t>建筑垃圾再生利用车间DA00</w:t>
            </w:r>
            <w:r>
              <w:rPr>
                <w:rFonts w:hint="eastAsia" w:eastAsia="仿宋_GB2312" w:cs="Times New Roman"/>
                <w:b w:val="0"/>
                <w:bCs/>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排气筒</w:t>
            </w:r>
          </w:p>
        </w:tc>
        <w:tc>
          <w:tcPr>
            <w:tcW w:w="1417" w:type="dxa"/>
            <w:tcBorders>
              <w:bottom w:val="single" w:color="auto" w:sz="6" w:space="0"/>
            </w:tcBorders>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颗粒物</w:t>
            </w:r>
          </w:p>
        </w:tc>
        <w:tc>
          <w:tcPr>
            <w:tcW w:w="2535" w:type="dxa"/>
            <w:tcBorders>
              <w:bottom w:val="single" w:color="auto" w:sz="6" w:space="0"/>
            </w:tcBorders>
            <w:vAlign w:val="center"/>
          </w:tcPr>
          <w:p>
            <w:pPr>
              <w:keepNext w:val="0"/>
              <w:keepLines w:val="0"/>
              <w:suppressLineNumbers w:val="0"/>
              <w:spacing w:before="0" w:beforeAutospacing="0" w:after="0" w:afterAutospacing="0" w:line="240" w:lineRule="exact"/>
              <w:ind w:left="0" w:right="0" w:firstLine="480" w:firstLineChars="200"/>
              <w:jc w:val="both"/>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pPr>
            <w:r>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t>采用“</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密闭集气罩+布袋除尘器+</w:t>
            </w:r>
            <w:r>
              <w:rPr>
                <w:rFonts w:hint="eastAsia" w:eastAsia="仿宋_GB2312" w:cs="Times New Roman"/>
                <w:b w:val="0"/>
                <w:bCs w:val="0"/>
                <w:color w:val="000000" w:themeColor="text1"/>
                <w:kern w:val="16"/>
                <w:sz w:val="24"/>
                <w:szCs w:val="24"/>
                <w:highlight w:val="none"/>
                <w:lang w:val="en-US" w:eastAsia="zh-CN" w:bidi="ar-SA"/>
                <w14:textFill>
                  <w14:solidFill>
                    <w14:schemeClr w14:val="tx1"/>
                  </w14:solidFill>
                </w14:textFill>
              </w:rPr>
              <w:t>15</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m排气筒</w:t>
            </w:r>
            <w:r>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t>”有组织排放，配套使用4台</w:t>
            </w:r>
            <w:r>
              <w:rPr>
                <w:rFonts w:hint="default" w:ascii="Times New Roman" w:hAnsi="Times New Roman" w:eastAsia="仿宋_GB2312" w:cs="Times New Roman"/>
                <w:b w:val="0"/>
                <w:bCs w:val="0"/>
                <w:color w:val="000000" w:themeColor="text1"/>
                <w:kern w:val="16"/>
                <w:sz w:val="24"/>
                <w:szCs w:val="24"/>
                <w:highlight w:val="none"/>
                <w:lang w:val="en-US" w:eastAsia="zh-CN" w:bidi="ar-SA"/>
                <w14:textFill>
                  <w14:solidFill>
                    <w14:schemeClr w14:val="tx1"/>
                  </w14:solidFill>
                </w14:textFill>
              </w:rPr>
              <w:t>活性干雾机</w:t>
            </w:r>
            <w:r>
              <w:rPr>
                <w:rFonts w:hint="default" w:eastAsia="仿宋_GB2312" w:cs="Times New Roman"/>
                <w:b w:val="0"/>
                <w:bCs w:val="0"/>
                <w:color w:val="000000" w:themeColor="text1"/>
                <w:kern w:val="16"/>
                <w:sz w:val="24"/>
                <w:szCs w:val="24"/>
                <w:highlight w:val="none"/>
                <w:lang w:val="en-US" w:eastAsia="zh-CN" w:bidi="ar-SA"/>
                <w14:textFill>
                  <w14:solidFill>
                    <w14:schemeClr w14:val="tx1"/>
                  </w14:solidFill>
                </w14:textFill>
              </w:rPr>
              <w:t>降尘</w:t>
            </w:r>
            <w:r>
              <w:rPr>
                <w:rFonts w:hint="default" w:eastAsia="仿宋_GB2312"/>
                <w:color w:val="000000" w:themeColor="text1"/>
                <w:kern w:val="16"/>
                <w:sz w:val="24"/>
                <w:szCs w:val="24"/>
                <w:highlight w:val="none"/>
                <w:lang w:val="en-US" w:eastAsia="zh-CN"/>
                <w14:textFill>
                  <w14:solidFill>
                    <w14:schemeClr w14:val="tx1"/>
                  </w14:solidFill>
                </w14:textFill>
              </w:rPr>
              <w:t>进行降尘</w:t>
            </w:r>
            <w:r>
              <w:rPr>
                <w:rFonts w:hint="eastAsia" w:eastAsia="仿宋_GB2312"/>
                <w:color w:val="000000" w:themeColor="text1"/>
                <w:kern w:val="16"/>
                <w:sz w:val="24"/>
                <w:szCs w:val="24"/>
                <w:highlight w:val="none"/>
                <w:lang w:val="en-US" w:eastAsia="zh-CN"/>
                <w14:textFill>
                  <w14:solidFill>
                    <w14:schemeClr w14:val="tx1"/>
                  </w14:solidFill>
                </w14:textFill>
              </w:rPr>
              <w:t>处理</w:t>
            </w:r>
            <w:r>
              <w:rPr>
                <w:rFonts w:hint="default" w:eastAsia="仿宋_GB2312"/>
                <w:color w:val="000000" w:themeColor="text1"/>
                <w:kern w:val="16"/>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kern w:val="16"/>
                <w:sz w:val="24"/>
                <w:szCs w:val="24"/>
                <w:highlight w:val="none"/>
                <w:lang w:val="en-US" w:eastAsia="zh-CN"/>
                <w14:textFill>
                  <w14:solidFill>
                    <w14:schemeClr w14:val="tx1"/>
                  </w14:solidFill>
                </w14:textFill>
              </w:rPr>
              <w:t>从而降低粉尘无组织排放量</w:t>
            </w:r>
            <w:r>
              <w:rPr>
                <w:rFonts w:hint="default" w:eastAsia="仿宋_GB2312" w:cs="Times New Roman"/>
                <w:color w:val="000000" w:themeColor="text1"/>
                <w:kern w:val="16"/>
                <w:sz w:val="24"/>
                <w:szCs w:val="24"/>
                <w:highlight w:val="none"/>
                <w:lang w:val="en-US" w:eastAsia="zh-CN"/>
                <w14:textFill>
                  <w14:solidFill>
                    <w14:schemeClr w14:val="tx1"/>
                  </w14:solidFill>
                </w14:textFill>
              </w:rPr>
              <w:t>。</w:t>
            </w:r>
          </w:p>
        </w:tc>
        <w:tc>
          <w:tcPr>
            <w:tcW w:w="2274" w:type="dxa"/>
            <w:tcBorders>
              <w:bottom w:val="single" w:color="auto" w:sz="6" w:space="0"/>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b w:val="0"/>
                <w:bCs w:val="0"/>
                <w:color w:val="000000" w:themeColor="text1"/>
                <w:highlight w:val="none"/>
                <w:lang w:eastAsia="zh-CN"/>
                <w14:textFill>
                  <w14:solidFill>
                    <w14:schemeClr w14:val="tx1"/>
                  </w14:solidFill>
                </w14:textFill>
              </w:rPr>
            </w:pPr>
            <w:r>
              <w:rPr>
                <w:rFonts w:hint="default" w:ascii="Times New Roman" w:hAnsi="Times New Roman" w:cs="Times New Roman"/>
                <w:b w:val="0"/>
                <w:bCs w:val="0"/>
                <w:color w:val="000000" w:themeColor="text1"/>
                <w:highlight w:val="none"/>
                <w:lang w:eastAsia="zh-CN"/>
                <w14:textFill>
                  <w14:solidFill>
                    <w14:schemeClr w14:val="tx1"/>
                  </w14:solidFill>
                </w14:textFill>
              </w:rPr>
              <w:t>大气污染物综合排放标准》（GB16297-1996）表2新污染源大气污染物排放限值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FF0000"/>
                <w:kern w:val="2"/>
                <w:sz w:val="24"/>
                <w:szCs w:val="24"/>
                <w:highlight w:val="none"/>
                <w:lang w:val="en-US" w:eastAsia="zh-CN" w:bidi="ar-SA"/>
              </w:rPr>
            </w:pPr>
          </w:p>
        </w:tc>
        <w:tc>
          <w:tcPr>
            <w:tcW w:w="1416" w:type="dxa"/>
            <w:tcBorders>
              <w:top w:val="single" w:color="auto" w:sz="6" w:space="0"/>
            </w:tcBorders>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厂界</w:t>
            </w:r>
          </w:p>
        </w:tc>
        <w:tc>
          <w:tcPr>
            <w:tcW w:w="1417" w:type="dxa"/>
            <w:tcBorders>
              <w:top w:val="single" w:color="auto" w:sz="6" w:space="0"/>
              <w:bottom w:val="single" w:color="auto" w:sz="6"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highlight w:val="none"/>
                <w:lang w:val="en-US" w:eastAsia="zh-CN"/>
                <w14:textFill>
                  <w14:solidFill>
                    <w14:schemeClr w14:val="tx1"/>
                  </w14:solidFill>
                </w14:textFill>
              </w:rPr>
              <w:t>颗粒物</w:t>
            </w:r>
          </w:p>
        </w:tc>
        <w:tc>
          <w:tcPr>
            <w:tcW w:w="2535" w:type="dxa"/>
            <w:tcBorders>
              <w:top w:val="single" w:color="auto" w:sz="6" w:space="0"/>
              <w:bottom w:val="single" w:color="auto" w:sz="6" w:space="0"/>
            </w:tcBorders>
            <w:vAlign w:val="center"/>
          </w:tcPr>
          <w:p>
            <w:pPr>
              <w:keepNext w:val="0"/>
              <w:keepLines w:val="0"/>
              <w:widowControl/>
              <w:numPr>
                <w:ilvl w:val="0"/>
                <w:numId w:val="0"/>
              </w:numPr>
              <w:suppressLineNumbers w:val="0"/>
              <w:adjustRightInd/>
              <w:snapToGrid/>
              <w:spacing w:before="0" w:beforeAutospacing="0" w:after="0" w:afterAutospacing="0" w:line="240" w:lineRule="exact"/>
              <w:ind w:left="0" w:right="0" w:firstLine="480"/>
              <w:rPr>
                <w:rFonts w:hint="default" w:ascii="Times New Roman" w:hAnsi="Times New Roman" w:eastAsia="仿宋_GB2312"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建筑</w:t>
            </w:r>
            <w:r>
              <w:rPr>
                <w:rFonts w:hint="eastAsia" w:eastAsia="仿宋_GB2312" w:cs="Times New Roman"/>
                <w:color w:val="000000" w:themeColor="text1"/>
                <w:sz w:val="24"/>
                <w:szCs w:val="24"/>
                <w:highlight w:val="none"/>
                <w:lang w:val="en-US" w:eastAsia="zh-CN"/>
                <w14:textFill>
                  <w14:solidFill>
                    <w14:schemeClr w14:val="tx1"/>
                  </w14:solidFill>
                </w14:textFill>
              </w:rPr>
              <w:t>垃圾</w:t>
            </w:r>
            <w:r>
              <w:rPr>
                <w:rFonts w:hint="eastAsia" w:eastAsia="仿宋_GB2312"/>
                <w:color w:val="000000" w:themeColor="text1"/>
                <w:sz w:val="24"/>
                <w:szCs w:val="24"/>
                <w:highlight w:val="none"/>
                <w:lang w:val="en-US" w:eastAsia="zh-CN"/>
                <w14:textFill>
                  <w14:solidFill>
                    <w14:schemeClr w14:val="tx1"/>
                  </w14:solidFill>
                </w14:textFill>
              </w:rPr>
              <w:t>原料采用</w:t>
            </w:r>
            <w:r>
              <w:rPr>
                <w:rFonts w:hint="eastAsia" w:eastAsia="仿宋_GB2312"/>
                <w:color w:val="000000" w:themeColor="text1"/>
                <w:sz w:val="24"/>
                <w:szCs w:val="24"/>
                <w:highlight w:val="none"/>
                <w14:textFill>
                  <w14:solidFill>
                    <w14:schemeClr w14:val="tx1"/>
                  </w14:solidFill>
                </w14:textFill>
              </w:rPr>
              <w:t>防尘网罩盖，避免扬尘飞起</w:t>
            </w:r>
            <w:r>
              <w:rPr>
                <w:rFonts w:hint="eastAsia" w:eastAsia="仿宋_GB2312"/>
                <w:color w:val="000000" w:themeColor="text1"/>
                <w:sz w:val="24"/>
                <w:szCs w:val="24"/>
                <w:highlight w:val="none"/>
                <w:lang w:eastAsia="zh-CN"/>
                <w14:textFill>
                  <w14:solidFill>
                    <w14:schemeClr w14:val="tx1"/>
                  </w14:solidFill>
                </w14:textFill>
              </w:rPr>
              <w:t>，</w:t>
            </w:r>
            <w:r>
              <w:rPr>
                <w:rFonts w:hint="eastAsia" w:eastAsia="仿宋_GB2312"/>
                <w:color w:val="000000" w:themeColor="text1"/>
                <w:sz w:val="24"/>
                <w:szCs w:val="24"/>
                <w:highlight w:val="none"/>
                <w:lang w:val="en-US" w:eastAsia="zh-CN"/>
                <w14:textFill>
                  <w14:solidFill>
                    <w14:schemeClr w14:val="tx1"/>
                  </w14:solidFill>
                </w14:textFill>
              </w:rPr>
              <w:t>并在道路两旁设置</w:t>
            </w:r>
            <w:r>
              <w:rPr>
                <w:rFonts w:hint="eastAsia" w:eastAsia="仿宋_GB2312"/>
                <w:color w:val="000000" w:themeColor="text1"/>
                <w:sz w:val="24"/>
                <w:szCs w:val="24"/>
                <w:highlight w:val="none"/>
                <w14:textFill>
                  <w14:solidFill>
                    <w14:schemeClr w14:val="tx1"/>
                  </w14:solidFill>
                </w14:textFill>
              </w:rPr>
              <w:t>雾炮环保系统降尘</w:t>
            </w:r>
            <w:r>
              <w:rPr>
                <w:rFonts w:hint="eastAsia" w:eastAsia="仿宋_GB2312"/>
                <w:color w:val="000000" w:themeColor="text1"/>
                <w:sz w:val="24"/>
                <w:szCs w:val="24"/>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使得废弃物卸料过程始终处于湿式状态，从而降低粉尘无组织排放量。</w:t>
            </w:r>
            <w:r>
              <w:rPr>
                <w:rFonts w:hint="default" w:ascii="Times New Roman" w:hAnsi="Times New Roman" w:eastAsia="仿宋_GB2312" w:cs="Times New Roman"/>
                <w:b w:val="0"/>
                <w:bCs w:val="0"/>
                <w:color w:val="000000" w:themeColor="text1"/>
                <w:sz w:val="24"/>
                <w:szCs w:val="24"/>
                <w:highlight w:val="none"/>
                <w:vertAlign w:val="baseline"/>
                <w:lang w:val="en-US" w:eastAsia="zh-CN"/>
                <w14:textFill>
                  <w14:solidFill>
                    <w14:schemeClr w14:val="tx1"/>
                  </w14:solidFill>
                </w14:textFill>
              </w:rPr>
              <w:t>加强车间通风，厂区绿化</w:t>
            </w:r>
            <w:r>
              <w:rPr>
                <w:rFonts w:hint="eastAsia" w:eastAsia="仿宋_GB2312" w:cs="Times New Roman"/>
                <w:b w:val="0"/>
                <w:bCs w:val="0"/>
                <w:color w:val="000000" w:themeColor="text1"/>
                <w:sz w:val="24"/>
                <w:szCs w:val="24"/>
                <w:highlight w:val="none"/>
                <w:vertAlign w:val="baseline"/>
                <w:lang w:val="en-US" w:eastAsia="zh-CN"/>
                <w14:textFill>
                  <w14:solidFill>
                    <w14:schemeClr w14:val="tx1"/>
                  </w14:solidFill>
                </w14:textFill>
              </w:rPr>
              <w:t>。</w:t>
            </w:r>
          </w:p>
        </w:tc>
        <w:tc>
          <w:tcPr>
            <w:tcW w:w="2274" w:type="dxa"/>
            <w:tcBorders>
              <w:top w:val="single" w:color="auto" w:sz="6" w:space="0"/>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b w:val="0"/>
                <w:bCs w:val="0"/>
                <w:color w:val="000000" w:themeColor="text1"/>
                <w:highlight w:val="none"/>
                <w:lang w:eastAsia="zh-CN"/>
                <w14:textFill>
                  <w14:solidFill>
                    <w14:schemeClr w14:val="tx1"/>
                  </w14:solidFill>
                </w14:textFill>
              </w:rPr>
            </w:pPr>
            <w:r>
              <w:rPr>
                <w:rFonts w:hint="default" w:ascii="Times New Roman" w:hAnsi="Times New Roman" w:cs="Times New Roman"/>
                <w:b w:val="0"/>
                <w:bCs w:val="0"/>
                <w:color w:val="000000" w:themeColor="text1"/>
                <w:highlight w:val="none"/>
                <w:lang w:eastAsia="zh-CN"/>
                <w14:textFill>
                  <w14:solidFill>
                    <w14:schemeClr w14:val="tx1"/>
                  </w14:solidFill>
                </w14:textFill>
              </w:rPr>
              <w:t>《大气污染物综合排放标准》（GB16297-1996）表2新污染源大气污染物排放限值</w:t>
            </w:r>
            <w:r>
              <w:rPr>
                <w:rFonts w:hint="eastAsia" w:cs="Times New Roman"/>
                <w:b w:val="0"/>
                <w:bCs w:val="0"/>
                <w:color w:val="000000" w:themeColor="text1"/>
                <w:highlight w:val="none"/>
                <w:lang w:eastAsia="zh-CN"/>
                <w14:textFill>
                  <w14:solidFill>
                    <w14:schemeClr w14:val="tx1"/>
                  </w14:solidFill>
                </w14:textFill>
              </w:rPr>
              <w:t>；</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b w:val="0"/>
                <w:bCs w:val="0"/>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w:t>《水泥工业大气污染物排放标准》（DB 64/1995-2024）中表1排放限值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restart"/>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FF0000"/>
                <w:kern w:val="2"/>
                <w:sz w:val="24"/>
                <w:szCs w:val="24"/>
                <w:highlight w:val="none"/>
                <w:lang w:val="en-US" w:eastAsia="zh-CN" w:bidi="ar-SA"/>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地表水环境</w:t>
            </w:r>
          </w:p>
        </w:tc>
        <w:tc>
          <w:tcPr>
            <w:tcW w:w="1416" w:type="dxa"/>
            <w:tcBorders>
              <w:top w:val="single" w:color="auto" w:sz="6" w:space="0"/>
              <w:bottom w:val="single" w:color="auto" w:sz="4" w:space="0"/>
            </w:tcBorders>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4"/>
                <w:szCs w:val="24"/>
                <w:highlight w:val="none"/>
                <w:lang w:val="en-US" w:eastAsia="zh-CN" w:bidi="ar-SA"/>
                <w14:textFill>
                  <w14:solidFill>
                    <w14:schemeClr w14:val="tx1"/>
                  </w14:solidFill>
                </w14:textFill>
              </w:rPr>
              <w:t>产生废水</w:t>
            </w:r>
          </w:p>
        </w:tc>
        <w:tc>
          <w:tcPr>
            <w:tcW w:w="1417" w:type="dxa"/>
            <w:tcBorders>
              <w:top w:val="single" w:color="auto" w:sz="6" w:space="0"/>
              <w:bottom w:val="single" w:color="auto" w:sz="4" w:space="0"/>
            </w:tcBorders>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t>/</w:t>
            </w:r>
          </w:p>
        </w:tc>
        <w:tc>
          <w:tcPr>
            <w:tcW w:w="2535" w:type="dxa"/>
            <w:tcBorders>
              <w:top w:val="single" w:color="auto" w:sz="6" w:space="0"/>
              <w:bottom w:val="single" w:color="auto" w:sz="4" w:space="0"/>
            </w:tcBorders>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eastAsia="仿宋_GB2312" w:cs="Times New Roman"/>
                <w:b w:val="0"/>
                <w:bCs w:val="0"/>
                <w:color w:val="000000" w:themeColor="text1"/>
                <w:kern w:val="2"/>
                <w:sz w:val="24"/>
                <w:szCs w:val="24"/>
                <w:highlight w:val="none"/>
                <w:lang w:val="en-US" w:eastAsia="zh-CN" w:bidi="ar-SA"/>
                <w14:textFill>
                  <w14:solidFill>
                    <w14:schemeClr w14:val="tx1"/>
                  </w14:solidFill>
                </w14:textFill>
              </w:rPr>
              <w:t>新建</w:t>
            </w:r>
            <w:r>
              <w:rPr>
                <w:rFonts w:hint="default" w:ascii="Times New Roman" w:hAnsi="Times New Roman" w:eastAsia="仿宋_GB2312" w:cs="Times New Roman"/>
                <w:b w:val="0"/>
                <w:bCs w:val="0"/>
                <w:color w:val="000000" w:themeColor="text1"/>
                <w:kern w:val="2"/>
                <w:sz w:val="24"/>
                <w:szCs w:val="24"/>
                <w:highlight w:val="none"/>
                <w:lang w:val="en-US" w:eastAsia="zh-CN" w:bidi="ar-SA"/>
                <w14:textFill>
                  <w14:solidFill>
                    <w14:schemeClr w14:val="tx1"/>
                  </w14:solidFill>
                </w14:textFill>
              </w:rPr>
              <w:t>一座30m</w:t>
            </w:r>
            <w:r>
              <w:rPr>
                <w:rFonts w:hint="default" w:ascii="Times New Roman" w:hAnsi="Times New Roman" w:eastAsia="仿宋_GB2312" w:cs="Times New Roman"/>
                <w:b w:val="0"/>
                <w:bCs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2"/>
                <w:sz w:val="24"/>
                <w:szCs w:val="24"/>
                <w:highlight w:val="none"/>
                <w:lang w:val="en-US" w:eastAsia="zh-CN" w:bidi="ar-SA"/>
                <w14:textFill>
                  <w14:solidFill>
                    <w14:schemeClr w14:val="tx1"/>
                  </w14:solidFill>
                </w14:textFill>
              </w:rPr>
              <w:t>生产废水收集沉淀池，循环利用</w:t>
            </w:r>
          </w:p>
        </w:tc>
        <w:tc>
          <w:tcPr>
            <w:tcW w:w="2274" w:type="dxa"/>
            <w:tcBorders>
              <w:top w:val="single" w:color="auto" w:sz="6" w:space="0"/>
              <w:bottom w:val="single" w:color="auto" w:sz="4" w:space="0"/>
            </w:tcBorders>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b w:val="0"/>
                <w:bCs/>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kern w:val="16"/>
                <w:sz w:val="24"/>
                <w:szCs w:val="24"/>
                <w:highlight w:val="none"/>
                <w:lang w:val="en-US" w:eastAsia="zh-CN" w:bidi="ar-SA"/>
                <w14:textFill>
                  <w14:solidFill>
                    <w14:schemeClr w14:val="tx1"/>
                  </w14:solidFill>
                </w14:textFill>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FF0000"/>
                <w:kern w:val="2"/>
                <w:sz w:val="24"/>
                <w:szCs w:val="24"/>
                <w:highlight w:val="none"/>
                <w:lang w:val="en-US" w:eastAsia="zh-CN" w:bidi="ar-SA"/>
              </w:rPr>
            </w:pPr>
          </w:p>
        </w:tc>
        <w:tc>
          <w:tcPr>
            <w:tcW w:w="1416" w:type="dxa"/>
            <w:tcBorders>
              <w:top w:val="single" w:color="auto" w:sz="4" w:space="0"/>
              <w:bottom w:val="single" w:color="auto" w:sz="4" w:space="0"/>
            </w:tcBorders>
            <w:shd w:val="clear" w:color="auto" w:fill="auto"/>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4"/>
                <w:szCs w:val="24"/>
                <w:highlight w:val="none"/>
                <w:lang w:val="en-US" w:eastAsia="zh-CN" w:bidi="ar-SA"/>
                <w14:textFill>
                  <w14:solidFill>
                    <w14:schemeClr w14:val="tx1"/>
                  </w14:solidFill>
                </w14:textFill>
              </w:rPr>
              <w:t>生活污水DW001</w:t>
            </w:r>
          </w:p>
        </w:tc>
        <w:tc>
          <w:tcPr>
            <w:tcW w:w="1417" w:type="dxa"/>
            <w:tcBorders>
              <w:top w:val="single" w:color="auto" w:sz="4" w:space="0"/>
              <w:bottom w:val="single" w:color="auto" w:sz="4" w:space="0"/>
            </w:tcBorders>
            <w:shd w:val="clear" w:color="auto" w:fill="auto"/>
            <w:vAlign w:val="center"/>
          </w:tcPr>
          <w:p>
            <w:pPr>
              <w:pStyle w:val="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pH、COD、BOD</w:t>
            </w:r>
            <w:r>
              <w:rPr>
                <w:rFonts w:hint="default" w:ascii="Times New Roman" w:hAnsi="Times New Roman" w:eastAsia="宋体" w:cs="Times New Roman"/>
                <w:color w:val="000000" w:themeColor="text1"/>
                <w:highlight w:val="none"/>
                <w:vertAlign w:val="subscript"/>
                <w14:textFill>
                  <w14:solidFill>
                    <w14:schemeClr w14:val="tx1"/>
                  </w14:solidFill>
                </w14:textFill>
              </w:rPr>
              <w:t>5</w:t>
            </w:r>
            <w:r>
              <w:rPr>
                <w:rFonts w:hint="default" w:ascii="Times New Roman" w:hAnsi="Times New Roman" w:eastAsia="宋体" w:cs="Times New Roman"/>
                <w:color w:val="000000" w:themeColor="text1"/>
                <w:highlight w:val="none"/>
                <w14:textFill>
                  <w14:solidFill>
                    <w14:schemeClr w14:val="tx1"/>
                  </w14:solidFill>
                </w14:textFill>
              </w:rPr>
              <w:t>、NH</w:t>
            </w:r>
            <w:r>
              <w:rPr>
                <w:rFonts w:hint="default" w:ascii="Times New Roman" w:hAnsi="Times New Roman" w:eastAsia="宋体" w:cs="Times New Roman"/>
                <w:color w:val="000000" w:themeColor="text1"/>
                <w:highlight w:val="none"/>
                <w:vertAlign w:val="sub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-N、SS</w:t>
            </w:r>
            <w:r>
              <w:rPr>
                <w:rFonts w:hint="default" w:ascii="Times New Roman" w:hAnsi="Times New Roman" w:eastAsia="宋体" w:cs="Times New Roman"/>
                <w:color w:val="000000" w:themeColor="text1"/>
                <w:highlight w:val="none"/>
                <w:lang w:eastAsia="zh-CN"/>
                <w14:textFill>
                  <w14:solidFill>
                    <w14:schemeClr w14:val="tx1"/>
                  </w14:solidFill>
                </w14:textFill>
              </w:rPr>
              <w:t>、</w:t>
            </w:r>
          </w:p>
        </w:tc>
        <w:tc>
          <w:tcPr>
            <w:tcW w:w="2535" w:type="dxa"/>
            <w:tcBorders>
              <w:top w:val="single" w:color="auto" w:sz="4" w:space="0"/>
              <w:bottom w:val="single" w:color="auto" w:sz="4" w:space="0"/>
            </w:tcBorders>
            <w:shd w:val="clear" w:color="auto" w:fill="auto"/>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b w:val="0"/>
                <w:bCs w:val="0"/>
                <w:color w:val="FF0000"/>
                <w:kern w:val="2"/>
                <w:sz w:val="24"/>
                <w:szCs w:val="24"/>
                <w:highlight w:val="none"/>
                <w:lang w:val="en-US" w:eastAsia="zh-CN" w:bidi="ar-SA"/>
              </w:rPr>
            </w:pPr>
            <w:r>
              <w:rPr>
                <w:rFonts w:hint="eastAsia" w:eastAsia="仿宋_GB2312" w:cs="Times New Roman"/>
                <w:b w:val="0"/>
                <w:bCs w:val="0"/>
                <w:color w:val="000000" w:themeColor="text1"/>
                <w:kern w:val="2"/>
                <w:sz w:val="24"/>
                <w:szCs w:val="24"/>
                <w:highlight w:val="none"/>
                <w:lang w:val="en-US" w:eastAsia="zh-CN" w:bidi="ar-SA"/>
                <w14:textFill>
                  <w14:solidFill>
                    <w14:schemeClr w14:val="tx1"/>
                  </w14:solidFill>
                </w14:textFill>
              </w:rPr>
              <w:t>新建</w:t>
            </w:r>
            <w:r>
              <w:rPr>
                <w:rFonts w:hint="default" w:ascii="Times New Roman" w:hAnsi="Times New Roman" w:eastAsia="仿宋_GB2312" w:cs="Times New Roman"/>
                <w:b w:val="0"/>
                <w:bCs w:val="0"/>
                <w:color w:val="000000" w:themeColor="text1"/>
                <w:kern w:val="2"/>
                <w:sz w:val="24"/>
                <w:szCs w:val="24"/>
                <w:highlight w:val="none"/>
                <w:lang w:val="en-US" w:eastAsia="zh-CN" w:bidi="ar-SA"/>
                <w14:textFill>
                  <w14:solidFill>
                    <w14:schemeClr w14:val="tx1"/>
                  </w14:solidFill>
                </w14:textFill>
              </w:rPr>
              <w:t>2座化粪池，管理用房生活污水经管道排至室外20m</w:t>
            </w:r>
            <w:r>
              <w:rPr>
                <w:rFonts w:hint="default" w:ascii="Times New Roman" w:hAnsi="Times New Roman" w:eastAsia="仿宋_GB2312" w:cs="Times New Roman"/>
                <w:b w:val="0"/>
                <w:bCs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2"/>
                <w:sz w:val="24"/>
                <w:szCs w:val="24"/>
                <w:highlight w:val="none"/>
                <w:lang w:val="en-US" w:eastAsia="zh-CN" w:bidi="ar-SA"/>
                <w14:textFill>
                  <w14:solidFill>
                    <w14:schemeClr w14:val="tx1"/>
                  </w14:solidFill>
                </w14:textFill>
              </w:rPr>
              <w:t>化粪池，生产区卫生间污水经管道排至卫生间下方设置的12m</w:t>
            </w:r>
            <w:r>
              <w:rPr>
                <w:rFonts w:hint="default" w:ascii="Times New Roman" w:hAnsi="Times New Roman" w:eastAsia="仿宋_GB2312" w:cs="Times New Roman"/>
                <w:b w:val="0"/>
                <w:bCs w:val="0"/>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_GB2312" w:cs="Times New Roman"/>
                <w:b w:val="0"/>
                <w:bCs w:val="0"/>
                <w:color w:val="000000" w:themeColor="text1"/>
                <w:kern w:val="2"/>
                <w:sz w:val="24"/>
                <w:szCs w:val="24"/>
                <w:highlight w:val="none"/>
                <w:lang w:val="en-US" w:eastAsia="zh-CN" w:bidi="ar-SA"/>
                <w14:textFill>
                  <w14:solidFill>
                    <w14:schemeClr w14:val="tx1"/>
                  </w14:solidFill>
                </w14:textFill>
              </w:rPr>
              <w:t>化粪池，由专业人员定期清理外运至彭阳县第二污水处理厂。</w:t>
            </w:r>
          </w:p>
        </w:tc>
        <w:tc>
          <w:tcPr>
            <w:tcW w:w="2274" w:type="dxa"/>
            <w:tcBorders>
              <w:top w:val="single" w:color="auto" w:sz="4" w:space="0"/>
              <w:bottom w:val="single" w:color="auto" w:sz="4" w:space="0"/>
            </w:tcBorders>
            <w:shd w:val="clear" w:color="auto" w:fill="auto"/>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仿宋_GB2312" w:cs="Times New Roman"/>
                <w:b w:val="0"/>
                <w:bCs/>
                <w:color w:val="FF0000"/>
                <w:kern w:val="16"/>
                <w:sz w:val="24"/>
                <w:szCs w:val="24"/>
                <w:highlight w:val="none"/>
                <w:lang w:val="en-US" w:eastAsia="zh-CN" w:bidi="ar-SA"/>
              </w:rPr>
            </w:pPr>
            <w:r>
              <w:rPr>
                <w:rFonts w:hint="default" w:ascii="Times New Roman" w:hAnsi="Times New Roman" w:cs="Times New Roman"/>
                <w:color w:val="000000" w:themeColor="text1"/>
                <w:highlight w:val="none"/>
                <w:lang w:val="en-US" w:eastAsia="zh-CN"/>
                <w14:textFill>
                  <w14:solidFill>
                    <w14:schemeClr w14:val="tx1"/>
                  </w14:solidFill>
                </w14:textFill>
              </w:rPr>
              <w:t>污水处理厂接管标准，</w:t>
            </w:r>
            <w:r>
              <w:rPr>
                <w:rFonts w:hint="default" w:ascii="Times New Roman" w:hAnsi="Times New Roman" w:cs="Times New Roman"/>
                <w:color w:val="000000" w:themeColor="text1"/>
                <w:highlight w:val="none"/>
                <w14:textFill>
                  <w14:solidFill>
                    <w14:schemeClr w14:val="tx1"/>
                  </w14:solidFill>
                </w14:textFill>
              </w:rPr>
              <w:t>接管标准</w:t>
            </w:r>
            <w:r>
              <w:rPr>
                <w:rFonts w:hint="default" w:ascii="Times New Roman" w:hAnsi="Times New Roman" w:cs="Times New Roman"/>
                <w:color w:val="000000" w:themeColor="text1"/>
                <w:highlight w:val="none"/>
                <w:lang w:eastAsia="zh-CN"/>
                <w14:textFill>
                  <w14:solidFill>
                    <w14:schemeClr w14:val="tx1"/>
                  </w14:solidFill>
                </w14:textFill>
              </w:rPr>
              <w:t>来源</w:t>
            </w:r>
            <w:r>
              <w:rPr>
                <w:rFonts w:hint="default" w:ascii="Times New Roman" w:hAnsi="Times New Roman" w:cs="Times New Roman"/>
                <w:color w:val="000000" w:themeColor="text1"/>
                <w:highlight w:val="none"/>
                <w14:textFill>
                  <w14:solidFill>
                    <w14:schemeClr w14:val="tx1"/>
                  </w14:solidFill>
                </w14:textFill>
              </w:rPr>
              <w:t>为《污水综合排放标准》(GB8978-1996)中的三级标准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声环境</w:t>
            </w: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t>各类生产机械、风机、运输车辆等</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t>Leq(A)</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both"/>
              <w:textAlignment w:val="auto"/>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Cs/>
                <w:color w:val="000000" w:themeColor="text1"/>
                <w:kern w:val="0"/>
                <w:sz w:val="24"/>
                <w:szCs w:val="24"/>
                <w:highlight w:val="none"/>
                <w:lang w:val="en-US" w:eastAsia="zh-CN"/>
                <w14:textFill>
                  <w14:solidFill>
                    <w14:schemeClr w14:val="tx1"/>
                  </w14:solidFill>
                </w14:textFill>
              </w:rPr>
              <w:t>对高噪声设备安装隔声、减震</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14:textFill>
                  <w14:solidFill>
                    <w14:schemeClr w14:val="tx1"/>
                  </w14:solidFill>
                </w14:textFill>
              </w:rPr>
              <w:t>《工业企业厂界环境噪声排放标准》（GB 12348-2008）中</w:t>
            </w:r>
            <w:r>
              <w:rPr>
                <w:rFonts w:hint="eastAsia"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仿宋_GB2312" w:cs="Times New Roman"/>
                <w:b w:val="0"/>
                <w:bCs/>
                <w:color w:val="000000" w:themeColor="text1"/>
                <w:sz w:val="24"/>
                <w:szCs w:val="24"/>
                <w:highlight w:val="none"/>
                <w14:textFill>
                  <w14:solidFill>
                    <w14:schemeClr w14:val="tx1"/>
                  </w14:solidFill>
                </w14:textFill>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电磁辐射</w:t>
            </w: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val="0"/>
                <w:bCs/>
                <w:color w:val="000000" w:themeColor="text1"/>
                <w:kern w:val="2"/>
                <w:sz w:val="24"/>
                <w:szCs w:val="24"/>
                <w:highlight w:val="none"/>
                <w:lang w:val="en-US" w:eastAsia="zh-CN" w:bidi="ar-SA"/>
                <w14:textFill>
                  <w14:solidFill>
                    <w14:schemeClr w14:val="tx1"/>
                  </w14:solidFill>
                </w14:textFill>
              </w:rPr>
              <w:t>/</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4"/>
                <w:highlight w:val="none"/>
                <w:lang w:val="en-US" w:eastAsia="zh-CN"/>
                <w14:textFill>
                  <w14:solidFill>
                    <w14:schemeClr w14:val="tx1"/>
                  </w14:solidFill>
                </w14:textFill>
              </w:rPr>
              <w:t>/</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 w:hRule="atLeast"/>
          <w:jc w:val="center"/>
        </w:trPr>
        <w:tc>
          <w:tcPr>
            <w:tcW w:w="1712" w:type="dxa"/>
            <w:vMerge w:val="restart"/>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FF0000"/>
                <w:kern w:val="2"/>
                <w:sz w:val="24"/>
                <w:szCs w:val="24"/>
                <w:highlight w:val="none"/>
                <w:lang w:val="en-US" w:eastAsia="zh-CN" w:bidi="ar-SA"/>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固体废物</w:t>
            </w:r>
          </w:p>
        </w:tc>
        <w:tc>
          <w:tcPr>
            <w:tcW w:w="1416" w:type="dxa"/>
            <w:vMerge w:val="restart"/>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FF0000"/>
                <w:sz w:val="24"/>
                <w:szCs w:val="24"/>
                <w:highlight w:val="none"/>
                <w:lang w:val="en-US" w:eastAsia="zh-CN"/>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建筑固废中其他组成</w:t>
            </w:r>
          </w:p>
        </w:tc>
        <w:tc>
          <w:tcPr>
            <w:tcW w:w="1417"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沥青</w:t>
            </w:r>
          </w:p>
        </w:tc>
        <w:tc>
          <w:tcPr>
            <w:tcW w:w="2535"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bCs/>
                <w:color w:val="000000" w:themeColor="text1"/>
                <w:sz w:val="24"/>
                <w:szCs w:val="24"/>
                <w:highlight w:val="none"/>
                <w14:textFill>
                  <w14:solidFill>
                    <w14:schemeClr w14:val="tx1"/>
                  </w14:solidFill>
                </w14:textFill>
              </w:rPr>
              <w:t>不暂存，外售</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沥青</w:t>
            </w:r>
            <w:r>
              <w:rPr>
                <w:rFonts w:hint="default" w:ascii="Times New Roman" w:hAnsi="Times New Roman"/>
                <w:bCs/>
                <w:color w:val="000000" w:themeColor="text1"/>
                <w:sz w:val="24"/>
                <w:szCs w:val="24"/>
                <w:highlight w:val="none"/>
                <w14:textFill>
                  <w14:solidFill>
                    <w14:schemeClr w14:val="tx1"/>
                  </w14:solidFill>
                </w14:textFill>
              </w:rPr>
              <w:t>厂</w:t>
            </w:r>
          </w:p>
        </w:tc>
        <w:tc>
          <w:tcPr>
            <w:tcW w:w="2274" w:type="dxa"/>
            <w:vMerge w:val="restart"/>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妥善利用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pPr>
          </w:p>
        </w:tc>
        <w:tc>
          <w:tcPr>
            <w:tcW w:w="1416"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pPr>
          </w:p>
        </w:tc>
        <w:tc>
          <w:tcPr>
            <w:tcW w:w="1417"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玻璃</w:t>
            </w:r>
          </w:p>
        </w:tc>
        <w:tc>
          <w:tcPr>
            <w:tcW w:w="2535"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bCs/>
                <w:color w:val="000000" w:themeColor="text1"/>
                <w:sz w:val="24"/>
                <w:szCs w:val="24"/>
                <w:highlight w:val="none"/>
                <w14:textFill>
                  <w14:solidFill>
                    <w14:schemeClr w14:val="tx1"/>
                  </w14:solidFill>
                </w14:textFill>
              </w:rPr>
              <w:t>不暂存，外售</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玻璃</w:t>
            </w:r>
            <w:r>
              <w:rPr>
                <w:rFonts w:hint="default" w:ascii="Times New Roman" w:hAnsi="Times New Roman"/>
                <w:bCs/>
                <w:color w:val="000000" w:themeColor="text1"/>
                <w:sz w:val="24"/>
                <w:szCs w:val="24"/>
                <w:highlight w:val="none"/>
                <w14:textFill>
                  <w14:solidFill>
                    <w14:schemeClr w14:val="tx1"/>
                  </w14:solidFill>
                </w14:textFill>
              </w:rPr>
              <w:t>厂</w:t>
            </w:r>
          </w:p>
        </w:tc>
        <w:tc>
          <w:tcPr>
            <w:tcW w:w="2274"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c>
          <w:tcPr>
            <w:tcW w:w="1416"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c>
          <w:tcPr>
            <w:tcW w:w="1417"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金属</w:t>
            </w:r>
          </w:p>
        </w:tc>
        <w:tc>
          <w:tcPr>
            <w:tcW w:w="2535"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bCs/>
                <w:color w:val="000000" w:themeColor="text1"/>
                <w:sz w:val="24"/>
                <w:szCs w:val="24"/>
                <w:highlight w:val="none"/>
                <w14:textFill>
                  <w14:solidFill>
                    <w14:schemeClr w14:val="tx1"/>
                  </w14:solidFill>
                </w14:textFill>
              </w:rPr>
              <w:t>不暂存，</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外售废品回收站</w:t>
            </w:r>
          </w:p>
        </w:tc>
        <w:tc>
          <w:tcPr>
            <w:tcW w:w="2274"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c>
          <w:tcPr>
            <w:tcW w:w="1416"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c>
          <w:tcPr>
            <w:tcW w:w="1417"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塑料</w:t>
            </w:r>
          </w:p>
        </w:tc>
        <w:tc>
          <w:tcPr>
            <w:tcW w:w="2535"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不暂存，外售废塑料加工厂。</w:t>
            </w:r>
          </w:p>
        </w:tc>
        <w:tc>
          <w:tcPr>
            <w:tcW w:w="2274"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c>
          <w:tcPr>
            <w:tcW w:w="1416"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c>
          <w:tcPr>
            <w:tcW w:w="1417" w:type="dxa"/>
            <w:vAlign w:val="center"/>
          </w:tcPr>
          <w:p>
            <w:pPr>
              <w:pStyle w:val="64"/>
              <w:keepNext w:val="0"/>
              <w:keepLines w:val="0"/>
              <w:suppressLineNumbers w:val="0"/>
              <w:overflowPunct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竹木料</w:t>
            </w:r>
          </w:p>
        </w:tc>
        <w:tc>
          <w:tcPr>
            <w:tcW w:w="2535" w:type="dxa"/>
            <w:vAlign w:val="center"/>
          </w:tcPr>
          <w:p>
            <w:pPr>
              <w:pStyle w:val="64"/>
              <w:keepNext w:val="0"/>
              <w:keepLines w:val="0"/>
              <w:widowControl w:val="0"/>
              <w:suppressLineNumbers w:val="0"/>
              <w:overflowPunct w:val="0"/>
              <w:adjustRightInd w:val="0"/>
              <w:snapToGrid w:val="0"/>
              <w:spacing w:before="0" w:beforeAutospacing="0" w:after="0" w:afterAutospacing="0" w:line="240" w:lineRule="exact"/>
              <w:ind w:left="0" w:right="0" w:firstLine="0" w:firstLineChars="0"/>
              <w:jc w:val="cente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bCs/>
                <w:color w:val="000000" w:themeColor="text1"/>
                <w:sz w:val="24"/>
                <w:szCs w:val="24"/>
                <w:highlight w:val="none"/>
                <w14:textFill>
                  <w14:solidFill>
                    <w14:schemeClr w14:val="tx1"/>
                  </w14:solidFill>
                </w14:textFill>
              </w:rPr>
              <w:t>不暂存，外售木材厂处理。</w:t>
            </w:r>
          </w:p>
        </w:tc>
        <w:tc>
          <w:tcPr>
            <w:tcW w:w="2274"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cs="Times New Roman"/>
                <w:color w:val="FF0000"/>
                <w:highlight w:val="none"/>
              </w:rPr>
            </w:pP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建筑固废中的品质较差骨料和渣土类</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bCs/>
                <w:color w:val="000000" w:themeColor="text1"/>
                <w:highlight w:val="none"/>
                <w14:textFill>
                  <w14:solidFill>
                    <w14:schemeClr w14:val="tx1"/>
                  </w14:solidFill>
                </w14:textFill>
              </w:rPr>
              <w:t>重型振动给料机和除土振动筛产生的渣土统一收集到渣土仓内，主要用于回填工程，如拆除工程场地平整，垃圾填埋场的封场填埋等；其他可利用的骨料回用于生产线。</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妥善利用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cs="Times New Roman"/>
                <w:color w:val="FF0000"/>
                <w:highlight w:val="none"/>
              </w:rPr>
            </w:pP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生产线废水沉淀泥浆</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FF0000"/>
                <w:sz w:val="24"/>
                <w:szCs w:val="24"/>
                <w:highlight w:val="none"/>
                <w:lang w:val="en-US" w:eastAsia="zh-CN"/>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定期收集，可作为道路用再生骨料水稳料掺和使用</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b w:val="0"/>
                <w:bCs/>
                <w:color w:val="FF0000"/>
                <w:sz w:val="24"/>
                <w:szCs w:val="24"/>
                <w:highlight w:val="none"/>
                <w:lang w:val="en-US" w:eastAsia="zh-CN"/>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妥善利用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cs="Times New Roman"/>
                <w:color w:val="FF0000"/>
                <w:highlight w:val="none"/>
              </w:rPr>
            </w:pP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color w:val="FF0000"/>
                <w:szCs w:val="22"/>
                <w:highlight w:val="none"/>
                <w:lang w:val="en-US" w:eastAsia="zh-CN"/>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各类型收尘器集灰系统</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eastAsia" w:cs="Times New Roman"/>
                <w:b w:val="0"/>
                <w:bCs/>
                <w:color w:val="000000" w:themeColor="text1"/>
                <w:sz w:val="24"/>
                <w:szCs w:val="24"/>
                <w:highlight w:val="none"/>
                <w:lang w:val="en-US" w:eastAsia="zh-CN"/>
                <w14:textFill>
                  <w14:solidFill>
                    <w14:schemeClr w14:val="tx1"/>
                  </w14:solidFill>
                </w14:textFill>
              </w:rPr>
              <w:t>贮存于</w:t>
            </w: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储灰桶</w:t>
            </w:r>
            <w:r>
              <w:rPr>
                <w:rFonts w:hint="eastAsia"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定期由人工转移至再生混凝土制品类生产线再利用</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妥善利用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cs="Times New Roman"/>
                <w:color w:val="FF0000"/>
                <w:highlight w:val="none"/>
              </w:rPr>
            </w:pP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16"/>
                <w:sz w:val="24"/>
                <w:szCs w:val="22"/>
                <w:highlight w:val="none"/>
                <w:vertAlign w:val="baseline"/>
                <w:lang w:val="en-US" w:eastAsia="zh-CN" w:bidi="ar-SA"/>
                <w14:textFill>
                  <w14:solidFill>
                    <w14:schemeClr w14:val="tx1"/>
                  </w14:solidFill>
                </w14:textFill>
              </w:rPr>
              <w:t>废润滑油</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按危险废物相关规定进行暂存</w:t>
            </w:r>
            <w:r>
              <w:rPr>
                <w:rFonts w:hint="eastAsia"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委托资质单位定期处置</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不落地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2" w:type="dxa"/>
            <w:vMerge w:val="continue"/>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cs="Times New Roman"/>
                <w:color w:val="FF0000"/>
                <w:highlight w:val="none"/>
              </w:rPr>
            </w:pPr>
          </w:p>
        </w:tc>
        <w:tc>
          <w:tcPr>
            <w:tcW w:w="1416"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Cs w:val="22"/>
                <w:highlight w:val="none"/>
                <w:lang w:val="en-US" w:eastAsia="zh-CN"/>
                <w14:textFill>
                  <w14:solidFill>
                    <w14:schemeClr w14:val="tx1"/>
                  </w14:solidFill>
                </w14:textFill>
              </w:rPr>
              <w:t>生活垃圾</w:t>
            </w:r>
          </w:p>
        </w:tc>
        <w:tc>
          <w:tcPr>
            <w:tcW w:w="1417"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tc>
        <w:tc>
          <w:tcPr>
            <w:tcW w:w="2535"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依托厂区垃圾收集箱收集后交由环卫部门统一处置</w:t>
            </w:r>
          </w:p>
        </w:tc>
        <w:tc>
          <w:tcPr>
            <w:tcW w:w="2274"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安全处置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83" w:hRule="atLeast"/>
          <w:jc w:val="center"/>
        </w:trPr>
        <w:tc>
          <w:tcPr>
            <w:tcW w:w="1712"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土壤及地下水污染防治措施</w:t>
            </w:r>
          </w:p>
        </w:tc>
        <w:tc>
          <w:tcPr>
            <w:tcW w:w="7642" w:type="dxa"/>
            <w:gridSpan w:val="4"/>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left"/>
              <w:textAlignment w:val="auto"/>
              <w:rPr>
                <w:rFonts w:hint="default"/>
                <w:bCs/>
                <w:color w:val="000000" w:themeColor="text1"/>
                <w:highlight w:val="none"/>
                <w14:textFill>
                  <w14:solidFill>
                    <w14:schemeClr w14:val="tx1"/>
                  </w14:solidFill>
                </w14:textFill>
              </w:rPr>
            </w:pPr>
            <w:r>
              <w:rPr>
                <w:rFonts w:hint="default"/>
                <w:bCs/>
                <w:color w:val="000000" w:themeColor="text1"/>
                <w:highlight w:val="none"/>
                <w14:textFill>
                  <w14:solidFill>
                    <w14:schemeClr w14:val="tx1"/>
                  </w14:solidFill>
                </w14:textFill>
              </w:rPr>
              <w:t>一般污染防渗区：主要为建筑垃圾再生利用车间、堆场、混合骨料暂存间、水泥预制品成品储存及养护平台等区域，防渗设置为等效黏土防渗层Mb≥1.5m，K≤1×10</w:t>
            </w:r>
            <w:r>
              <w:rPr>
                <w:rFonts w:hint="default"/>
                <w:bCs/>
                <w:color w:val="000000" w:themeColor="text1"/>
                <w:highlight w:val="none"/>
                <w:vertAlign w:val="superscript"/>
                <w14:textFill>
                  <w14:solidFill>
                    <w14:schemeClr w14:val="tx1"/>
                  </w14:solidFill>
                </w14:textFill>
              </w:rPr>
              <w:t>-</w:t>
            </w:r>
            <w:r>
              <w:rPr>
                <w:rFonts w:hint="eastAsia"/>
                <w:bCs/>
                <w:color w:val="000000" w:themeColor="text1"/>
                <w:highlight w:val="none"/>
                <w:vertAlign w:val="superscript"/>
                <w:lang w:val="en-US" w:eastAsia="zh-CN"/>
                <w14:textFill>
                  <w14:solidFill>
                    <w14:schemeClr w14:val="tx1"/>
                  </w14:solidFill>
                </w14:textFill>
              </w:rPr>
              <w:t>7</w:t>
            </w:r>
            <w:r>
              <w:rPr>
                <w:rFonts w:hint="default"/>
                <w:bCs/>
                <w:color w:val="000000" w:themeColor="text1"/>
                <w:highlight w:val="none"/>
                <w14:textFill>
                  <w14:solidFill>
                    <w14:schemeClr w14:val="tx1"/>
                  </w14:solidFill>
                </w14:textFill>
              </w:rPr>
              <w:t>cm/s。</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left"/>
              <w:textAlignment w:val="auto"/>
              <w:rPr>
                <w:rFonts w:hint="default"/>
                <w:bCs/>
                <w:color w:val="000000" w:themeColor="text1"/>
                <w:highlight w:val="none"/>
                <w14:textFill>
                  <w14:solidFill>
                    <w14:schemeClr w14:val="tx1"/>
                  </w14:solidFill>
                </w14:textFill>
              </w:rPr>
            </w:pPr>
            <w:r>
              <w:rPr>
                <w:rFonts w:hint="default"/>
                <w:bCs/>
                <w:color w:val="000000" w:themeColor="text1"/>
                <w:highlight w:val="none"/>
                <w14:textFill>
                  <w14:solidFill>
                    <w14:schemeClr w14:val="tx1"/>
                  </w14:solidFill>
                </w14:textFill>
              </w:rPr>
              <w:t>重点污染防渗区：主要包危险废物贮存点，设置等效黏土防渗层Mb≥6.0m，K≤1×10</w:t>
            </w:r>
            <w:r>
              <w:rPr>
                <w:rFonts w:hint="default"/>
                <w:bCs/>
                <w:color w:val="000000" w:themeColor="text1"/>
                <w:highlight w:val="none"/>
                <w:vertAlign w:val="superscript"/>
                <w14:textFill>
                  <w14:solidFill>
                    <w14:schemeClr w14:val="tx1"/>
                  </w14:solidFill>
                </w14:textFill>
              </w:rPr>
              <w:t>-7</w:t>
            </w:r>
            <w:r>
              <w:rPr>
                <w:rFonts w:hint="default"/>
                <w:bCs/>
                <w:color w:val="000000" w:themeColor="text1"/>
                <w:highlight w:val="none"/>
                <w14:textFill>
                  <w14:solidFill>
                    <w14:schemeClr w14:val="tx1"/>
                  </w14:solidFill>
                </w14:textFill>
              </w:rPr>
              <w:t>cm/s。</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left"/>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bCs/>
                <w:color w:val="000000" w:themeColor="text1"/>
                <w:highlight w:val="none"/>
                <w14:textFill>
                  <w14:solidFill>
                    <w14:schemeClr w14:val="tx1"/>
                  </w14:solidFill>
                </w14:textFill>
              </w:rPr>
              <w:t>厂区道路及其他区域仅需一般地面硬化，简单防渗处理。其余区域均为简单防渗区，作一般地面硬化处理即可。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8" w:hRule="atLeast"/>
          <w:jc w:val="center"/>
        </w:trPr>
        <w:tc>
          <w:tcPr>
            <w:tcW w:w="1712"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生态保护措施</w:t>
            </w:r>
          </w:p>
        </w:tc>
        <w:tc>
          <w:tcPr>
            <w:tcW w:w="7642" w:type="dxa"/>
            <w:gridSpan w:val="4"/>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1" w:firstLineChars="10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7" w:hRule="atLeast"/>
          <w:jc w:val="center"/>
        </w:trPr>
        <w:tc>
          <w:tcPr>
            <w:tcW w:w="1712"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环境风险防范措施</w:t>
            </w:r>
          </w:p>
        </w:tc>
        <w:tc>
          <w:tcPr>
            <w:tcW w:w="7642" w:type="dxa"/>
            <w:gridSpan w:val="4"/>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2" w:hRule="atLeast"/>
          <w:jc w:val="center"/>
        </w:trPr>
        <w:tc>
          <w:tcPr>
            <w:tcW w:w="1712" w:type="dxa"/>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t>其他环境管理要求</w:t>
            </w:r>
          </w:p>
        </w:tc>
        <w:tc>
          <w:tcPr>
            <w:tcW w:w="7642" w:type="dxa"/>
            <w:gridSpan w:val="4"/>
            <w:vAlign w:val="center"/>
          </w:tcPr>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原辅料</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按需</w:t>
            </w:r>
            <w:r>
              <w:rPr>
                <w:rFonts w:hint="eastAsia" w:cs="Times New Roman"/>
                <w:color w:val="000000" w:themeColor="text1"/>
                <w:sz w:val="24"/>
                <w:szCs w:val="24"/>
                <w:highlight w:val="none"/>
                <w:lang w:val="en-US" w:eastAsia="zh-CN"/>
                <w14:textFill>
                  <w14:solidFill>
                    <w14:schemeClr w14:val="tx1"/>
                  </w14:solidFill>
                </w14:textFill>
              </w:rPr>
              <w:t>入厂</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，厂区内原料运至生产车间的过程中加强管理，避免物料掉落撒漏。</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⑵</w:t>
            </w:r>
            <w:r>
              <w:rPr>
                <w:rFonts w:hint="default"/>
                <w:color w:val="000000" w:themeColor="text1"/>
                <w:highlight w:val="none"/>
                <w14:textFill>
                  <w14:solidFill>
                    <w14:schemeClr w14:val="tx1"/>
                  </w14:solidFill>
                </w14:textFill>
              </w:rPr>
              <w:t>建设单位应根据生产要求、按计划收购、分期分批入库，严格控制贮存量。</w:t>
            </w:r>
          </w:p>
          <w:p>
            <w:pPr>
              <w:pStyle w:val="64"/>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exact"/>
              <w:ind w:left="0" w:right="0" w:firstLine="240" w:firstLineChars="100"/>
              <w:jc w:val="both"/>
              <w:textAlignment w:val="auto"/>
              <w:rPr>
                <w:rFonts w:hint="default" w:ascii="Times New Roman" w:hAnsi="Times New Roman" w:eastAsia="仿宋_GB2312"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_GB2312" w:cs="Times New Roman"/>
                <w:bCs/>
                <w:color w:val="000000" w:themeColor="text1"/>
                <w:highlight w:val="none"/>
                <w14:textFill>
                  <w14:solidFill>
                    <w14:schemeClr w14:val="tx1"/>
                  </w14:solidFill>
                </w14:textFill>
              </w:rPr>
              <w:t>⑶</w:t>
            </w:r>
            <w:r>
              <w:rPr>
                <w:rFonts w:hint="default" w:ascii="Times New Roman" w:hAnsi="Times New Roman" w:eastAsia="仿宋_GB2312" w:cs="Times New Roman"/>
                <w:b w:val="0"/>
                <w:bCs/>
                <w:color w:val="000000" w:themeColor="text1"/>
                <w:sz w:val="24"/>
                <w:szCs w:val="24"/>
                <w:highlight w:val="none"/>
                <w:lang w:val="en-US" w:eastAsia="zh-CN"/>
                <w14:textFill>
                  <w14:solidFill>
                    <w14:schemeClr w14:val="tx1"/>
                  </w14:solidFill>
                </w14:textFill>
              </w:rPr>
              <w:t>建立环境管理制度，加强日常监督检查。</w:t>
            </w:r>
          </w:p>
        </w:tc>
      </w:tr>
    </w:tbl>
    <w:p>
      <w:pPr>
        <w:pageBreakBefore w:val="0"/>
        <w:kinsoku/>
        <w:wordWrap/>
        <w:topLinePunct w:val="0"/>
        <w:bidi w:val="0"/>
        <w:adjustRightInd w:val="0"/>
        <w:snapToGrid w:val="0"/>
        <w:rPr>
          <w:rFonts w:hint="default" w:ascii="Times New Roman" w:hAnsi="Times New Roman" w:eastAsia="黑体" w:cs="Times New Roman"/>
          <w:b/>
          <w:color w:val="FF0000"/>
          <w:sz w:val="28"/>
          <w:highlight w:val="none"/>
        </w:rPr>
        <w:sectPr>
          <w:pgSz w:w="11905" w:h="16838"/>
          <w:pgMar w:top="1701" w:right="1417" w:bottom="1701" w:left="1417" w:header="1247" w:footer="1247" w:gutter="0"/>
          <w:pgBorders>
            <w:top w:val="none" w:sz="0" w:space="0"/>
            <w:left w:val="none" w:sz="0" w:space="0"/>
            <w:bottom w:val="none" w:sz="0" w:space="0"/>
            <w:right w:val="none" w:sz="0" w:space="0"/>
          </w:pgBorders>
          <w:pgNumType w:fmt="decimal"/>
          <w:cols w:space="0" w:num="1"/>
          <w:rtlGutter w:val="0"/>
          <w:docGrid w:linePitch="312" w:charSpace="0"/>
        </w:sectPr>
      </w:pPr>
    </w:p>
    <w:p>
      <w:pPr>
        <w:pStyle w:val="4"/>
        <w:pageBreakBefore w:val="0"/>
        <w:kinsoku/>
        <w:wordWrap/>
        <w:topLinePunct w:val="0"/>
        <w:bidi w:val="0"/>
        <w:adjustRightInd w:val="0"/>
        <w:snapToGrid w:val="0"/>
        <w:rPr>
          <w:rFonts w:hint="default" w:ascii="Times New Roman" w:hAnsi="Times New Roman" w:cs="Times New Roman"/>
          <w:color w:val="000000" w:themeColor="text1"/>
          <w:highlight w:val="none"/>
          <w14:textFill>
            <w14:solidFill>
              <w14:schemeClr w14:val="tx1"/>
            </w14:solidFill>
          </w14:textFill>
        </w:rPr>
      </w:pPr>
      <w:bookmarkStart w:id="8" w:name="_Toc513537176"/>
      <w:r>
        <w:rPr>
          <w:rFonts w:hint="default" w:ascii="Times New Roman" w:hAnsi="Times New Roman" w:cs="Times New Roman"/>
          <w:color w:val="000000" w:themeColor="text1"/>
          <w:highlight w:val="none"/>
          <w:lang w:eastAsia="zh-CN"/>
          <w14:textFill>
            <w14:solidFill>
              <w14:schemeClr w14:val="tx1"/>
            </w14:solidFill>
          </w14:textFill>
        </w:rPr>
        <w:t>六、结论</w:t>
      </w:r>
      <w:bookmarkEnd w:id="8"/>
    </w:p>
    <w:tbl>
      <w:tblPr>
        <w:tblStyle w:val="38"/>
        <w:tblW w:w="9354"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9354"/>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471" w:hRule="atLeast"/>
          <w:jc w:val="center"/>
        </w:trPr>
        <w:tc>
          <w:tcPr>
            <w:tcW w:w="9287" w:type="dxa"/>
            <w:tcBorders>
              <w:tl2br w:val="nil"/>
              <w:tr2bl w:val="nil"/>
            </w:tcBorders>
            <w:vAlign w:val="top"/>
          </w:tcPr>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根据以上分析，本项目</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运营期在切实落实相关法律、政策要求及本次环评报告中提出的各项防治措施后，从环境保护的角度来看，本项目建设可行。</w:t>
            </w: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leftChars="0" w:right="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64"/>
              <w:keepNext w:val="0"/>
              <w:keepLines w:val="0"/>
              <w:pageBreakBefore w:val="0"/>
              <w:suppressLineNumbers w:val="0"/>
              <w:kinsoku/>
              <w:wordWrap/>
              <w:topLinePunct w:val="0"/>
              <w:bidi w:val="0"/>
              <w:adjustRightInd w:val="0"/>
              <w:snapToGrid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p>
        </w:tc>
      </w:tr>
    </w:tbl>
    <w:p>
      <w:pPr>
        <w:pageBreakBefore w:val="0"/>
        <w:kinsoku/>
        <w:wordWrap/>
        <w:topLinePunct w:val="0"/>
        <w:bidi w:val="0"/>
        <w:adjustRightInd w:val="0"/>
        <w:snapToGrid w:val="0"/>
        <w:rPr>
          <w:rFonts w:hint="default" w:ascii="Times New Roman" w:hAnsi="Times New Roman" w:cs="Times New Roman"/>
          <w:color w:val="FF0000"/>
          <w:szCs w:val="22"/>
          <w:highlight w:val="none"/>
          <w:lang w:eastAsia="zh-CN"/>
        </w:rPr>
        <w:sectPr>
          <w:headerReference r:id="rId10" w:type="default"/>
          <w:footerReference r:id="rId11" w:type="even"/>
          <w:pgSz w:w="11905" w:h="16838"/>
          <w:pgMar w:top="1701" w:right="1417" w:bottom="1701" w:left="1417" w:header="1247" w:footer="1247" w:gutter="0"/>
          <w:pgBorders>
            <w:top w:val="none" w:sz="0" w:space="0"/>
            <w:left w:val="none" w:sz="0" w:space="0"/>
            <w:bottom w:val="none" w:sz="0" w:space="0"/>
            <w:right w:val="none" w:sz="0" w:space="0"/>
          </w:pgBorders>
          <w:pgNumType w:fmt="decimal"/>
          <w:cols w:space="0" w:num="1"/>
          <w:rtlGutter w:val="0"/>
          <w:docGrid w:linePitch="340" w:charSpace="0"/>
        </w:sectPr>
      </w:pPr>
    </w:p>
    <w:p>
      <w:pPr>
        <w:pStyle w:val="4"/>
        <w:pageBreakBefore w:val="0"/>
        <w:kinsoku/>
        <w:wordWrap/>
        <w:topLinePunct w:val="0"/>
        <w:bidi w:val="0"/>
        <w:adjustRightInd w:val="0"/>
        <w:snapToGrid w:val="0"/>
        <w:jc w:val="left"/>
        <w:rPr>
          <w:rFonts w:hint="default" w:ascii="Times New Roman" w:hAnsi="Times New Roman" w:cs="Times New Roman"/>
          <w:color w:val="000000" w:themeColor="text1"/>
          <w:szCs w:val="22"/>
          <w:highlight w:val="none"/>
          <w:lang w:eastAsia="zh-CN"/>
          <w14:textFill>
            <w14:solidFill>
              <w14:schemeClr w14:val="tx1"/>
            </w14:solidFill>
          </w14:textFill>
        </w:rPr>
      </w:pPr>
      <w:r>
        <w:rPr>
          <w:rFonts w:hint="default" w:ascii="Times New Roman" w:hAnsi="Times New Roman" w:cs="Times New Roman"/>
          <w:color w:val="000000" w:themeColor="text1"/>
          <w:szCs w:val="22"/>
          <w:highlight w:val="none"/>
          <w:lang w:eastAsia="zh-CN"/>
          <w14:textFill>
            <w14:solidFill>
              <w14:schemeClr w14:val="tx1"/>
            </w14:solidFill>
          </w14:textFill>
        </w:rPr>
        <w:t>附表</w:t>
      </w:r>
    </w:p>
    <w:p>
      <w:pPr>
        <w:pStyle w:val="3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方正小标宋_GBK" w:cs="Times New Roman"/>
          <w:snapToGrid w:val="0"/>
          <w:color w:val="000000" w:themeColor="text1"/>
          <w:sz w:val="36"/>
          <w:szCs w:val="36"/>
          <w:highlight w:val="none"/>
          <w14:textFill>
            <w14:solidFill>
              <w14:schemeClr w14:val="tx1"/>
            </w14:solidFill>
          </w14:textFill>
        </w:rPr>
      </w:pPr>
      <w:r>
        <w:rPr>
          <w:rFonts w:hint="default" w:ascii="Times New Roman" w:hAnsi="Times New Roman" w:eastAsia="方正小标宋_GBK" w:cs="Times New Roman"/>
          <w:snapToGrid w:val="0"/>
          <w:color w:val="000000" w:themeColor="text1"/>
          <w:sz w:val="32"/>
          <w:szCs w:val="32"/>
          <w:highlight w:val="none"/>
          <w14:textFill>
            <w14:solidFill>
              <w14:schemeClr w14:val="tx1"/>
            </w14:solidFill>
          </w14:textFill>
        </w:rPr>
        <w:t>建设项目污染物排放量汇总表</w:t>
      </w:r>
    </w:p>
    <w:tbl>
      <w:tblPr>
        <w:tblStyle w:val="37"/>
        <w:tblW w:w="140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941"/>
        <w:gridCol w:w="267"/>
        <w:gridCol w:w="1208"/>
        <w:gridCol w:w="1400"/>
        <w:gridCol w:w="1362"/>
        <w:gridCol w:w="1513"/>
        <w:gridCol w:w="1513"/>
        <w:gridCol w:w="1642"/>
        <w:gridCol w:w="1546"/>
        <w:gridCol w:w="13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54" w:type="dxa"/>
            <w:tcBorders>
              <w:tl2br w:val="single" w:color="auto" w:sz="12" w:space="0"/>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项目</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both"/>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分类</w:t>
            </w:r>
          </w:p>
        </w:tc>
        <w:tc>
          <w:tcPr>
            <w:tcW w:w="2416" w:type="dxa"/>
            <w:gridSpan w:val="3"/>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污染物名称</w:t>
            </w:r>
          </w:p>
        </w:tc>
        <w:tc>
          <w:tcPr>
            <w:tcW w:w="1400" w:type="dxa"/>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现有工程</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①</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end"/>
            </w:r>
          </w:p>
        </w:tc>
        <w:tc>
          <w:tcPr>
            <w:tcW w:w="1362" w:type="dxa"/>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现有工程</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许可排放量</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instrText xml:space="preserve"> = 2 \* GB3 \* MERGEFORMAT </w:instrTex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②</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end"/>
            </w:r>
          </w:p>
        </w:tc>
        <w:tc>
          <w:tcPr>
            <w:tcW w:w="1513" w:type="dxa"/>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在建工程</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③</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end"/>
            </w:r>
          </w:p>
        </w:tc>
        <w:tc>
          <w:tcPr>
            <w:tcW w:w="1513" w:type="dxa"/>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本项目</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④</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end"/>
            </w:r>
          </w:p>
        </w:tc>
        <w:tc>
          <w:tcPr>
            <w:tcW w:w="1642" w:type="dxa"/>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t>以新带老削减量</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t>（新建项目不填）</w:t>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⑤</w:t>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fldChar w:fldCharType="end"/>
            </w:r>
          </w:p>
        </w:tc>
        <w:tc>
          <w:tcPr>
            <w:tcW w:w="1546" w:type="dxa"/>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t>本项目建成后</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t>全厂排放量（固体废物产生量）</w:t>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⑥</w:t>
            </w:r>
            <w:r>
              <w:rPr>
                <w:rFonts w:hint="default" w:ascii="Times New Roman" w:hAnsi="Times New Roman" w:eastAsia="宋体" w:cs="Times New Roman"/>
                <w:b/>
                <w:bCs/>
                <w:snapToGrid w:val="0"/>
                <w:color w:val="000000" w:themeColor="text1"/>
                <w:spacing w:val="-16"/>
                <w:kern w:val="21"/>
                <w:sz w:val="21"/>
                <w:szCs w:val="21"/>
                <w:highlight w:val="none"/>
                <w14:textFill>
                  <w14:solidFill>
                    <w14:schemeClr w14:val="tx1"/>
                  </w14:solidFill>
                </w14:textFill>
              </w:rPr>
              <w:fldChar w:fldCharType="end"/>
            </w:r>
          </w:p>
        </w:tc>
        <w:tc>
          <w:tcPr>
            <w:tcW w:w="1357" w:type="dxa"/>
            <w:tcBorders>
              <w:tl2br w:val="nil"/>
              <w:tr2bl w:val="nil"/>
            </w:tcBorders>
            <w:noWrap w:val="0"/>
            <w:tcMar>
              <w:left w:w="28" w:type="dxa"/>
              <w:right w:w="28" w:type="dxa"/>
            </w:tcMar>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t>变化量</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⑦</w:t>
            </w:r>
            <w:r>
              <w:rPr>
                <w:rFonts w:hint="default" w:ascii="Times New Roman" w:hAnsi="Times New Roman" w:eastAsia="宋体" w:cs="Times New Roman"/>
                <w:b/>
                <w:bCs/>
                <w:snapToGrid w:val="0"/>
                <w:color w:val="000000" w:themeColor="text1"/>
                <w:spacing w:val="-6"/>
                <w:kern w:val="21"/>
                <w:sz w:val="21"/>
                <w:szCs w:val="21"/>
                <w:highlight w:val="none"/>
                <w14:textFill>
                  <w14:solidFill>
                    <w14:schemeClr w14:val="tx1"/>
                  </w14:solidFill>
                </w14:textFill>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restart"/>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eastAsia="zh-CN"/>
                <w14:textFill>
                  <w14:solidFill>
                    <w14:schemeClr w14:val="tx1"/>
                  </w14:solidFill>
                </w14:textFill>
              </w:rPr>
            </w:pPr>
            <w:r>
              <w:rPr>
                <w:rFonts w:hint="default" w:ascii="Times New Roman" w:hAnsi="Times New Roman" w:cs="Times New Roman"/>
                <w:b/>
                <w:bCs/>
                <w:snapToGrid w:val="0"/>
                <w:color w:val="000000" w:themeColor="text1"/>
                <w:kern w:val="21"/>
                <w:sz w:val="21"/>
                <w:szCs w:val="21"/>
                <w:highlight w:val="none"/>
                <w:lang w:eastAsia="zh-CN"/>
                <w14:textFill>
                  <w14:solidFill>
                    <w14:schemeClr w14:val="tx1"/>
                  </w14:solidFill>
                </w14:textFill>
              </w:rPr>
              <w:t>废气</w:t>
            </w:r>
          </w:p>
        </w:tc>
        <w:tc>
          <w:tcPr>
            <w:tcW w:w="120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有组织</w:t>
            </w:r>
          </w:p>
        </w:tc>
        <w:tc>
          <w:tcPr>
            <w:tcW w:w="120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颗粒物</w:t>
            </w:r>
            <w:r>
              <w:rPr>
                <w:rFonts w:hint="default" w:ascii="Times New Roman" w:hAnsi="Times New Roman" w:cs="Times New Roman"/>
                <w:color w:val="000000" w:themeColor="text1"/>
                <w:sz w:val="21"/>
                <w:szCs w:val="21"/>
                <w:highlight w:val="none"/>
                <w:lang w:eastAsia="zh-CN" w:bidi="ar"/>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t/a</w:t>
            </w:r>
            <w:r>
              <w:rPr>
                <w:rFonts w:hint="default" w:ascii="Times New Roman" w:hAnsi="Times New Roman" w:cs="Times New Roman"/>
                <w:color w:val="000000" w:themeColor="text1"/>
                <w:sz w:val="21"/>
                <w:szCs w:val="21"/>
                <w:highlight w:val="none"/>
                <w:lang w:eastAsia="zh-CN" w:bidi="ar"/>
                <w14:textFill>
                  <w14:solidFill>
                    <w14:schemeClr w14:val="tx1"/>
                  </w14:solidFill>
                </w14:textFill>
              </w:rPr>
              <w:t>）</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FF0000"/>
                <w:kern w:val="21"/>
                <w:sz w:val="21"/>
                <w:szCs w:val="21"/>
                <w:highlight w:val="none"/>
                <w:lang w:val="en-US" w:eastAsia="zh-CN"/>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0.98</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0.98</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b/>
                <w:bCs/>
                <w:snapToGrid w:val="0"/>
                <w:color w:val="000000" w:themeColor="text1"/>
                <w:kern w:val="21"/>
                <w:sz w:val="21"/>
                <w:szCs w:val="21"/>
                <w:highlight w:val="none"/>
                <w:lang w:eastAsia="zh-CN"/>
                <w14:textFill>
                  <w14:solidFill>
                    <w14:schemeClr w14:val="tx1"/>
                  </w14:solidFill>
                </w14:textFill>
              </w:rPr>
            </w:pPr>
          </w:p>
        </w:tc>
        <w:tc>
          <w:tcPr>
            <w:tcW w:w="120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无组织</w:t>
            </w:r>
          </w:p>
        </w:tc>
        <w:tc>
          <w:tcPr>
            <w:tcW w:w="120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4.731</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4.731</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restart"/>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kern w:val="21"/>
                <w:sz w:val="21"/>
                <w:szCs w:val="21"/>
                <w:highlight w:val="none"/>
                <w:lang w:val="en-US" w:eastAsia="zh-CN"/>
                <w14:textFill>
                  <w14:solidFill>
                    <w14:schemeClr w14:val="tx1"/>
                  </w14:solidFill>
                </w14:textFill>
              </w:rPr>
              <w:t>废水</w:t>
            </w:r>
          </w:p>
        </w:tc>
        <w:tc>
          <w:tcPr>
            <w:tcW w:w="94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highlight w:val="none"/>
                <w14:textFill>
                  <w14:solidFill>
                    <w14:schemeClr w14:val="tx1"/>
                  </w14:solidFill>
                </w14:textFill>
              </w:rPr>
              <w:t>生活污水</w:t>
            </w:r>
          </w:p>
        </w:tc>
        <w:tc>
          <w:tcPr>
            <w:tcW w:w="147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废水量</w:t>
            </w:r>
            <w:r>
              <w:rPr>
                <w:rFonts w:hint="default" w:ascii="Times New Roman" w:hAnsi="Times New Roman" w:cs="Times New Roman"/>
                <w:color w:val="000000" w:themeColor="text1"/>
                <w:sz w:val="21"/>
                <w:szCs w:val="21"/>
                <w:highlight w:val="none"/>
                <w:lang w:eastAsia="zh-CN" w:bidi="ar"/>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bidi="ar"/>
                <w14:textFill>
                  <w14:solidFill>
                    <w14:schemeClr w14:val="tx1"/>
                  </w14:solidFill>
                </w14:textFill>
              </w:rPr>
              <w:t>3</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a</w:t>
            </w:r>
            <w:r>
              <w:rPr>
                <w:rFonts w:hint="default" w:ascii="Times New Roman" w:hAnsi="Times New Roman" w:cs="Times New Roman"/>
                <w:color w:val="000000" w:themeColor="text1"/>
                <w:sz w:val="21"/>
                <w:szCs w:val="21"/>
                <w:highlight w:val="none"/>
                <w:lang w:eastAsia="zh-CN" w:bidi="ar"/>
                <w14:textFill>
                  <w14:solidFill>
                    <w14:schemeClr w14:val="tx1"/>
                  </w14:solidFill>
                </w14:textFill>
              </w:rPr>
              <w:t>）</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600</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600</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val="en-US" w:eastAsia="zh-CN"/>
                <w14:textFill>
                  <w14:solidFill>
                    <w14:schemeClr w14:val="tx1"/>
                  </w14:solidFill>
                </w14:textFill>
              </w:rPr>
            </w:pPr>
          </w:p>
        </w:tc>
        <w:tc>
          <w:tcPr>
            <w:tcW w:w="94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47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highlight w:val="none"/>
                <w14:textFill>
                  <w14:solidFill>
                    <w14:schemeClr w14:val="tx1"/>
                  </w14:solidFill>
                </w14:textFill>
              </w:rPr>
              <w:t>COD</w:t>
            </w:r>
            <w:r>
              <w:rPr>
                <w:rFonts w:hint="default" w:ascii="Times New Roman" w:hAnsi="Times New Roman" w:eastAsia="宋体" w:cs="Times New Roman"/>
                <w:color w:val="000000" w:themeColor="text1"/>
                <w:spacing w:val="0"/>
                <w:kern w:val="21"/>
                <w:position w:val="0"/>
                <w:sz w:val="21"/>
                <w:szCs w:val="21"/>
                <w:highlight w:val="none"/>
                <w:vertAlign w:val="subscript"/>
                <w14:textFill>
                  <w14:solidFill>
                    <w14:schemeClr w14:val="tx1"/>
                  </w14:solidFill>
                </w14:textFill>
              </w:rPr>
              <w:t>Cr</w:t>
            </w:r>
            <w:r>
              <w:rPr>
                <w:rFonts w:hint="default" w:ascii="Times New Roman" w:hAnsi="Times New Roman" w:eastAsia="宋体" w:cs="Times New Roman"/>
                <w:color w:val="000000" w:themeColor="text1"/>
                <w:spacing w:val="0"/>
                <w:kern w:val="21"/>
                <w:position w:val="0"/>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highlight w:val="none"/>
                <w:vertAlign w:val="baseline"/>
                <w:lang w:val="en-US" w:eastAsia="zh-CN"/>
                <w14:textFill>
                  <w14:solidFill>
                    <w14:schemeClr w14:val="tx1"/>
                  </w14:solidFill>
                </w14:textFill>
              </w:rPr>
              <w:t>t/a</w:t>
            </w:r>
            <w:r>
              <w:rPr>
                <w:rFonts w:hint="default" w:ascii="Times New Roman" w:hAnsi="Times New Roman" w:eastAsia="宋体" w:cs="Times New Roman"/>
                <w:color w:val="000000" w:themeColor="text1"/>
                <w:spacing w:val="0"/>
                <w:kern w:val="21"/>
                <w:position w:val="0"/>
                <w:sz w:val="21"/>
                <w:szCs w:val="21"/>
                <w:highlight w:val="none"/>
                <w:vertAlign w:val="baseline"/>
                <w:lang w:eastAsia="zh-CN"/>
                <w14:textFill>
                  <w14:solidFill>
                    <w14:schemeClr w14:val="tx1"/>
                  </w14:solidFill>
                </w14:textFill>
              </w:rPr>
              <w:t>）</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255</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255</w:t>
            </w:r>
          </w:p>
        </w:tc>
        <w:tc>
          <w:tcPr>
            <w:tcW w:w="1357"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val="en-US" w:eastAsia="zh-CN"/>
                <w14:textFill>
                  <w14:solidFill>
                    <w14:schemeClr w14:val="tx1"/>
                  </w14:solidFill>
                </w14:textFill>
              </w:rPr>
            </w:pPr>
          </w:p>
        </w:tc>
        <w:tc>
          <w:tcPr>
            <w:tcW w:w="94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47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highlight w:val="none"/>
                <w14:textFill>
                  <w14:solidFill>
                    <w14:schemeClr w14:val="tx1"/>
                  </w14:solidFill>
                </w14:textFill>
              </w:rPr>
              <w:t>BOD</w:t>
            </w:r>
            <w:r>
              <w:rPr>
                <w:rFonts w:hint="default" w:ascii="Times New Roman" w:hAnsi="Times New Roman" w:eastAsia="宋体" w:cs="Times New Roman"/>
                <w:color w:val="000000" w:themeColor="text1"/>
                <w:spacing w:val="0"/>
                <w:kern w:val="21"/>
                <w:position w:val="0"/>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spacing w:val="0"/>
                <w:kern w:val="21"/>
                <w:position w:val="0"/>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highlight w:val="none"/>
                <w:vertAlign w:val="baseline"/>
                <w:lang w:val="en-US" w:eastAsia="zh-CN"/>
                <w14:textFill>
                  <w14:solidFill>
                    <w14:schemeClr w14:val="tx1"/>
                  </w14:solidFill>
                </w14:textFill>
              </w:rPr>
              <w:t>t/a</w:t>
            </w:r>
            <w:r>
              <w:rPr>
                <w:rFonts w:hint="default" w:ascii="Times New Roman" w:hAnsi="Times New Roman" w:eastAsia="宋体" w:cs="Times New Roman"/>
                <w:color w:val="000000" w:themeColor="text1"/>
                <w:spacing w:val="0"/>
                <w:kern w:val="21"/>
                <w:position w:val="0"/>
                <w:sz w:val="21"/>
                <w:szCs w:val="21"/>
                <w:highlight w:val="none"/>
                <w:vertAlign w:val="baseline"/>
                <w:lang w:eastAsia="zh-CN"/>
                <w14:textFill>
                  <w14:solidFill>
                    <w14:schemeClr w14:val="tx1"/>
                  </w14:solidFill>
                </w14:textFill>
              </w:rPr>
              <w:t>）</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164</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164</w:t>
            </w:r>
          </w:p>
        </w:tc>
        <w:tc>
          <w:tcPr>
            <w:tcW w:w="1357"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val="en-US" w:eastAsia="zh-CN"/>
                <w14:textFill>
                  <w14:solidFill>
                    <w14:schemeClr w14:val="tx1"/>
                  </w14:solidFill>
                </w14:textFill>
              </w:rPr>
            </w:pPr>
          </w:p>
        </w:tc>
        <w:tc>
          <w:tcPr>
            <w:tcW w:w="94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47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highlight w:val="none"/>
                <w14:textFill>
                  <w14:solidFill>
                    <w14:schemeClr w14:val="tx1"/>
                  </w14:solidFill>
                </w14:textFill>
              </w:rPr>
              <w:t>SS</w:t>
            </w:r>
            <w:r>
              <w:rPr>
                <w:rFonts w:hint="default" w:ascii="Times New Roman" w:hAnsi="Times New Roman" w:eastAsia="宋体" w:cs="Times New Roman"/>
                <w:color w:val="000000" w:themeColor="text1"/>
                <w:spacing w:val="0"/>
                <w:kern w:val="21"/>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pacing w:val="0"/>
                <w:kern w:val="21"/>
                <w:position w:val="0"/>
                <w:sz w:val="21"/>
                <w:szCs w:val="21"/>
                <w:highlight w:val="none"/>
                <w:lang w:eastAsia="zh-CN"/>
                <w14:textFill>
                  <w14:solidFill>
                    <w14:schemeClr w14:val="tx1"/>
                  </w14:solidFill>
                </w14:textFill>
              </w:rPr>
              <w:t>）</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168</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168</w:t>
            </w:r>
          </w:p>
        </w:tc>
        <w:tc>
          <w:tcPr>
            <w:tcW w:w="1357"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val="en-US" w:eastAsia="zh-CN"/>
                <w14:textFill>
                  <w14:solidFill>
                    <w14:schemeClr w14:val="tx1"/>
                  </w14:solidFill>
                </w14:textFill>
              </w:rPr>
            </w:pPr>
          </w:p>
        </w:tc>
        <w:tc>
          <w:tcPr>
            <w:tcW w:w="94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475" w:type="dxa"/>
            <w:gridSpan w:val="2"/>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1"/>
                <w:position w:val="0"/>
                <w:sz w:val="21"/>
                <w:szCs w:val="21"/>
                <w:highlight w:val="none"/>
                <w14:textFill>
                  <w14:solidFill>
                    <w14:schemeClr w14:val="tx1"/>
                  </w14:solidFill>
                </w14:textFill>
              </w:rPr>
              <w:t>氨氮</w:t>
            </w:r>
            <w:r>
              <w:rPr>
                <w:rFonts w:hint="default" w:ascii="Times New Roman" w:hAnsi="Times New Roman" w:eastAsia="宋体" w:cs="Times New Roman"/>
                <w:color w:val="000000" w:themeColor="text1"/>
                <w:spacing w:val="0"/>
                <w:kern w:val="21"/>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1"/>
                <w:position w:val="0"/>
                <w:sz w:val="21"/>
                <w:szCs w:val="21"/>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pacing w:val="0"/>
                <w:kern w:val="21"/>
                <w:position w:val="0"/>
                <w:sz w:val="21"/>
                <w:szCs w:val="21"/>
                <w:highlight w:val="none"/>
                <w:lang w:eastAsia="zh-CN"/>
                <w14:textFill>
                  <w14:solidFill>
                    <w14:schemeClr w14:val="tx1"/>
                  </w14:solidFill>
                </w14:textFill>
              </w:rPr>
              <w:t>）</w:t>
            </w:r>
          </w:p>
        </w:tc>
        <w:tc>
          <w:tcPr>
            <w:tcW w:w="1400" w:type="dxa"/>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12</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pacing w:val="0"/>
                <w:kern w:val="21"/>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12</w:t>
            </w:r>
          </w:p>
        </w:tc>
        <w:tc>
          <w:tcPr>
            <w:tcW w:w="1357"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54" w:type="dxa"/>
            <w:vMerge w:val="restart"/>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kern w:val="21"/>
                <w:sz w:val="21"/>
                <w:szCs w:val="21"/>
                <w:highlight w:val="none"/>
                <w14:textFill>
                  <w14:solidFill>
                    <w14:schemeClr w14:val="tx1"/>
                  </w14:solidFill>
                </w14:textFill>
              </w:rPr>
              <w:t>一般工业固体废物</w:t>
            </w:r>
          </w:p>
        </w:tc>
        <w:tc>
          <w:tcPr>
            <w:tcW w:w="1208"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t>建筑固废中其他组成</w:t>
            </w:r>
            <w: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t>（t/a）</w:t>
            </w:r>
          </w:p>
        </w:tc>
        <w:tc>
          <w:tcPr>
            <w:tcW w:w="1208" w:type="dxa"/>
            <w:tcBorders>
              <w:tl2br w:val="nil"/>
              <w:tr2bl w:val="nil"/>
            </w:tcBorders>
            <w:noWrap w:val="0"/>
            <w:vAlign w:val="center"/>
          </w:tcPr>
          <w:p>
            <w:pPr>
              <w:pStyle w:val="64"/>
              <w:keepNext w:val="0"/>
              <w:keepLines w:val="0"/>
              <w:suppressLineNumbers w:val="0"/>
              <w:overflowPunct w:val="0"/>
              <w:spacing w:before="0" w:beforeAutospacing="0" w:after="0" w:afterAutospacing="0" w:line="236" w:lineRule="exact"/>
              <w:ind w:left="0" w:right="0" w:firstLine="0" w:firstLineChars="0"/>
              <w:jc w:val="center"/>
              <w:rPr>
                <w:rFonts w:hint="default" w:ascii="Times New Roman" w:hAnsi="Times New Roman" w:eastAsia="宋体" w:cs="Times New Roman"/>
                <w:color w:val="000000" w:themeColor="text1"/>
                <w:spacing w:val="0"/>
                <w:kern w:val="2"/>
                <w:position w:val="0"/>
                <w:sz w:val="21"/>
                <w:szCs w:val="21"/>
                <w:highlight w:val="none"/>
                <w:lang w:eastAsia="zh-CN"/>
                <w14:textFill>
                  <w14:solidFill>
                    <w14:schemeClr w14:val="tx1"/>
                  </w14:solidFill>
                </w14:textFill>
              </w:rPr>
            </w:pPr>
            <w:r>
              <w:rPr>
                <w:rFonts w:hint="default" w:ascii="Times New Roman" w:hAnsi="Times New Roman" w:eastAsia="宋体" w:cs="Times New Roman"/>
                <w:bCs w:val="0"/>
                <w:color w:val="000000" w:themeColor="text1"/>
                <w:kern w:val="2"/>
                <w:sz w:val="21"/>
                <w:szCs w:val="21"/>
                <w:highlight w:val="none"/>
                <w:lang w:val="en-US" w:eastAsia="zh-CN"/>
                <w14:textFill>
                  <w14:solidFill>
                    <w14:schemeClr w14:val="tx1"/>
                  </w14:solidFill>
                </w14:textFill>
              </w:rPr>
              <w:t>沥青</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0.225万</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0.225万</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5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szCs w:val="22"/>
              </w:rPr>
            </w:pPr>
          </w:p>
        </w:tc>
        <w:tc>
          <w:tcPr>
            <w:tcW w:w="1208"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szCs w:val="22"/>
              </w:rPr>
            </w:pPr>
          </w:p>
        </w:tc>
        <w:tc>
          <w:tcPr>
            <w:tcW w:w="1208" w:type="dxa"/>
            <w:tcBorders>
              <w:tl2br w:val="nil"/>
              <w:tr2bl w:val="nil"/>
            </w:tcBorders>
            <w:noWrap w:val="0"/>
            <w:vAlign w:val="center"/>
          </w:tcPr>
          <w:p>
            <w:pPr>
              <w:pStyle w:val="64"/>
              <w:keepNext w:val="0"/>
              <w:keepLines w:val="0"/>
              <w:suppressLineNumbers w:val="0"/>
              <w:overflowPunct w:val="0"/>
              <w:spacing w:before="0" w:beforeAutospacing="0" w:after="0" w:afterAutospacing="0" w:line="236" w:lineRule="exact"/>
              <w:ind w:left="0" w:right="0" w:firstLine="0" w:firstLineChars="0"/>
              <w:jc w:val="center"/>
              <w:rPr>
                <w:rFonts w:hint="default" w:ascii="Times New Roman" w:hAnsi="Times New Roman" w:eastAsia="宋体" w:cs="Times New Roman"/>
                <w:color w:val="000000" w:themeColor="text1"/>
                <w:spacing w:val="0"/>
                <w:kern w:val="2"/>
                <w:position w:val="0"/>
                <w:sz w:val="21"/>
                <w:szCs w:val="21"/>
                <w:highlight w:val="none"/>
                <w:lang w:eastAsia="zh-CN"/>
                <w14:textFill>
                  <w14:solidFill>
                    <w14:schemeClr w14:val="tx1"/>
                  </w14:solidFill>
                </w14:textFill>
              </w:rPr>
            </w:pPr>
            <w:r>
              <w:rPr>
                <w:rFonts w:hint="default" w:ascii="Times New Roman" w:hAnsi="Times New Roman" w:eastAsia="宋体" w:cs="Times New Roman"/>
                <w:bCs w:val="0"/>
                <w:color w:val="000000" w:themeColor="text1"/>
                <w:kern w:val="2"/>
                <w:sz w:val="21"/>
                <w:szCs w:val="21"/>
                <w:highlight w:val="none"/>
                <w:lang w:val="en-US" w:eastAsia="zh-CN"/>
                <w14:textFill>
                  <w14:solidFill>
                    <w14:schemeClr w14:val="tx1"/>
                  </w14:solidFill>
                </w14:textFill>
              </w:rPr>
              <w:t>玻璃</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0.03</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0.03</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5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p>
        </w:tc>
        <w:tc>
          <w:tcPr>
            <w:tcW w:w="1208"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p>
        </w:tc>
        <w:tc>
          <w:tcPr>
            <w:tcW w:w="1208" w:type="dxa"/>
            <w:tcBorders>
              <w:tl2br w:val="nil"/>
              <w:tr2bl w:val="nil"/>
            </w:tcBorders>
            <w:noWrap w:val="0"/>
            <w:vAlign w:val="center"/>
          </w:tcPr>
          <w:p>
            <w:pPr>
              <w:pStyle w:val="64"/>
              <w:keepNext w:val="0"/>
              <w:keepLines w:val="0"/>
              <w:suppressLineNumbers w:val="0"/>
              <w:overflowPunct w:val="0"/>
              <w:spacing w:before="0" w:beforeAutospacing="0" w:after="0" w:afterAutospacing="0" w:line="236" w:lineRule="exact"/>
              <w:ind w:left="0" w:right="0" w:firstLine="0" w:firstLineChars="0"/>
              <w:jc w:val="center"/>
              <w:rPr>
                <w:rFonts w:hint="default" w:ascii="Times New Roman" w:hAnsi="Times New Roman" w:eastAsia="宋体" w:cs="Times New Roman"/>
                <w:color w:val="000000" w:themeColor="text1"/>
                <w:spacing w:val="0"/>
                <w:kern w:val="2"/>
                <w:position w:val="0"/>
                <w:sz w:val="21"/>
                <w:szCs w:val="21"/>
                <w:highlight w:val="none"/>
                <w:lang w:eastAsia="zh-CN"/>
                <w14:textFill>
                  <w14:solidFill>
                    <w14:schemeClr w14:val="tx1"/>
                  </w14:solidFill>
                </w14:textFill>
              </w:rPr>
            </w:pPr>
            <w:r>
              <w:rPr>
                <w:rFonts w:hint="default" w:ascii="Times New Roman" w:hAnsi="Times New Roman" w:eastAsia="宋体" w:cs="Times New Roman"/>
                <w:bCs w:val="0"/>
                <w:color w:val="000000" w:themeColor="text1"/>
                <w:kern w:val="2"/>
                <w:sz w:val="21"/>
                <w:szCs w:val="21"/>
                <w:highlight w:val="none"/>
                <w:lang w:val="en-US" w:eastAsia="zh-CN"/>
                <w14:textFill>
                  <w14:solidFill>
                    <w14:schemeClr w14:val="tx1"/>
                  </w14:solidFill>
                </w14:textFill>
              </w:rPr>
              <w:t>金属</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0.525</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0.525</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5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p>
        </w:tc>
        <w:tc>
          <w:tcPr>
            <w:tcW w:w="1208"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p>
        </w:tc>
        <w:tc>
          <w:tcPr>
            <w:tcW w:w="1208" w:type="dxa"/>
            <w:tcBorders>
              <w:tl2br w:val="nil"/>
              <w:tr2bl w:val="nil"/>
            </w:tcBorders>
            <w:noWrap w:val="0"/>
            <w:vAlign w:val="center"/>
          </w:tcPr>
          <w:p>
            <w:pPr>
              <w:pStyle w:val="64"/>
              <w:keepNext w:val="0"/>
              <w:keepLines w:val="0"/>
              <w:suppressLineNumbers w:val="0"/>
              <w:overflowPunct w:val="0"/>
              <w:spacing w:before="0" w:beforeAutospacing="0" w:after="0" w:afterAutospacing="0" w:line="236" w:lineRule="exact"/>
              <w:ind w:left="0" w:right="0" w:firstLine="0" w:firstLineChars="0"/>
              <w:jc w:val="center"/>
              <w:rPr>
                <w:rFonts w:hint="default" w:ascii="Times New Roman" w:hAnsi="Times New Roman" w:eastAsia="宋体" w:cs="Times New Roman"/>
                <w:color w:val="000000" w:themeColor="text1"/>
                <w:spacing w:val="0"/>
                <w:kern w:val="2"/>
                <w:position w:val="0"/>
                <w:sz w:val="21"/>
                <w:szCs w:val="21"/>
                <w:highlight w:val="none"/>
                <w:lang w:eastAsia="zh-CN"/>
                <w14:textFill>
                  <w14:solidFill>
                    <w14:schemeClr w14:val="tx1"/>
                  </w14:solidFill>
                </w14:textFill>
              </w:rPr>
            </w:pPr>
            <w:r>
              <w:rPr>
                <w:rFonts w:hint="default" w:ascii="Times New Roman" w:hAnsi="Times New Roman" w:eastAsia="宋体" w:cs="Times New Roman"/>
                <w:bCs w:val="0"/>
                <w:color w:val="000000" w:themeColor="text1"/>
                <w:kern w:val="2"/>
                <w:sz w:val="21"/>
                <w:szCs w:val="21"/>
                <w:highlight w:val="none"/>
                <w:lang w:val="en-US" w:eastAsia="zh-CN"/>
                <w14:textFill>
                  <w14:solidFill>
                    <w14:schemeClr w14:val="tx1"/>
                  </w14:solidFill>
                </w14:textFill>
              </w:rPr>
              <w:t>塑料</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0.09</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0.09</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5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p>
        </w:tc>
        <w:tc>
          <w:tcPr>
            <w:tcW w:w="1208"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p>
        </w:tc>
        <w:tc>
          <w:tcPr>
            <w:tcW w:w="1208" w:type="dxa"/>
            <w:tcBorders>
              <w:tl2br w:val="nil"/>
              <w:tr2bl w:val="nil"/>
            </w:tcBorders>
            <w:noWrap w:val="0"/>
            <w:vAlign w:val="center"/>
          </w:tcPr>
          <w:p>
            <w:pPr>
              <w:pStyle w:val="64"/>
              <w:keepNext w:val="0"/>
              <w:keepLines w:val="0"/>
              <w:suppressLineNumbers w:val="0"/>
              <w:overflowPunct w:val="0"/>
              <w:spacing w:before="0" w:beforeAutospacing="0" w:after="0" w:afterAutospacing="0" w:line="236" w:lineRule="exact"/>
              <w:ind w:left="0" w:right="0" w:firstLine="0" w:firstLineChars="0"/>
              <w:jc w:val="center"/>
              <w:rPr>
                <w:rFonts w:hint="default" w:ascii="Times New Roman" w:hAnsi="Times New Roman" w:eastAsia="宋体" w:cs="Times New Roman"/>
                <w:color w:val="000000" w:themeColor="text1"/>
                <w:spacing w:val="0"/>
                <w:kern w:val="2"/>
                <w:position w:val="0"/>
                <w:sz w:val="21"/>
                <w:szCs w:val="21"/>
                <w:highlight w:val="none"/>
                <w:lang w:eastAsia="zh-CN"/>
                <w14:textFill>
                  <w14:solidFill>
                    <w14:schemeClr w14:val="tx1"/>
                  </w14:solidFill>
                </w14:textFill>
              </w:rPr>
            </w:pPr>
            <w:r>
              <w:rPr>
                <w:rFonts w:hint="default" w:ascii="Times New Roman" w:hAnsi="Times New Roman" w:eastAsia="宋体" w:cs="Times New Roman"/>
                <w:bCs w:val="0"/>
                <w:color w:val="000000" w:themeColor="text1"/>
                <w:kern w:val="2"/>
                <w:sz w:val="21"/>
                <w:szCs w:val="21"/>
                <w:highlight w:val="none"/>
                <w:lang w:val="en-US" w:eastAsia="zh-CN"/>
                <w14:textFill>
                  <w14:solidFill>
                    <w14:schemeClr w14:val="tx1"/>
                  </w14:solidFill>
                </w14:textFill>
              </w:rPr>
              <w:t>竹木料</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1.125</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1.125</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14:textFill>
                  <w14:solidFill>
                    <w14:schemeClr w14:val="tx1"/>
                  </w14:solidFill>
                </w14:textFill>
              </w:rPr>
            </w:pPr>
          </w:p>
        </w:tc>
        <w:tc>
          <w:tcPr>
            <w:tcW w:w="2416"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t>建筑固废中的品质较差骨料和渣土类（t/a）</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1.00</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p>
        </w:tc>
        <w:tc>
          <w:tcPr>
            <w:tcW w:w="1546"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1.00</w:t>
            </w: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万</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14:textFill>
                  <w14:solidFill>
                    <w14:schemeClr w14:val="tx1"/>
                  </w14:solidFill>
                </w14:textFill>
              </w:rPr>
            </w:pPr>
          </w:p>
        </w:tc>
        <w:tc>
          <w:tcPr>
            <w:tcW w:w="2416"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t>生产线废水沉淀泥浆</w:t>
            </w:r>
            <w: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t>（t/a）</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2.00</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p>
        </w:tc>
        <w:tc>
          <w:tcPr>
            <w:tcW w:w="1546"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2.00</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vMerge w:val="continue"/>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14:textFill>
                  <w14:solidFill>
                    <w14:schemeClr w14:val="tx1"/>
                  </w14:solidFill>
                </w14:textFill>
              </w:rPr>
            </w:pPr>
          </w:p>
        </w:tc>
        <w:tc>
          <w:tcPr>
            <w:tcW w:w="2416"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各类型收尘器集灰系统</w:t>
            </w:r>
            <w: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t>（t/a）</w:t>
            </w:r>
          </w:p>
        </w:tc>
        <w:tc>
          <w:tcPr>
            <w:tcW w:w="1400" w:type="dxa"/>
            <w:tcBorders>
              <w:tl2br w:val="nil"/>
              <w:tr2bl w:val="nil"/>
            </w:tcBorders>
            <w:noWrap w:val="0"/>
            <w:vAlign w:val="center"/>
          </w:tcPr>
          <w:p>
            <w:pPr>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92.41</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p>
        </w:tc>
        <w:tc>
          <w:tcPr>
            <w:tcW w:w="1546"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92.41</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21"/>
                <w:sz w:val="21"/>
                <w:szCs w:val="21"/>
                <w:highlight w:val="none"/>
                <w:lang w:eastAsia="zh-CN"/>
                <w14:textFill>
                  <w14:solidFill>
                    <w14:schemeClr w14:val="tx1"/>
                  </w14:solidFill>
                </w14:textFill>
              </w:rPr>
              <w:t>危险废物</w:t>
            </w:r>
          </w:p>
        </w:tc>
        <w:tc>
          <w:tcPr>
            <w:tcW w:w="2416"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废润滑油</w:t>
            </w:r>
            <w: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t>（t/a）</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1.00</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p>
        </w:tc>
        <w:tc>
          <w:tcPr>
            <w:tcW w:w="1546"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1.00</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themeColor="text1"/>
                <w:kern w:val="21"/>
                <w:sz w:val="21"/>
                <w:szCs w:val="21"/>
                <w:highlight w:val="none"/>
                <w:lang w:eastAsia="zh-CN"/>
                <w14:textFill>
                  <w14:solidFill>
                    <w14:schemeClr w14:val="tx1"/>
                  </w14:solidFill>
                </w14:textFill>
              </w:rPr>
            </w:pPr>
            <w:r>
              <w:rPr>
                <w:rFonts w:hint="default" w:ascii="Times New Roman" w:hAnsi="Times New Roman" w:cs="Times New Roman"/>
                <w:b/>
                <w:bCs/>
                <w:snapToGrid w:val="0"/>
                <w:color w:val="000000" w:themeColor="text1"/>
                <w:kern w:val="21"/>
                <w:sz w:val="21"/>
                <w:szCs w:val="21"/>
                <w:highlight w:val="none"/>
                <w:lang w:eastAsia="zh-CN"/>
                <w14:textFill>
                  <w14:solidFill>
                    <w14:schemeClr w14:val="tx1"/>
                  </w14:solidFill>
                </w14:textFill>
              </w:rPr>
              <w:t>生活垃圾</w:t>
            </w:r>
          </w:p>
        </w:tc>
        <w:tc>
          <w:tcPr>
            <w:tcW w:w="2416"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b w:val="0"/>
                <w:bCs w:val="0"/>
                <w:snapToGrid w:val="0"/>
                <w:color w:val="000000" w:themeColor="text1"/>
                <w:kern w:val="21"/>
                <w:sz w:val="21"/>
                <w:szCs w:val="21"/>
                <w:highlight w:val="none"/>
                <w:lang w:eastAsia="zh-CN"/>
                <w14:textFill>
                  <w14:solidFill>
                    <w14:schemeClr w14:val="tx1"/>
                  </w14:solidFill>
                </w14:textFill>
              </w:rPr>
              <w:t>生活垃圾</w:t>
            </w:r>
          </w:p>
        </w:tc>
        <w:tc>
          <w:tcPr>
            <w:tcW w:w="14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w:t>
            </w:r>
          </w:p>
        </w:tc>
        <w:tc>
          <w:tcPr>
            <w:tcW w:w="1362"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w:t>
            </w:r>
          </w:p>
        </w:tc>
        <w:tc>
          <w:tcPr>
            <w:tcW w:w="1513"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3.15</w:t>
            </w:r>
          </w:p>
        </w:tc>
        <w:tc>
          <w:tcPr>
            <w:tcW w:w="16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p>
        </w:tc>
        <w:tc>
          <w:tcPr>
            <w:tcW w:w="1546" w:type="dxa"/>
            <w:tcBorders>
              <w:tl2br w:val="nil"/>
              <w:tr2bl w:val="nil"/>
            </w:tcBorders>
            <w:noWrap w:val="0"/>
            <w:vAlign w:val="center"/>
          </w:tcPr>
          <w:p>
            <w:pPr>
              <w:pStyle w:val="34"/>
              <w:keepNext w:val="0"/>
              <w:keepLines w:val="0"/>
              <w:widowControl w:val="0"/>
              <w:suppressLineNumbers w:val="0"/>
              <w:adjustRightInd w:val="0"/>
              <w:snapToGrid w:val="0"/>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000000" w:themeColor="text1"/>
                <w:spacing w:val="0"/>
                <w:position w:val="0"/>
                <w:sz w:val="21"/>
                <w:szCs w:val="21"/>
                <w:highlight w:val="none"/>
                <w:lang w:val="en-US"/>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3.15</w:t>
            </w:r>
          </w:p>
        </w:tc>
        <w:tc>
          <w:tcPr>
            <w:tcW w:w="13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positio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r>
    </w:tbl>
    <w:p>
      <w:pPr>
        <w:pStyle w:val="56"/>
        <w:adjustRightInd w:val="0"/>
        <w:snapToGrid w:val="0"/>
        <w:spacing w:before="69" w:beforeLines="20"/>
        <w:jc w:val="left"/>
      </w:pPr>
      <w:r>
        <w:rPr>
          <w:rFonts w:hint="default" w:ascii="Times New Roman" w:hAnsi="Times New Roman" w:eastAsia="宋体" w:cs="Times New Roman"/>
          <w:b w:val="0"/>
          <w:bCs w:val="0"/>
          <w:snapToGrid w:val="0"/>
          <w:color w:val="000000" w:themeColor="text1"/>
          <w:kern w:val="21"/>
          <w:sz w:val="21"/>
          <w:szCs w:val="21"/>
          <w:highlight w:val="none"/>
          <w14:textFill>
            <w14:solidFill>
              <w14:schemeClr w14:val="tx1"/>
            </w14:solidFill>
          </w14:textFill>
        </w:rPr>
        <w:t>注：</w: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⑥</w: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①</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③</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④</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⑤</w: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⑦</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⑥</w:t>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fldChar w:fldCharType="end"/>
      </w:r>
      <w:r>
        <w:rPr>
          <w:rFonts w:hint="default" w:ascii="Times New Roman" w:hAnsi="Times New Roman" w:eastAsia="宋体" w:cs="Times New Roman"/>
          <w:b w:val="0"/>
          <w:bCs w:val="0"/>
          <w:snapToGrid w:val="0"/>
          <w:color w:val="000000" w:themeColor="text1"/>
          <w:spacing w:val="-16"/>
          <w:kern w:val="21"/>
          <w:sz w:val="2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①</w:t>
      </w:r>
      <w:r>
        <w:rPr>
          <w:rFonts w:hint="default" w:ascii="Times New Roman" w:hAnsi="Times New Roman" w:eastAsia="宋体" w:cs="Times New Roman"/>
          <w:b w:val="0"/>
          <w:bCs w:val="0"/>
          <w:snapToGrid w:val="0"/>
          <w:color w:val="000000" w:themeColor="text1"/>
          <w:spacing w:val="-6"/>
          <w:kern w:val="21"/>
          <w:sz w:val="21"/>
          <w:szCs w:val="21"/>
          <w:highlight w:val="none"/>
          <w14:textFill>
            <w14:solidFill>
              <w14:schemeClr w14:val="tx1"/>
            </w14:solidFill>
          </w14:textFill>
        </w:rPr>
        <w:fldChar w:fldCharType="end"/>
      </w:r>
    </w:p>
    <w:p/>
    <w:sectPr>
      <w:footerReference r:id="rId12" w:type="default"/>
      <w:pgSz w:w="16838" w:h="11905" w:orient="landscape"/>
      <w:pgMar w:top="1701" w:right="1417" w:bottom="1417" w:left="1417" w:header="1247" w:footer="1247" w:gutter="0"/>
      <w:pgBorders>
        <w:top w:val="none" w:sz="0" w:space="0"/>
        <w:left w:val="none" w:sz="0" w:space="0"/>
        <w:bottom w:val="none" w:sz="0" w:space="0"/>
        <w:right w:val="none" w:sz="0" w:space="0"/>
      </w:pgBorders>
      <w:pgNumType w:fmt="decimal"/>
      <w:cols w:space="0" w:num="1"/>
      <w:rtlGutter w:val="0"/>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B63E0B6-6B6C-43E9-BD48-421B9483B0B6}"/>
  </w:font>
  <w:font w:name="黑体">
    <w:panose1 w:val="02010609060101010101"/>
    <w:charset w:val="86"/>
    <w:family w:val="auto"/>
    <w:pitch w:val="default"/>
    <w:sig w:usb0="800002BF" w:usb1="38CF7CFA" w:usb2="00000016" w:usb3="00000000" w:csb0="00040001" w:csb1="00000000"/>
    <w:embedRegular r:id="rId2" w:fontKey="{CD9B2264-9D34-4E1F-B00B-24D4016A7BC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embedRegular r:id="rId3" w:fontKey="{5BF88A6C-6807-43F4-8237-FC641DDE9F68}"/>
  </w:font>
  <w:font w:name="仿宋_GB2312">
    <w:panose1 w:val="02010609030101010101"/>
    <w:charset w:val="86"/>
    <w:family w:val="modern"/>
    <w:pitch w:val="default"/>
    <w:sig w:usb0="00000001" w:usb1="080E0000" w:usb2="00000000" w:usb3="00000000" w:csb0="00040000" w:csb1="00000000"/>
    <w:embedRegular r:id="rId4" w:fontKey="{FC491117-94F3-49BF-B35A-41FA2C2D05AD}"/>
  </w:font>
  <w:font w:name="新宋体-18030">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embedRegular r:id="rId5" w:fontKey="{8436C2EA-F280-4EA2-BF7E-A31FA980096A}"/>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书宋简体">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6" w:fontKey="{2337D4E7-FE12-44E9-947B-790CBBBB928B}"/>
  </w:font>
  <w:font w:name="仿宋">
    <w:panose1 w:val="02010609060101010101"/>
    <w:charset w:val="86"/>
    <w:family w:val="auto"/>
    <w:pitch w:val="default"/>
    <w:sig w:usb0="800002BF" w:usb1="38CF7CFA" w:usb2="00000016" w:usb3="00000000" w:csb0="00040001" w:csb1="00000000"/>
    <w:embedRegular r:id="rId7" w:fontKey="{6CADF844-B546-44B3-945F-052B91F0FE04}"/>
  </w:font>
  <w:font w:name="Wingdings 2">
    <w:altName w:val="Wingdings"/>
    <w:panose1 w:val="05020102010507070707"/>
    <w:charset w:val="02"/>
    <w:family w:val="roman"/>
    <w:pitch w:val="default"/>
    <w:sig w:usb0="00000000" w:usb1="00000000" w:usb2="00000000" w:usb3="00000000" w:csb0="80000000" w:csb1="00000000"/>
    <w:embedRegular r:id="rId8" w:fontKey="{621C4A79-1E07-4D72-84C8-BCC40FEBD110}"/>
  </w:font>
  <w:font w:name="Cambria Math">
    <w:panose1 w:val="02040503050406030204"/>
    <w:charset w:val="00"/>
    <w:family w:val="auto"/>
    <w:pitch w:val="default"/>
    <w:sig w:usb0="E00002FF" w:usb1="420024FF" w:usb2="00000000" w:usb3="00000000" w:csb0="2000019F" w:csb1="00000000"/>
    <w:embedRegular r:id="rId9" w:fontKey="{33FD7206-DE47-4036-A0B7-06AD3D6CDB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1"/>
      </w:rPr>
    </w:pPr>
    <w:r>
      <w:fldChar w:fldCharType="begin"/>
    </w:r>
    <w:r>
      <w:rPr>
        <w:rStyle w:val="41"/>
      </w:rPr>
      <w:instrText xml:space="preserve">PAGE  </w:instrText>
    </w:r>
    <w:r>
      <w:fldChar w:fldCharType="end"/>
    </w:r>
  </w:p>
  <w:p>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default" w:ascii="Times New Roman" w:hAnsi="Times New Roman" w:cs="Times New Roman"/>
                              <w:b/>
                              <w:bCs/>
                            </w:rPr>
                          </w:pPr>
                          <w:r>
                            <w:rPr>
                              <w:rFonts w:hint="default" w:ascii="Times New Roman" w:hAnsi="Times New Roman" w:cs="Times New Roman"/>
                              <w:b/>
                              <w:bCs/>
                            </w:rPr>
                            <w:t xml:space="preserve">— </w:t>
                          </w:r>
                          <w:r>
                            <w:rPr>
                              <w:rFonts w:hint="default" w:ascii="Times New Roman" w:hAnsi="Times New Roman" w:cs="Times New Roman"/>
                              <w:b/>
                              <w:bCs/>
                            </w:rPr>
                            <w:fldChar w:fldCharType="begin"/>
                          </w:r>
                          <w:r>
                            <w:rPr>
                              <w:rFonts w:hint="default" w:ascii="Times New Roman" w:hAnsi="Times New Roman" w:cs="Times New Roman"/>
                              <w:b/>
                              <w:bCs/>
                            </w:rPr>
                            <w:instrText xml:space="preserve"> PAGE  \* MERGEFORMAT </w:instrText>
                          </w:r>
                          <w:r>
                            <w:rPr>
                              <w:rFonts w:hint="default" w:ascii="Times New Roman" w:hAnsi="Times New Roman" w:cs="Times New Roman"/>
                              <w:b/>
                              <w:bCs/>
                            </w:rPr>
                            <w:fldChar w:fldCharType="separate"/>
                          </w:r>
                          <w:r>
                            <w:rPr>
                              <w:rFonts w:hint="default" w:ascii="Times New Roman" w:hAnsi="Times New Roman" w:cs="Times New Roman"/>
                              <w:b/>
                              <w:bCs/>
                            </w:rPr>
                            <w:t>1</w:t>
                          </w:r>
                          <w:r>
                            <w:rPr>
                              <w:rFonts w:hint="default" w:ascii="Times New Roman" w:hAnsi="Times New Roman" w:cs="Times New Roman"/>
                              <w:b/>
                              <w:bCs/>
                            </w:rPr>
                            <w:fldChar w:fldCharType="end"/>
                          </w:r>
                          <w:r>
                            <w:rPr>
                              <w:rFonts w:hint="default" w:ascii="Times New Roman" w:hAnsi="Times New Roman" w:cs="Times New Roman"/>
                              <w:b/>
                              <w:bCs/>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8"/>
                      <w:rPr>
                        <w:rFonts w:hint="default" w:ascii="Times New Roman" w:hAnsi="Times New Roman" w:cs="Times New Roman"/>
                        <w:b/>
                        <w:bCs/>
                      </w:rPr>
                    </w:pPr>
                    <w:r>
                      <w:rPr>
                        <w:rFonts w:hint="default" w:ascii="Times New Roman" w:hAnsi="Times New Roman" w:cs="Times New Roman"/>
                        <w:b/>
                        <w:bCs/>
                      </w:rPr>
                      <w:t xml:space="preserve">— </w:t>
                    </w:r>
                    <w:r>
                      <w:rPr>
                        <w:rFonts w:hint="default" w:ascii="Times New Roman" w:hAnsi="Times New Roman" w:cs="Times New Roman"/>
                        <w:b/>
                        <w:bCs/>
                      </w:rPr>
                      <w:fldChar w:fldCharType="begin"/>
                    </w:r>
                    <w:r>
                      <w:rPr>
                        <w:rFonts w:hint="default" w:ascii="Times New Roman" w:hAnsi="Times New Roman" w:cs="Times New Roman"/>
                        <w:b/>
                        <w:bCs/>
                      </w:rPr>
                      <w:instrText xml:space="preserve"> PAGE  \* MERGEFORMAT </w:instrText>
                    </w:r>
                    <w:r>
                      <w:rPr>
                        <w:rFonts w:hint="default" w:ascii="Times New Roman" w:hAnsi="Times New Roman" w:cs="Times New Roman"/>
                        <w:b/>
                        <w:bCs/>
                      </w:rPr>
                      <w:fldChar w:fldCharType="separate"/>
                    </w:r>
                    <w:r>
                      <w:rPr>
                        <w:rFonts w:hint="default" w:ascii="Times New Roman" w:hAnsi="Times New Roman" w:cs="Times New Roman"/>
                        <w:b/>
                        <w:bCs/>
                      </w:rPr>
                      <w:t>1</w:t>
                    </w:r>
                    <w:r>
                      <w:rPr>
                        <w:rFonts w:hint="default" w:ascii="Times New Roman" w:hAnsi="Times New Roman" w:cs="Times New Roman"/>
                        <w:b/>
                        <w:bCs/>
                      </w:rPr>
                      <w:fldChar w:fldCharType="end"/>
                    </w:r>
                    <w:r>
                      <w:rPr>
                        <w:rFonts w:hint="default" w:ascii="Times New Roman" w:hAnsi="Times New Roman" w:cs="Times New Roman"/>
                        <w:b/>
                        <w:bCs/>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top w:val="single" w:color="auto" w:sz="4" w:space="1"/>
        <w:left w:val="none" w:color="auto" w:sz="0" w:space="4"/>
        <w:bottom w:val="none" w:color="auto" w:sz="0" w:space="1"/>
        <w:right w:val="none" w:color="auto" w:sz="0" w:space="4"/>
      </w:pBdr>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r>
      <w:rPr>
        <w:rFonts w:hint="eastAsia"/>
        <w:lang w:val="en-US" w:eastAsia="zh-CN"/>
      </w:rPr>
      <w:t xml:space="preserve">                                                                      </w:t>
    </w:r>
    <w:r>
      <w:rPr>
        <w:rStyle w:val="41"/>
        <w:rFonts w:hint="eastAsia"/>
        <w:b/>
        <w:i/>
      </w:rPr>
      <w:t xml:space="preserve">众旺达（宁夏）技术咨询有限公司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top w:val="single" w:color="auto" w:sz="4" w:space="1"/>
        <w:left w:val="none" w:color="auto" w:sz="0" w:space="4"/>
        <w:bottom w:val="none" w:color="auto" w:sz="0" w:space="1"/>
        <w:right w:val="none" w:color="auto" w:sz="0" w:space="4"/>
      </w:pBdr>
      <w:rPr>
        <w:rFonts w:hint="default"/>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b/>
                              <w:bCs/>
                            </w:rPr>
                          </w:pPr>
                          <w:r>
                            <w:rPr>
                              <w:b/>
                              <w:bCs/>
                            </w:rPr>
                            <w:t xml:space="preserve">— </w:t>
                          </w:r>
                          <w:r>
                            <w:rPr>
                              <w:b/>
                              <w:bCs/>
                            </w:rPr>
                            <w:fldChar w:fldCharType="begin"/>
                          </w:r>
                          <w:r>
                            <w:rPr>
                              <w:b/>
                              <w:bCs/>
                            </w:rPr>
                            <w:instrText xml:space="preserve"> PAGE  \* MERGEFORMAT </w:instrText>
                          </w:r>
                          <w:r>
                            <w:rPr>
                              <w:b/>
                              <w:bCs/>
                            </w:rPr>
                            <w:fldChar w:fldCharType="separate"/>
                          </w:r>
                          <w:r>
                            <w:rPr>
                              <w:b/>
                              <w:bCs/>
                            </w:rPr>
                            <w:t>39</w:t>
                          </w:r>
                          <w:r>
                            <w:rPr>
                              <w:b/>
                              <w:bCs/>
                            </w:rPr>
                            <w:fldChar w:fldCharType="end"/>
                          </w:r>
                          <w:r>
                            <w:rPr>
                              <w:b/>
                              <w:bCs/>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8"/>
                      <w:rPr>
                        <w:b/>
                        <w:bCs/>
                      </w:rPr>
                    </w:pPr>
                    <w:r>
                      <w:rPr>
                        <w:b/>
                        <w:bCs/>
                      </w:rPr>
                      <w:t xml:space="preserve">— </w:t>
                    </w:r>
                    <w:r>
                      <w:rPr>
                        <w:b/>
                        <w:bCs/>
                      </w:rPr>
                      <w:fldChar w:fldCharType="begin"/>
                    </w:r>
                    <w:r>
                      <w:rPr>
                        <w:b/>
                        <w:bCs/>
                      </w:rPr>
                      <w:instrText xml:space="preserve"> PAGE  \* MERGEFORMAT </w:instrText>
                    </w:r>
                    <w:r>
                      <w:rPr>
                        <w:b/>
                        <w:bCs/>
                      </w:rPr>
                      <w:fldChar w:fldCharType="separate"/>
                    </w:r>
                    <w:r>
                      <w:rPr>
                        <w:b/>
                        <w:bCs/>
                      </w:rPr>
                      <w:t>39</w:t>
                    </w:r>
                    <w:r>
                      <w:rPr>
                        <w:b/>
                        <w:bCs/>
                      </w:rPr>
                      <w:fldChar w:fldCharType="end"/>
                    </w:r>
                    <w:r>
                      <w:rPr>
                        <w:b/>
                        <w:bCs/>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C318A1"/>
    <w:multiLevelType w:val="singleLevel"/>
    <w:tmpl w:val="8BC318A1"/>
    <w:lvl w:ilvl="0" w:tentative="0">
      <w:start w:val="1"/>
      <w:numFmt w:val="bullet"/>
      <w:pStyle w:val="24"/>
      <w:lvlText w:val=""/>
      <w:lvlJc w:val="left"/>
      <w:pPr>
        <w:tabs>
          <w:tab w:val="left" w:pos="2040"/>
        </w:tabs>
        <w:ind w:left="2040" w:hanging="360"/>
      </w:pPr>
      <w:rPr>
        <w:rFonts w:hint="default" w:ascii="Wingdings" w:hAnsi="Wingdings"/>
      </w:rPr>
    </w:lvl>
  </w:abstractNum>
  <w:abstractNum w:abstractNumId="1">
    <w:nsid w:val="06867139"/>
    <w:multiLevelType w:val="singleLevel"/>
    <w:tmpl w:val="06867139"/>
    <w:lvl w:ilvl="0" w:tentative="0">
      <w:start w:val="1"/>
      <w:numFmt w:val="decimal"/>
      <w:suff w:val="nothing"/>
      <w:lvlText w:val="%1）"/>
      <w:lvlJc w:val="left"/>
    </w:lvl>
  </w:abstractNum>
  <w:abstractNum w:abstractNumId="2">
    <w:nsid w:val="1E3583DF"/>
    <w:multiLevelType w:val="singleLevel"/>
    <w:tmpl w:val="1E3583DF"/>
    <w:lvl w:ilvl="0" w:tentative="0">
      <w:start w:val="1"/>
      <w:numFmt w:val="decimal"/>
      <w:suff w:val="nothing"/>
      <w:lvlText w:val="%1）"/>
      <w:lvlJc w:val="left"/>
    </w:lvl>
  </w:abstractNum>
  <w:abstractNum w:abstractNumId="3">
    <w:nsid w:val="498B6F13"/>
    <w:multiLevelType w:val="singleLevel"/>
    <w:tmpl w:val="498B6F13"/>
    <w:lvl w:ilvl="0" w:tentative="0">
      <w:start w:val="1"/>
      <w:numFmt w:val="bullet"/>
      <w:pStyle w:val="18"/>
      <w:lvlText w:val=""/>
      <w:lvlJc w:val="left"/>
      <w:pPr>
        <w:tabs>
          <w:tab w:val="left" w:pos="780"/>
        </w:tabs>
        <w:ind w:left="780" w:hanging="360"/>
      </w:pPr>
      <w:rPr>
        <w:rFonts w:hint="default" w:ascii="Wingdings" w:hAnsi="Wingding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lMjFiYmViMDI4YzdlMDM2YjY0YTlmZGJiMmFlZTUifQ=="/>
  </w:docVars>
  <w:rsids>
    <w:rsidRoot w:val="00172A27"/>
    <w:rsid w:val="000B7E86"/>
    <w:rsid w:val="000F7FB0"/>
    <w:rsid w:val="001978C2"/>
    <w:rsid w:val="001A3A69"/>
    <w:rsid w:val="001D4FE5"/>
    <w:rsid w:val="002703A8"/>
    <w:rsid w:val="002C1819"/>
    <w:rsid w:val="002E3FB2"/>
    <w:rsid w:val="00330D26"/>
    <w:rsid w:val="003C7C35"/>
    <w:rsid w:val="0042597E"/>
    <w:rsid w:val="004277C9"/>
    <w:rsid w:val="004D140B"/>
    <w:rsid w:val="00602824"/>
    <w:rsid w:val="006D22AA"/>
    <w:rsid w:val="009143A4"/>
    <w:rsid w:val="00921F00"/>
    <w:rsid w:val="00960906"/>
    <w:rsid w:val="009E2E03"/>
    <w:rsid w:val="00A566D5"/>
    <w:rsid w:val="00A628CD"/>
    <w:rsid w:val="00A868B6"/>
    <w:rsid w:val="00AB6B25"/>
    <w:rsid w:val="00AD6733"/>
    <w:rsid w:val="00C6108D"/>
    <w:rsid w:val="00CF3752"/>
    <w:rsid w:val="00D348C5"/>
    <w:rsid w:val="00F124C4"/>
    <w:rsid w:val="00F932C9"/>
    <w:rsid w:val="0118675A"/>
    <w:rsid w:val="01203FAE"/>
    <w:rsid w:val="01261B49"/>
    <w:rsid w:val="01282880"/>
    <w:rsid w:val="01283BE8"/>
    <w:rsid w:val="013A1A54"/>
    <w:rsid w:val="0144498C"/>
    <w:rsid w:val="01506417"/>
    <w:rsid w:val="015367A4"/>
    <w:rsid w:val="015525C2"/>
    <w:rsid w:val="016609DC"/>
    <w:rsid w:val="016A2419"/>
    <w:rsid w:val="016E2F6B"/>
    <w:rsid w:val="01724363"/>
    <w:rsid w:val="017E136D"/>
    <w:rsid w:val="018A4696"/>
    <w:rsid w:val="018C47B0"/>
    <w:rsid w:val="019422A6"/>
    <w:rsid w:val="01964C25"/>
    <w:rsid w:val="01973B44"/>
    <w:rsid w:val="01A26771"/>
    <w:rsid w:val="01AA4475"/>
    <w:rsid w:val="01B14C06"/>
    <w:rsid w:val="01BB2C67"/>
    <w:rsid w:val="01D1627A"/>
    <w:rsid w:val="01D47F8D"/>
    <w:rsid w:val="01D52A58"/>
    <w:rsid w:val="01D5768E"/>
    <w:rsid w:val="01DF268E"/>
    <w:rsid w:val="01E172CD"/>
    <w:rsid w:val="01FB4FFA"/>
    <w:rsid w:val="022B2C0A"/>
    <w:rsid w:val="022E1921"/>
    <w:rsid w:val="023923B2"/>
    <w:rsid w:val="023B0C37"/>
    <w:rsid w:val="0244580B"/>
    <w:rsid w:val="024C1528"/>
    <w:rsid w:val="025D2470"/>
    <w:rsid w:val="025F1FA7"/>
    <w:rsid w:val="029B0978"/>
    <w:rsid w:val="029B0DDF"/>
    <w:rsid w:val="02D174F5"/>
    <w:rsid w:val="02D87994"/>
    <w:rsid w:val="02F17460"/>
    <w:rsid w:val="0310576A"/>
    <w:rsid w:val="032C7DBF"/>
    <w:rsid w:val="03323B24"/>
    <w:rsid w:val="03494ECF"/>
    <w:rsid w:val="034E5A78"/>
    <w:rsid w:val="035A360D"/>
    <w:rsid w:val="03675EC4"/>
    <w:rsid w:val="0379457F"/>
    <w:rsid w:val="03882E57"/>
    <w:rsid w:val="038D3451"/>
    <w:rsid w:val="039C537B"/>
    <w:rsid w:val="03A314FC"/>
    <w:rsid w:val="03A964DC"/>
    <w:rsid w:val="03AF5994"/>
    <w:rsid w:val="03DB0081"/>
    <w:rsid w:val="03DC22E7"/>
    <w:rsid w:val="03E96B3C"/>
    <w:rsid w:val="03EF6907"/>
    <w:rsid w:val="03F70F0C"/>
    <w:rsid w:val="03FE4B5C"/>
    <w:rsid w:val="04247911"/>
    <w:rsid w:val="043722D1"/>
    <w:rsid w:val="046723D5"/>
    <w:rsid w:val="046B64CF"/>
    <w:rsid w:val="04763EE5"/>
    <w:rsid w:val="04831DF5"/>
    <w:rsid w:val="04855289"/>
    <w:rsid w:val="04893EB2"/>
    <w:rsid w:val="0494553B"/>
    <w:rsid w:val="04B43E48"/>
    <w:rsid w:val="04C1196E"/>
    <w:rsid w:val="04C40660"/>
    <w:rsid w:val="04C82992"/>
    <w:rsid w:val="04E361A4"/>
    <w:rsid w:val="04E653C9"/>
    <w:rsid w:val="04F80B8D"/>
    <w:rsid w:val="051C2CDE"/>
    <w:rsid w:val="0522647B"/>
    <w:rsid w:val="052D6C99"/>
    <w:rsid w:val="053E0EA6"/>
    <w:rsid w:val="056226A1"/>
    <w:rsid w:val="056C1A12"/>
    <w:rsid w:val="056F1060"/>
    <w:rsid w:val="05755BC8"/>
    <w:rsid w:val="05810A13"/>
    <w:rsid w:val="05850883"/>
    <w:rsid w:val="05854E9B"/>
    <w:rsid w:val="05B6346C"/>
    <w:rsid w:val="05BB1A2C"/>
    <w:rsid w:val="05D047B3"/>
    <w:rsid w:val="05D70424"/>
    <w:rsid w:val="05DA23A7"/>
    <w:rsid w:val="05EA057C"/>
    <w:rsid w:val="0630648B"/>
    <w:rsid w:val="06587D46"/>
    <w:rsid w:val="065D535C"/>
    <w:rsid w:val="06601CDA"/>
    <w:rsid w:val="06691F53"/>
    <w:rsid w:val="06787FCA"/>
    <w:rsid w:val="067E0411"/>
    <w:rsid w:val="068F0189"/>
    <w:rsid w:val="06A74829"/>
    <w:rsid w:val="06B003D1"/>
    <w:rsid w:val="06B677B4"/>
    <w:rsid w:val="06B75692"/>
    <w:rsid w:val="06C4407E"/>
    <w:rsid w:val="06C477F9"/>
    <w:rsid w:val="06E850CA"/>
    <w:rsid w:val="06EE2458"/>
    <w:rsid w:val="06EF294E"/>
    <w:rsid w:val="06FB0143"/>
    <w:rsid w:val="070B6B66"/>
    <w:rsid w:val="071D659A"/>
    <w:rsid w:val="072B25DC"/>
    <w:rsid w:val="072C6909"/>
    <w:rsid w:val="07376794"/>
    <w:rsid w:val="07437267"/>
    <w:rsid w:val="0745455B"/>
    <w:rsid w:val="076622AE"/>
    <w:rsid w:val="0766494E"/>
    <w:rsid w:val="076B52A9"/>
    <w:rsid w:val="077170A8"/>
    <w:rsid w:val="077435CE"/>
    <w:rsid w:val="077C659D"/>
    <w:rsid w:val="078046A1"/>
    <w:rsid w:val="078A4401"/>
    <w:rsid w:val="07A875C9"/>
    <w:rsid w:val="07B46F4A"/>
    <w:rsid w:val="07C170A8"/>
    <w:rsid w:val="07CD0AC8"/>
    <w:rsid w:val="07D7263A"/>
    <w:rsid w:val="07DB1BE6"/>
    <w:rsid w:val="07DF15EF"/>
    <w:rsid w:val="07EF7893"/>
    <w:rsid w:val="07F10D4C"/>
    <w:rsid w:val="08010BE6"/>
    <w:rsid w:val="08112707"/>
    <w:rsid w:val="08215AE4"/>
    <w:rsid w:val="08250390"/>
    <w:rsid w:val="083002FD"/>
    <w:rsid w:val="08342A7D"/>
    <w:rsid w:val="08402703"/>
    <w:rsid w:val="084E1B03"/>
    <w:rsid w:val="084F4B56"/>
    <w:rsid w:val="08506633"/>
    <w:rsid w:val="08550EBF"/>
    <w:rsid w:val="08724ABA"/>
    <w:rsid w:val="08B550AD"/>
    <w:rsid w:val="08B57D04"/>
    <w:rsid w:val="08B77236"/>
    <w:rsid w:val="08B8106C"/>
    <w:rsid w:val="08CE2541"/>
    <w:rsid w:val="08D35086"/>
    <w:rsid w:val="08DF0836"/>
    <w:rsid w:val="08E60C68"/>
    <w:rsid w:val="08F77F6B"/>
    <w:rsid w:val="08F85B47"/>
    <w:rsid w:val="090C0F64"/>
    <w:rsid w:val="09404186"/>
    <w:rsid w:val="09490DC9"/>
    <w:rsid w:val="09622255"/>
    <w:rsid w:val="0972111F"/>
    <w:rsid w:val="09891BB3"/>
    <w:rsid w:val="09A36D10"/>
    <w:rsid w:val="09A950D4"/>
    <w:rsid w:val="09B05F7A"/>
    <w:rsid w:val="09BF3F1F"/>
    <w:rsid w:val="09E74A15"/>
    <w:rsid w:val="09FC1363"/>
    <w:rsid w:val="09FE0C04"/>
    <w:rsid w:val="0A0509EF"/>
    <w:rsid w:val="0A0B4E4C"/>
    <w:rsid w:val="0A0B50CF"/>
    <w:rsid w:val="0A0F696E"/>
    <w:rsid w:val="0A1172DE"/>
    <w:rsid w:val="0A15647C"/>
    <w:rsid w:val="0A1B6C8C"/>
    <w:rsid w:val="0A2278F4"/>
    <w:rsid w:val="0A27518B"/>
    <w:rsid w:val="0A29573B"/>
    <w:rsid w:val="0A3B25D7"/>
    <w:rsid w:val="0A40419F"/>
    <w:rsid w:val="0A522CFE"/>
    <w:rsid w:val="0A605D88"/>
    <w:rsid w:val="0A627318"/>
    <w:rsid w:val="0A6A05C2"/>
    <w:rsid w:val="0A871872"/>
    <w:rsid w:val="0A887AA4"/>
    <w:rsid w:val="0A92216F"/>
    <w:rsid w:val="0A9E0A94"/>
    <w:rsid w:val="0AB07751"/>
    <w:rsid w:val="0AB60A3E"/>
    <w:rsid w:val="0AB83079"/>
    <w:rsid w:val="0AD60454"/>
    <w:rsid w:val="0AE71698"/>
    <w:rsid w:val="0AEA410A"/>
    <w:rsid w:val="0AFA3004"/>
    <w:rsid w:val="0AFB4013"/>
    <w:rsid w:val="0AFB6824"/>
    <w:rsid w:val="0B15135B"/>
    <w:rsid w:val="0B160C13"/>
    <w:rsid w:val="0B1F67D0"/>
    <w:rsid w:val="0B2145A4"/>
    <w:rsid w:val="0B2B3C7B"/>
    <w:rsid w:val="0B316389"/>
    <w:rsid w:val="0B5223A9"/>
    <w:rsid w:val="0B852B9F"/>
    <w:rsid w:val="0BBA5954"/>
    <w:rsid w:val="0BC35C62"/>
    <w:rsid w:val="0BC51F38"/>
    <w:rsid w:val="0BDD3A6A"/>
    <w:rsid w:val="0BED35B4"/>
    <w:rsid w:val="0BED6E9E"/>
    <w:rsid w:val="0BF24710"/>
    <w:rsid w:val="0C0B53B3"/>
    <w:rsid w:val="0C0D1B68"/>
    <w:rsid w:val="0C13055B"/>
    <w:rsid w:val="0C254A1B"/>
    <w:rsid w:val="0C25691C"/>
    <w:rsid w:val="0C293D90"/>
    <w:rsid w:val="0C302D8B"/>
    <w:rsid w:val="0C352A96"/>
    <w:rsid w:val="0C362890"/>
    <w:rsid w:val="0C5A7F01"/>
    <w:rsid w:val="0C8B34A5"/>
    <w:rsid w:val="0C907468"/>
    <w:rsid w:val="0C992E66"/>
    <w:rsid w:val="0C9D4705"/>
    <w:rsid w:val="0C9E7822"/>
    <w:rsid w:val="0CB810E8"/>
    <w:rsid w:val="0CCE11F4"/>
    <w:rsid w:val="0CDA4CC1"/>
    <w:rsid w:val="0CDC2D7A"/>
    <w:rsid w:val="0CE836F9"/>
    <w:rsid w:val="0CF87285"/>
    <w:rsid w:val="0CF87B8D"/>
    <w:rsid w:val="0D185287"/>
    <w:rsid w:val="0D1E0763"/>
    <w:rsid w:val="0D1F587B"/>
    <w:rsid w:val="0D224A8A"/>
    <w:rsid w:val="0D283592"/>
    <w:rsid w:val="0D594DF0"/>
    <w:rsid w:val="0D6004FB"/>
    <w:rsid w:val="0D67410D"/>
    <w:rsid w:val="0D6C1913"/>
    <w:rsid w:val="0D78681B"/>
    <w:rsid w:val="0D7C4FAB"/>
    <w:rsid w:val="0D857E27"/>
    <w:rsid w:val="0D890E55"/>
    <w:rsid w:val="0D8A1D43"/>
    <w:rsid w:val="0D9965CC"/>
    <w:rsid w:val="0D9B752C"/>
    <w:rsid w:val="0DBE0DD6"/>
    <w:rsid w:val="0DBE6FD3"/>
    <w:rsid w:val="0DC25855"/>
    <w:rsid w:val="0DCA63AF"/>
    <w:rsid w:val="0DDE5050"/>
    <w:rsid w:val="0DE42ED3"/>
    <w:rsid w:val="0DFF6240"/>
    <w:rsid w:val="0E1536E2"/>
    <w:rsid w:val="0E1A3BB0"/>
    <w:rsid w:val="0E1C459B"/>
    <w:rsid w:val="0E1E5E3A"/>
    <w:rsid w:val="0E1F1468"/>
    <w:rsid w:val="0E305D54"/>
    <w:rsid w:val="0E327E99"/>
    <w:rsid w:val="0E330ED4"/>
    <w:rsid w:val="0E3610CB"/>
    <w:rsid w:val="0E4E21B3"/>
    <w:rsid w:val="0E87741A"/>
    <w:rsid w:val="0E8C2C83"/>
    <w:rsid w:val="0E8D69FB"/>
    <w:rsid w:val="0E8F73F2"/>
    <w:rsid w:val="0E953933"/>
    <w:rsid w:val="0EB16245"/>
    <w:rsid w:val="0EB41B5D"/>
    <w:rsid w:val="0EB67214"/>
    <w:rsid w:val="0EDD488B"/>
    <w:rsid w:val="0EE72023"/>
    <w:rsid w:val="0EE80D86"/>
    <w:rsid w:val="0EF23E17"/>
    <w:rsid w:val="0EF40F53"/>
    <w:rsid w:val="0F02058A"/>
    <w:rsid w:val="0F234C69"/>
    <w:rsid w:val="0F553B7C"/>
    <w:rsid w:val="0F571187"/>
    <w:rsid w:val="0F7363A4"/>
    <w:rsid w:val="0F76748F"/>
    <w:rsid w:val="0F784FB5"/>
    <w:rsid w:val="0F9E3046"/>
    <w:rsid w:val="0FB941A6"/>
    <w:rsid w:val="0FC30177"/>
    <w:rsid w:val="0FE94ABA"/>
    <w:rsid w:val="1015061C"/>
    <w:rsid w:val="101F18D4"/>
    <w:rsid w:val="102C3AAB"/>
    <w:rsid w:val="102D2123"/>
    <w:rsid w:val="10303AE2"/>
    <w:rsid w:val="10390BE8"/>
    <w:rsid w:val="1054237C"/>
    <w:rsid w:val="105E2AE5"/>
    <w:rsid w:val="10665407"/>
    <w:rsid w:val="106A7E47"/>
    <w:rsid w:val="106C2051"/>
    <w:rsid w:val="10727658"/>
    <w:rsid w:val="1087314D"/>
    <w:rsid w:val="109611B9"/>
    <w:rsid w:val="10997BAE"/>
    <w:rsid w:val="109C5E4D"/>
    <w:rsid w:val="10BB4DD1"/>
    <w:rsid w:val="10C64491"/>
    <w:rsid w:val="10C811C1"/>
    <w:rsid w:val="10D8419A"/>
    <w:rsid w:val="10DA379A"/>
    <w:rsid w:val="10DD77C5"/>
    <w:rsid w:val="10EA764A"/>
    <w:rsid w:val="10EE5D63"/>
    <w:rsid w:val="10F60B9D"/>
    <w:rsid w:val="10FF7003"/>
    <w:rsid w:val="110D797F"/>
    <w:rsid w:val="11105076"/>
    <w:rsid w:val="11211A8F"/>
    <w:rsid w:val="112278CE"/>
    <w:rsid w:val="11250B13"/>
    <w:rsid w:val="11286567"/>
    <w:rsid w:val="113768E4"/>
    <w:rsid w:val="115A4BCD"/>
    <w:rsid w:val="115E7F6C"/>
    <w:rsid w:val="11697B20"/>
    <w:rsid w:val="11713CFC"/>
    <w:rsid w:val="11717F0E"/>
    <w:rsid w:val="11780E02"/>
    <w:rsid w:val="11916802"/>
    <w:rsid w:val="119A1FCA"/>
    <w:rsid w:val="11AC730F"/>
    <w:rsid w:val="11BC387F"/>
    <w:rsid w:val="11E00626"/>
    <w:rsid w:val="11E95673"/>
    <w:rsid w:val="11EE77B0"/>
    <w:rsid w:val="120E1C01"/>
    <w:rsid w:val="121B418D"/>
    <w:rsid w:val="122225D7"/>
    <w:rsid w:val="123773D0"/>
    <w:rsid w:val="123F625E"/>
    <w:rsid w:val="124B075F"/>
    <w:rsid w:val="12590E2F"/>
    <w:rsid w:val="125A6B29"/>
    <w:rsid w:val="126942B0"/>
    <w:rsid w:val="1279797B"/>
    <w:rsid w:val="127A5BCC"/>
    <w:rsid w:val="127F0CDB"/>
    <w:rsid w:val="1283439D"/>
    <w:rsid w:val="12856D80"/>
    <w:rsid w:val="128E1EEE"/>
    <w:rsid w:val="128F7CBD"/>
    <w:rsid w:val="129170FA"/>
    <w:rsid w:val="12A33457"/>
    <w:rsid w:val="12B24BE1"/>
    <w:rsid w:val="12C16C73"/>
    <w:rsid w:val="12C64827"/>
    <w:rsid w:val="12D90460"/>
    <w:rsid w:val="12FF0EBB"/>
    <w:rsid w:val="13085039"/>
    <w:rsid w:val="130D0014"/>
    <w:rsid w:val="130F5C30"/>
    <w:rsid w:val="13196AAF"/>
    <w:rsid w:val="1320280B"/>
    <w:rsid w:val="1329321B"/>
    <w:rsid w:val="132E043C"/>
    <w:rsid w:val="133509F9"/>
    <w:rsid w:val="133D2B2C"/>
    <w:rsid w:val="1344242A"/>
    <w:rsid w:val="13482CC0"/>
    <w:rsid w:val="134D574D"/>
    <w:rsid w:val="139317ED"/>
    <w:rsid w:val="1396040F"/>
    <w:rsid w:val="139C67BB"/>
    <w:rsid w:val="13C46A1B"/>
    <w:rsid w:val="13C56740"/>
    <w:rsid w:val="13CD6F8A"/>
    <w:rsid w:val="13D05D10"/>
    <w:rsid w:val="13E23345"/>
    <w:rsid w:val="13E604E2"/>
    <w:rsid w:val="13F26994"/>
    <w:rsid w:val="140D3617"/>
    <w:rsid w:val="141B1E2B"/>
    <w:rsid w:val="1423444A"/>
    <w:rsid w:val="143F1D7B"/>
    <w:rsid w:val="144274A8"/>
    <w:rsid w:val="144A4233"/>
    <w:rsid w:val="144D0ACC"/>
    <w:rsid w:val="144D2D5B"/>
    <w:rsid w:val="14634486"/>
    <w:rsid w:val="14742EF1"/>
    <w:rsid w:val="14867011"/>
    <w:rsid w:val="149B05E1"/>
    <w:rsid w:val="149B3F31"/>
    <w:rsid w:val="14CE7046"/>
    <w:rsid w:val="14D276DE"/>
    <w:rsid w:val="14F14B90"/>
    <w:rsid w:val="14F523D2"/>
    <w:rsid w:val="14F8397B"/>
    <w:rsid w:val="15011C56"/>
    <w:rsid w:val="15055AB5"/>
    <w:rsid w:val="15131E7B"/>
    <w:rsid w:val="153720E2"/>
    <w:rsid w:val="156A53A0"/>
    <w:rsid w:val="156C55BC"/>
    <w:rsid w:val="156D4E90"/>
    <w:rsid w:val="15891A6F"/>
    <w:rsid w:val="158A4DBA"/>
    <w:rsid w:val="159616C7"/>
    <w:rsid w:val="15994905"/>
    <w:rsid w:val="15A2296B"/>
    <w:rsid w:val="15A547C9"/>
    <w:rsid w:val="15A9411A"/>
    <w:rsid w:val="15B312AC"/>
    <w:rsid w:val="15C85046"/>
    <w:rsid w:val="15EA64E1"/>
    <w:rsid w:val="15F03877"/>
    <w:rsid w:val="15FC23FE"/>
    <w:rsid w:val="15FF3B4E"/>
    <w:rsid w:val="16113F5E"/>
    <w:rsid w:val="16165BCA"/>
    <w:rsid w:val="16296DE9"/>
    <w:rsid w:val="16381757"/>
    <w:rsid w:val="1645407B"/>
    <w:rsid w:val="16521E65"/>
    <w:rsid w:val="165A2D6B"/>
    <w:rsid w:val="1667245B"/>
    <w:rsid w:val="16672597"/>
    <w:rsid w:val="166B1332"/>
    <w:rsid w:val="16714EDE"/>
    <w:rsid w:val="167655B5"/>
    <w:rsid w:val="167A2592"/>
    <w:rsid w:val="16804E96"/>
    <w:rsid w:val="16981026"/>
    <w:rsid w:val="169A2C48"/>
    <w:rsid w:val="16B87951"/>
    <w:rsid w:val="16BA4105"/>
    <w:rsid w:val="16C67F6C"/>
    <w:rsid w:val="16C75CDE"/>
    <w:rsid w:val="16D1641C"/>
    <w:rsid w:val="16D57191"/>
    <w:rsid w:val="16D82C42"/>
    <w:rsid w:val="170B19CF"/>
    <w:rsid w:val="170F61FF"/>
    <w:rsid w:val="17236291"/>
    <w:rsid w:val="17274AB1"/>
    <w:rsid w:val="17444A5A"/>
    <w:rsid w:val="174F125F"/>
    <w:rsid w:val="175A07E0"/>
    <w:rsid w:val="176C028F"/>
    <w:rsid w:val="17716EA8"/>
    <w:rsid w:val="17772BF6"/>
    <w:rsid w:val="17B752F6"/>
    <w:rsid w:val="17C3523B"/>
    <w:rsid w:val="17C90AA4"/>
    <w:rsid w:val="17D41B5D"/>
    <w:rsid w:val="17D5490C"/>
    <w:rsid w:val="17D82FB2"/>
    <w:rsid w:val="17FD33B6"/>
    <w:rsid w:val="17FD7422"/>
    <w:rsid w:val="18043D2B"/>
    <w:rsid w:val="182B3432"/>
    <w:rsid w:val="183539C6"/>
    <w:rsid w:val="183C74C7"/>
    <w:rsid w:val="184E23FE"/>
    <w:rsid w:val="18643121"/>
    <w:rsid w:val="188752A7"/>
    <w:rsid w:val="18AD6B08"/>
    <w:rsid w:val="18D23988"/>
    <w:rsid w:val="18E81B33"/>
    <w:rsid w:val="18F36F9A"/>
    <w:rsid w:val="18FE36B5"/>
    <w:rsid w:val="191F6A49"/>
    <w:rsid w:val="19332FA3"/>
    <w:rsid w:val="1954601C"/>
    <w:rsid w:val="195848C8"/>
    <w:rsid w:val="19696175"/>
    <w:rsid w:val="19697BFA"/>
    <w:rsid w:val="1979635E"/>
    <w:rsid w:val="198B4326"/>
    <w:rsid w:val="1999328D"/>
    <w:rsid w:val="19BE5A4B"/>
    <w:rsid w:val="19BF4370"/>
    <w:rsid w:val="19C21C4E"/>
    <w:rsid w:val="19D25AEF"/>
    <w:rsid w:val="19EB2693"/>
    <w:rsid w:val="19F0253A"/>
    <w:rsid w:val="19F4792E"/>
    <w:rsid w:val="1A01625B"/>
    <w:rsid w:val="1A1047A5"/>
    <w:rsid w:val="1A106081"/>
    <w:rsid w:val="1A3F7507"/>
    <w:rsid w:val="1A684039"/>
    <w:rsid w:val="1A78055F"/>
    <w:rsid w:val="1A8E78C8"/>
    <w:rsid w:val="1A9A12C1"/>
    <w:rsid w:val="1A9A5EF7"/>
    <w:rsid w:val="1AA5653A"/>
    <w:rsid w:val="1AAB623F"/>
    <w:rsid w:val="1ADC6D40"/>
    <w:rsid w:val="1ADE35C5"/>
    <w:rsid w:val="1AEC75EB"/>
    <w:rsid w:val="1AF01679"/>
    <w:rsid w:val="1AF45477"/>
    <w:rsid w:val="1B012302"/>
    <w:rsid w:val="1B201915"/>
    <w:rsid w:val="1B33402F"/>
    <w:rsid w:val="1B337307"/>
    <w:rsid w:val="1B4875AE"/>
    <w:rsid w:val="1B493D5D"/>
    <w:rsid w:val="1B6E410D"/>
    <w:rsid w:val="1B9904EA"/>
    <w:rsid w:val="1B9D3EAD"/>
    <w:rsid w:val="1BAA3957"/>
    <w:rsid w:val="1BB83309"/>
    <w:rsid w:val="1BBF3B1A"/>
    <w:rsid w:val="1BC83FED"/>
    <w:rsid w:val="1BCA303C"/>
    <w:rsid w:val="1BF05EB4"/>
    <w:rsid w:val="1C1A2C44"/>
    <w:rsid w:val="1C3D380E"/>
    <w:rsid w:val="1C3D6D64"/>
    <w:rsid w:val="1C4C1CA3"/>
    <w:rsid w:val="1C4C4BD9"/>
    <w:rsid w:val="1C6E5335"/>
    <w:rsid w:val="1C840525"/>
    <w:rsid w:val="1C8A33DD"/>
    <w:rsid w:val="1C8B48E5"/>
    <w:rsid w:val="1C8B7086"/>
    <w:rsid w:val="1C976791"/>
    <w:rsid w:val="1CB82E95"/>
    <w:rsid w:val="1CCE090A"/>
    <w:rsid w:val="1CF74EC6"/>
    <w:rsid w:val="1D0019E8"/>
    <w:rsid w:val="1D004BAD"/>
    <w:rsid w:val="1D1C76D4"/>
    <w:rsid w:val="1D39116E"/>
    <w:rsid w:val="1D417AA2"/>
    <w:rsid w:val="1D4B1B26"/>
    <w:rsid w:val="1D4D7A81"/>
    <w:rsid w:val="1D693CD4"/>
    <w:rsid w:val="1DB004D6"/>
    <w:rsid w:val="1DC001AC"/>
    <w:rsid w:val="1DCC6295"/>
    <w:rsid w:val="1DE228BA"/>
    <w:rsid w:val="1E0E51C2"/>
    <w:rsid w:val="1E1B13F5"/>
    <w:rsid w:val="1E1B75CE"/>
    <w:rsid w:val="1E256DDB"/>
    <w:rsid w:val="1E2C038C"/>
    <w:rsid w:val="1E380731"/>
    <w:rsid w:val="1E6F24FC"/>
    <w:rsid w:val="1EC11B21"/>
    <w:rsid w:val="1EC12A93"/>
    <w:rsid w:val="1ECA2F0B"/>
    <w:rsid w:val="1ED65FDF"/>
    <w:rsid w:val="1EDA5128"/>
    <w:rsid w:val="1EDD3086"/>
    <w:rsid w:val="1EE44D31"/>
    <w:rsid w:val="1EFC33E4"/>
    <w:rsid w:val="1F0B6217"/>
    <w:rsid w:val="1F2208FE"/>
    <w:rsid w:val="1F474DE8"/>
    <w:rsid w:val="1F4F29B7"/>
    <w:rsid w:val="1F6364CC"/>
    <w:rsid w:val="1F65178F"/>
    <w:rsid w:val="1FB94710"/>
    <w:rsid w:val="1FBF028E"/>
    <w:rsid w:val="1FBF27F4"/>
    <w:rsid w:val="1FC35DD8"/>
    <w:rsid w:val="1FC47E35"/>
    <w:rsid w:val="1FCA6F35"/>
    <w:rsid w:val="1FCE183D"/>
    <w:rsid w:val="1FDC71C1"/>
    <w:rsid w:val="1FFB365A"/>
    <w:rsid w:val="1FFD54FC"/>
    <w:rsid w:val="20211783"/>
    <w:rsid w:val="20312AEB"/>
    <w:rsid w:val="20370574"/>
    <w:rsid w:val="2042407C"/>
    <w:rsid w:val="2043583C"/>
    <w:rsid w:val="20456F3D"/>
    <w:rsid w:val="20472DB0"/>
    <w:rsid w:val="20476170"/>
    <w:rsid w:val="20490E7D"/>
    <w:rsid w:val="205D51D0"/>
    <w:rsid w:val="207532D7"/>
    <w:rsid w:val="20967767"/>
    <w:rsid w:val="20AA3001"/>
    <w:rsid w:val="20B00A53"/>
    <w:rsid w:val="20B87308"/>
    <w:rsid w:val="20B87907"/>
    <w:rsid w:val="20DA5298"/>
    <w:rsid w:val="20E33285"/>
    <w:rsid w:val="20FD40A4"/>
    <w:rsid w:val="20FD7C95"/>
    <w:rsid w:val="21182154"/>
    <w:rsid w:val="21183C0B"/>
    <w:rsid w:val="21294B90"/>
    <w:rsid w:val="212A5D22"/>
    <w:rsid w:val="212F75DD"/>
    <w:rsid w:val="214C2FB8"/>
    <w:rsid w:val="21676577"/>
    <w:rsid w:val="216A28C3"/>
    <w:rsid w:val="21771570"/>
    <w:rsid w:val="219736C9"/>
    <w:rsid w:val="219B39C7"/>
    <w:rsid w:val="219F4623"/>
    <w:rsid w:val="21A35416"/>
    <w:rsid w:val="21B856E5"/>
    <w:rsid w:val="21B87493"/>
    <w:rsid w:val="21B9578A"/>
    <w:rsid w:val="21C23934"/>
    <w:rsid w:val="21CC613C"/>
    <w:rsid w:val="21D17860"/>
    <w:rsid w:val="21D32722"/>
    <w:rsid w:val="21E42E36"/>
    <w:rsid w:val="21E7724D"/>
    <w:rsid w:val="21F42BC1"/>
    <w:rsid w:val="21F50916"/>
    <w:rsid w:val="2211618D"/>
    <w:rsid w:val="2225345A"/>
    <w:rsid w:val="22360692"/>
    <w:rsid w:val="22542BB3"/>
    <w:rsid w:val="225E4B9C"/>
    <w:rsid w:val="2265586D"/>
    <w:rsid w:val="22703D10"/>
    <w:rsid w:val="22823B5E"/>
    <w:rsid w:val="22835CF3"/>
    <w:rsid w:val="228D5360"/>
    <w:rsid w:val="22A5210D"/>
    <w:rsid w:val="22AA12DD"/>
    <w:rsid w:val="22BC5D17"/>
    <w:rsid w:val="22DC30C2"/>
    <w:rsid w:val="23016E57"/>
    <w:rsid w:val="231132FF"/>
    <w:rsid w:val="231F41F1"/>
    <w:rsid w:val="23241049"/>
    <w:rsid w:val="23537BC6"/>
    <w:rsid w:val="236017E5"/>
    <w:rsid w:val="2373013C"/>
    <w:rsid w:val="237C7048"/>
    <w:rsid w:val="237F64BA"/>
    <w:rsid w:val="23A567CE"/>
    <w:rsid w:val="23A75F8B"/>
    <w:rsid w:val="23C92B4F"/>
    <w:rsid w:val="23CC380E"/>
    <w:rsid w:val="23CE67A9"/>
    <w:rsid w:val="23EB0406"/>
    <w:rsid w:val="24030F89"/>
    <w:rsid w:val="241750B5"/>
    <w:rsid w:val="242645DB"/>
    <w:rsid w:val="242A0654"/>
    <w:rsid w:val="242E07E9"/>
    <w:rsid w:val="245244EF"/>
    <w:rsid w:val="24662EAB"/>
    <w:rsid w:val="247A3D65"/>
    <w:rsid w:val="24857B00"/>
    <w:rsid w:val="248D2E59"/>
    <w:rsid w:val="24910C95"/>
    <w:rsid w:val="249266C1"/>
    <w:rsid w:val="24AA3A0B"/>
    <w:rsid w:val="24B35C26"/>
    <w:rsid w:val="24B959FC"/>
    <w:rsid w:val="24CA1191"/>
    <w:rsid w:val="24D4278F"/>
    <w:rsid w:val="24D80578"/>
    <w:rsid w:val="24E56F56"/>
    <w:rsid w:val="24F84634"/>
    <w:rsid w:val="24FD1D8D"/>
    <w:rsid w:val="25143F64"/>
    <w:rsid w:val="2540611D"/>
    <w:rsid w:val="25430923"/>
    <w:rsid w:val="25595016"/>
    <w:rsid w:val="256767C9"/>
    <w:rsid w:val="25A94457"/>
    <w:rsid w:val="25AB495B"/>
    <w:rsid w:val="25B96C70"/>
    <w:rsid w:val="25BF7042"/>
    <w:rsid w:val="25D63C52"/>
    <w:rsid w:val="26176E7E"/>
    <w:rsid w:val="261C4796"/>
    <w:rsid w:val="262E2533"/>
    <w:rsid w:val="263A3182"/>
    <w:rsid w:val="26570C4B"/>
    <w:rsid w:val="26583B53"/>
    <w:rsid w:val="266876DA"/>
    <w:rsid w:val="267912AC"/>
    <w:rsid w:val="26A4077D"/>
    <w:rsid w:val="26A44261"/>
    <w:rsid w:val="26A57B72"/>
    <w:rsid w:val="26BB2124"/>
    <w:rsid w:val="26BD577A"/>
    <w:rsid w:val="26C0493F"/>
    <w:rsid w:val="26C14EEF"/>
    <w:rsid w:val="26D51FEF"/>
    <w:rsid w:val="26E20FE9"/>
    <w:rsid w:val="26E60A36"/>
    <w:rsid w:val="26E94DE4"/>
    <w:rsid w:val="26EC5D68"/>
    <w:rsid w:val="26ED4E51"/>
    <w:rsid w:val="26F851D5"/>
    <w:rsid w:val="26F92A28"/>
    <w:rsid w:val="272C3CC5"/>
    <w:rsid w:val="272D4EE1"/>
    <w:rsid w:val="272E0D57"/>
    <w:rsid w:val="27304F05"/>
    <w:rsid w:val="274C7086"/>
    <w:rsid w:val="274D1422"/>
    <w:rsid w:val="274F2647"/>
    <w:rsid w:val="276E6C81"/>
    <w:rsid w:val="278B7B24"/>
    <w:rsid w:val="278C389C"/>
    <w:rsid w:val="27A60580"/>
    <w:rsid w:val="27B16DAB"/>
    <w:rsid w:val="27B67EFB"/>
    <w:rsid w:val="27BF5B24"/>
    <w:rsid w:val="27E54BC2"/>
    <w:rsid w:val="27E85056"/>
    <w:rsid w:val="27F377F6"/>
    <w:rsid w:val="27F51A4F"/>
    <w:rsid w:val="27F53AFB"/>
    <w:rsid w:val="280356C1"/>
    <w:rsid w:val="28041431"/>
    <w:rsid w:val="281C4C20"/>
    <w:rsid w:val="2826114B"/>
    <w:rsid w:val="282E4323"/>
    <w:rsid w:val="283122A8"/>
    <w:rsid w:val="28394B73"/>
    <w:rsid w:val="283F661F"/>
    <w:rsid w:val="284727B8"/>
    <w:rsid w:val="2861580E"/>
    <w:rsid w:val="28690F59"/>
    <w:rsid w:val="286B3457"/>
    <w:rsid w:val="286F2BB2"/>
    <w:rsid w:val="28873999"/>
    <w:rsid w:val="28A23518"/>
    <w:rsid w:val="28B112DC"/>
    <w:rsid w:val="28C57065"/>
    <w:rsid w:val="28C8445F"/>
    <w:rsid w:val="28C92B27"/>
    <w:rsid w:val="28CD64C9"/>
    <w:rsid w:val="28D32D5A"/>
    <w:rsid w:val="28EA07E4"/>
    <w:rsid w:val="290B020C"/>
    <w:rsid w:val="290F02E0"/>
    <w:rsid w:val="2914481A"/>
    <w:rsid w:val="292639D6"/>
    <w:rsid w:val="2928376B"/>
    <w:rsid w:val="294D58D8"/>
    <w:rsid w:val="2962248F"/>
    <w:rsid w:val="297D17ED"/>
    <w:rsid w:val="29977D32"/>
    <w:rsid w:val="29A21154"/>
    <w:rsid w:val="29AC58EC"/>
    <w:rsid w:val="29AF0534"/>
    <w:rsid w:val="29AF20F4"/>
    <w:rsid w:val="29B665AC"/>
    <w:rsid w:val="29B84025"/>
    <w:rsid w:val="29DB4666"/>
    <w:rsid w:val="29EF0FA3"/>
    <w:rsid w:val="2A0609B2"/>
    <w:rsid w:val="2A171AFA"/>
    <w:rsid w:val="2A1738F0"/>
    <w:rsid w:val="2A1A518F"/>
    <w:rsid w:val="2A35454B"/>
    <w:rsid w:val="2A415297"/>
    <w:rsid w:val="2A4A7DC1"/>
    <w:rsid w:val="2A677CA8"/>
    <w:rsid w:val="2A6E026E"/>
    <w:rsid w:val="2A8320CC"/>
    <w:rsid w:val="2A8D625F"/>
    <w:rsid w:val="2A977349"/>
    <w:rsid w:val="2AA9230C"/>
    <w:rsid w:val="2AB47391"/>
    <w:rsid w:val="2ABB5AA9"/>
    <w:rsid w:val="2ACC15C7"/>
    <w:rsid w:val="2ADE61BC"/>
    <w:rsid w:val="2AEB5E29"/>
    <w:rsid w:val="2AEC2D35"/>
    <w:rsid w:val="2AF21067"/>
    <w:rsid w:val="2AF86188"/>
    <w:rsid w:val="2B0F3CBA"/>
    <w:rsid w:val="2B0F5B31"/>
    <w:rsid w:val="2B1A3027"/>
    <w:rsid w:val="2B2E2565"/>
    <w:rsid w:val="2B43250A"/>
    <w:rsid w:val="2B5E7C6F"/>
    <w:rsid w:val="2B62264C"/>
    <w:rsid w:val="2B643164"/>
    <w:rsid w:val="2B6A7747"/>
    <w:rsid w:val="2B7D3C27"/>
    <w:rsid w:val="2B805104"/>
    <w:rsid w:val="2B9D029C"/>
    <w:rsid w:val="2C0C17E0"/>
    <w:rsid w:val="2C0F0D1A"/>
    <w:rsid w:val="2C25328E"/>
    <w:rsid w:val="2C2A4C66"/>
    <w:rsid w:val="2C336597"/>
    <w:rsid w:val="2C422697"/>
    <w:rsid w:val="2C5129BE"/>
    <w:rsid w:val="2C5876E7"/>
    <w:rsid w:val="2C712DC0"/>
    <w:rsid w:val="2C772424"/>
    <w:rsid w:val="2C7C5C8D"/>
    <w:rsid w:val="2C7C7A3B"/>
    <w:rsid w:val="2C7F4490"/>
    <w:rsid w:val="2C844B41"/>
    <w:rsid w:val="2C8D37A6"/>
    <w:rsid w:val="2CA360A8"/>
    <w:rsid w:val="2CB97AED"/>
    <w:rsid w:val="2CC37066"/>
    <w:rsid w:val="2CD4199C"/>
    <w:rsid w:val="2CDA0C05"/>
    <w:rsid w:val="2CDB5335"/>
    <w:rsid w:val="2CE05F21"/>
    <w:rsid w:val="2CEE6160"/>
    <w:rsid w:val="2D043452"/>
    <w:rsid w:val="2D08313E"/>
    <w:rsid w:val="2D096DD5"/>
    <w:rsid w:val="2D322C15"/>
    <w:rsid w:val="2D377E06"/>
    <w:rsid w:val="2D3F3249"/>
    <w:rsid w:val="2D5131E6"/>
    <w:rsid w:val="2D531F79"/>
    <w:rsid w:val="2D5C0118"/>
    <w:rsid w:val="2D8A02CD"/>
    <w:rsid w:val="2D904AA2"/>
    <w:rsid w:val="2D974EE9"/>
    <w:rsid w:val="2DA25199"/>
    <w:rsid w:val="2DA8657D"/>
    <w:rsid w:val="2DB04802"/>
    <w:rsid w:val="2DB51229"/>
    <w:rsid w:val="2DBB1FC2"/>
    <w:rsid w:val="2DBC01B4"/>
    <w:rsid w:val="2DC118C0"/>
    <w:rsid w:val="2DD95502"/>
    <w:rsid w:val="2DDC0B9C"/>
    <w:rsid w:val="2DFC0F52"/>
    <w:rsid w:val="2DFC7AB3"/>
    <w:rsid w:val="2DFF1D40"/>
    <w:rsid w:val="2E06719B"/>
    <w:rsid w:val="2E126E25"/>
    <w:rsid w:val="2E136AA5"/>
    <w:rsid w:val="2E2A7997"/>
    <w:rsid w:val="2E3A1E59"/>
    <w:rsid w:val="2E476983"/>
    <w:rsid w:val="2E50690A"/>
    <w:rsid w:val="2E663E46"/>
    <w:rsid w:val="2E930678"/>
    <w:rsid w:val="2EAE2A4C"/>
    <w:rsid w:val="2ED42A36"/>
    <w:rsid w:val="2EDB23D1"/>
    <w:rsid w:val="2EE329A9"/>
    <w:rsid w:val="2EEE362A"/>
    <w:rsid w:val="2EF00F19"/>
    <w:rsid w:val="2F067332"/>
    <w:rsid w:val="2F171C9D"/>
    <w:rsid w:val="2F2148C9"/>
    <w:rsid w:val="2F2B0AFC"/>
    <w:rsid w:val="2F2D7712"/>
    <w:rsid w:val="2F392A60"/>
    <w:rsid w:val="2F444B8E"/>
    <w:rsid w:val="2F445E74"/>
    <w:rsid w:val="2F445F24"/>
    <w:rsid w:val="2F4912C9"/>
    <w:rsid w:val="2F553C0E"/>
    <w:rsid w:val="2F600CC5"/>
    <w:rsid w:val="2F601896"/>
    <w:rsid w:val="2F90775A"/>
    <w:rsid w:val="2F956463"/>
    <w:rsid w:val="2FA923BE"/>
    <w:rsid w:val="2FAA4FC6"/>
    <w:rsid w:val="2FB40713"/>
    <w:rsid w:val="2FD13B11"/>
    <w:rsid w:val="2FE456D1"/>
    <w:rsid w:val="2FF823FB"/>
    <w:rsid w:val="2FFD70E5"/>
    <w:rsid w:val="30055F99"/>
    <w:rsid w:val="3008714B"/>
    <w:rsid w:val="300E2F88"/>
    <w:rsid w:val="301D445D"/>
    <w:rsid w:val="301D650E"/>
    <w:rsid w:val="303B4CED"/>
    <w:rsid w:val="30427B90"/>
    <w:rsid w:val="30511CAE"/>
    <w:rsid w:val="30521C16"/>
    <w:rsid w:val="307B1892"/>
    <w:rsid w:val="3081266C"/>
    <w:rsid w:val="30A5355B"/>
    <w:rsid w:val="30B81EEA"/>
    <w:rsid w:val="30BA6D84"/>
    <w:rsid w:val="30BB3500"/>
    <w:rsid w:val="30E06ACA"/>
    <w:rsid w:val="30FF4A39"/>
    <w:rsid w:val="310D6ED5"/>
    <w:rsid w:val="31191D33"/>
    <w:rsid w:val="311C584B"/>
    <w:rsid w:val="312071B2"/>
    <w:rsid w:val="313F372D"/>
    <w:rsid w:val="31453715"/>
    <w:rsid w:val="314D6E54"/>
    <w:rsid w:val="31557E7B"/>
    <w:rsid w:val="316776D6"/>
    <w:rsid w:val="316C7AA1"/>
    <w:rsid w:val="31837ABD"/>
    <w:rsid w:val="31887B58"/>
    <w:rsid w:val="319B288F"/>
    <w:rsid w:val="31B12793"/>
    <w:rsid w:val="31D834D2"/>
    <w:rsid w:val="31D835C8"/>
    <w:rsid w:val="31DE2F46"/>
    <w:rsid w:val="31DE3C7B"/>
    <w:rsid w:val="31E41CE9"/>
    <w:rsid w:val="31F75EFF"/>
    <w:rsid w:val="31FA4F04"/>
    <w:rsid w:val="320C360F"/>
    <w:rsid w:val="3211598E"/>
    <w:rsid w:val="3223427F"/>
    <w:rsid w:val="32253768"/>
    <w:rsid w:val="32557EB6"/>
    <w:rsid w:val="326776AE"/>
    <w:rsid w:val="327E2047"/>
    <w:rsid w:val="328855E4"/>
    <w:rsid w:val="329E088F"/>
    <w:rsid w:val="32A475C4"/>
    <w:rsid w:val="32A9493D"/>
    <w:rsid w:val="32C13733"/>
    <w:rsid w:val="32C15A1E"/>
    <w:rsid w:val="32D20E13"/>
    <w:rsid w:val="32DA1C3C"/>
    <w:rsid w:val="32E13A28"/>
    <w:rsid w:val="32F92E88"/>
    <w:rsid w:val="32F96AA8"/>
    <w:rsid w:val="32FB79C5"/>
    <w:rsid w:val="331754E6"/>
    <w:rsid w:val="3335547E"/>
    <w:rsid w:val="334A5D82"/>
    <w:rsid w:val="334E7548"/>
    <w:rsid w:val="33546C9C"/>
    <w:rsid w:val="33574D5E"/>
    <w:rsid w:val="33590AD6"/>
    <w:rsid w:val="33636574"/>
    <w:rsid w:val="33646AD5"/>
    <w:rsid w:val="33665779"/>
    <w:rsid w:val="337558F7"/>
    <w:rsid w:val="33836288"/>
    <w:rsid w:val="339D5D33"/>
    <w:rsid w:val="33AE622E"/>
    <w:rsid w:val="33D55500"/>
    <w:rsid w:val="340978C3"/>
    <w:rsid w:val="340A166E"/>
    <w:rsid w:val="341D44C9"/>
    <w:rsid w:val="342121ED"/>
    <w:rsid w:val="342C7785"/>
    <w:rsid w:val="3435049D"/>
    <w:rsid w:val="343530F3"/>
    <w:rsid w:val="34525525"/>
    <w:rsid w:val="345F375A"/>
    <w:rsid w:val="34692B53"/>
    <w:rsid w:val="346F5230"/>
    <w:rsid w:val="34795B77"/>
    <w:rsid w:val="34873421"/>
    <w:rsid w:val="348C232D"/>
    <w:rsid w:val="348F3CC4"/>
    <w:rsid w:val="3492714D"/>
    <w:rsid w:val="34A70F65"/>
    <w:rsid w:val="34A72BA0"/>
    <w:rsid w:val="34AD46FA"/>
    <w:rsid w:val="34CC096F"/>
    <w:rsid w:val="34E07471"/>
    <w:rsid w:val="34F31940"/>
    <w:rsid w:val="351017D4"/>
    <w:rsid w:val="3522098E"/>
    <w:rsid w:val="352275ED"/>
    <w:rsid w:val="352769B2"/>
    <w:rsid w:val="35276A04"/>
    <w:rsid w:val="35365E57"/>
    <w:rsid w:val="353978DB"/>
    <w:rsid w:val="353E4427"/>
    <w:rsid w:val="354F3A03"/>
    <w:rsid w:val="3561037B"/>
    <w:rsid w:val="35693C08"/>
    <w:rsid w:val="357320AE"/>
    <w:rsid w:val="35750D11"/>
    <w:rsid w:val="35776803"/>
    <w:rsid w:val="3598340C"/>
    <w:rsid w:val="35AC34AA"/>
    <w:rsid w:val="35DD0411"/>
    <w:rsid w:val="35EF5721"/>
    <w:rsid w:val="35FF6696"/>
    <w:rsid w:val="36367635"/>
    <w:rsid w:val="36735DDA"/>
    <w:rsid w:val="3676199F"/>
    <w:rsid w:val="367D72E8"/>
    <w:rsid w:val="368158FA"/>
    <w:rsid w:val="369000BC"/>
    <w:rsid w:val="36AB4187"/>
    <w:rsid w:val="36B91801"/>
    <w:rsid w:val="36BB4631"/>
    <w:rsid w:val="36C450EA"/>
    <w:rsid w:val="36D8295A"/>
    <w:rsid w:val="36E508D2"/>
    <w:rsid w:val="36E56CEA"/>
    <w:rsid w:val="36ED45C2"/>
    <w:rsid w:val="36F33E3F"/>
    <w:rsid w:val="36F50F7A"/>
    <w:rsid w:val="37214503"/>
    <w:rsid w:val="37312019"/>
    <w:rsid w:val="373D6148"/>
    <w:rsid w:val="37722DAB"/>
    <w:rsid w:val="377460B1"/>
    <w:rsid w:val="37790091"/>
    <w:rsid w:val="37857701"/>
    <w:rsid w:val="37935938"/>
    <w:rsid w:val="37B95E1E"/>
    <w:rsid w:val="37C9239D"/>
    <w:rsid w:val="37E961A0"/>
    <w:rsid w:val="37FF2BF5"/>
    <w:rsid w:val="37FF5EC8"/>
    <w:rsid w:val="38086F32"/>
    <w:rsid w:val="381E03A7"/>
    <w:rsid w:val="382E68BB"/>
    <w:rsid w:val="38802A7B"/>
    <w:rsid w:val="388109FB"/>
    <w:rsid w:val="388163D9"/>
    <w:rsid w:val="38835502"/>
    <w:rsid w:val="38A3040B"/>
    <w:rsid w:val="38B93C34"/>
    <w:rsid w:val="38BB18EB"/>
    <w:rsid w:val="38CA3756"/>
    <w:rsid w:val="38CE00EA"/>
    <w:rsid w:val="38E819FF"/>
    <w:rsid w:val="38F10BD0"/>
    <w:rsid w:val="39060B1C"/>
    <w:rsid w:val="3918409D"/>
    <w:rsid w:val="39432B7F"/>
    <w:rsid w:val="396404E2"/>
    <w:rsid w:val="39660BB2"/>
    <w:rsid w:val="39677CC5"/>
    <w:rsid w:val="39694B31"/>
    <w:rsid w:val="396C7364"/>
    <w:rsid w:val="39727B89"/>
    <w:rsid w:val="39840742"/>
    <w:rsid w:val="398C5311"/>
    <w:rsid w:val="39A700C1"/>
    <w:rsid w:val="39AB2C0A"/>
    <w:rsid w:val="39AE222F"/>
    <w:rsid w:val="39B51940"/>
    <w:rsid w:val="39B7542A"/>
    <w:rsid w:val="39BD78E5"/>
    <w:rsid w:val="39CC413E"/>
    <w:rsid w:val="39D733F3"/>
    <w:rsid w:val="39FF6177"/>
    <w:rsid w:val="3A0177D1"/>
    <w:rsid w:val="3A042F7D"/>
    <w:rsid w:val="3A1D647A"/>
    <w:rsid w:val="3A1E4D78"/>
    <w:rsid w:val="3A3233DD"/>
    <w:rsid w:val="3A443801"/>
    <w:rsid w:val="3A443B62"/>
    <w:rsid w:val="3A5E0035"/>
    <w:rsid w:val="3A680062"/>
    <w:rsid w:val="3A7754FB"/>
    <w:rsid w:val="3A836438"/>
    <w:rsid w:val="3A90095D"/>
    <w:rsid w:val="3ABB6EE9"/>
    <w:rsid w:val="3AD35612"/>
    <w:rsid w:val="3AD63889"/>
    <w:rsid w:val="3ADC48A5"/>
    <w:rsid w:val="3B077069"/>
    <w:rsid w:val="3B1D4ADF"/>
    <w:rsid w:val="3B216DAF"/>
    <w:rsid w:val="3B2D429E"/>
    <w:rsid w:val="3B342DF9"/>
    <w:rsid w:val="3B40671F"/>
    <w:rsid w:val="3B421254"/>
    <w:rsid w:val="3B4A33FA"/>
    <w:rsid w:val="3B597325"/>
    <w:rsid w:val="3B5C3AF8"/>
    <w:rsid w:val="3B7B4841"/>
    <w:rsid w:val="3B861E17"/>
    <w:rsid w:val="3B875338"/>
    <w:rsid w:val="3B962BA9"/>
    <w:rsid w:val="3B96663F"/>
    <w:rsid w:val="3BC14B4C"/>
    <w:rsid w:val="3BC4735F"/>
    <w:rsid w:val="3BD27491"/>
    <w:rsid w:val="3BE8086F"/>
    <w:rsid w:val="3C035857"/>
    <w:rsid w:val="3C232FB8"/>
    <w:rsid w:val="3C2B4835"/>
    <w:rsid w:val="3C302844"/>
    <w:rsid w:val="3C346FC8"/>
    <w:rsid w:val="3C6029C0"/>
    <w:rsid w:val="3C6978B0"/>
    <w:rsid w:val="3C7B6ECA"/>
    <w:rsid w:val="3C835BE5"/>
    <w:rsid w:val="3C9E1825"/>
    <w:rsid w:val="3CA37C09"/>
    <w:rsid w:val="3CC2593E"/>
    <w:rsid w:val="3CF9265F"/>
    <w:rsid w:val="3CFC0724"/>
    <w:rsid w:val="3D053171"/>
    <w:rsid w:val="3D056D5A"/>
    <w:rsid w:val="3D2D739E"/>
    <w:rsid w:val="3D387AA6"/>
    <w:rsid w:val="3D3A6D34"/>
    <w:rsid w:val="3D3F6F8E"/>
    <w:rsid w:val="3D4203F1"/>
    <w:rsid w:val="3D487FC4"/>
    <w:rsid w:val="3D4D5030"/>
    <w:rsid w:val="3D581357"/>
    <w:rsid w:val="3D673E6D"/>
    <w:rsid w:val="3D7514AF"/>
    <w:rsid w:val="3D7C2832"/>
    <w:rsid w:val="3D9646D4"/>
    <w:rsid w:val="3D9D439C"/>
    <w:rsid w:val="3DA940B9"/>
    <w:rsid w:val="3DB04FD3"/>
    <w:rsid w:val="3DC24E9A"/>
    <w:rsid w:val="3DF134AA"/>
    <w:rsid w:val="3DF462C3"/>
    <w:rsid w:val="3E125F0B"/>
    <w:rsid w:val="3E173A3F"/>
    <w:rsid w:val="3E2B3E23"/>
    <w:rsid w:val="3E2B6CD1"/>
    <w:rsid w:val="3E2B76CA"/>
    <w:rsid w:val="3E3E7EE6"/>
    <w:rsid w:val="3E5A0659"/>
    <w:rsid w:val="3E686005"/>
    <w:rsid w:val="3E900B33"/>
    <w:rsid w:val="3E931162"/>
    <w:rsid w:val="3EAD5DCC"/>
    <w:rsid w:val="3EC62D97"/>
    <w:rsid w:val="3ED2489E"/>
    <w:rsid w:val="3EDA3100"/>
    <w:rsid w:val="3EF82D74"/>
    <w:rsid w:val="3EFC77D8"/>
    <w:rsid w:val="3F011085"/>
    <w:rsid w:val="3F191F84"/>
    <w:rsid w:val="3F1E4982"/>
    <w:rsid w:val="3F24019A"/>
    <w:rsid w:val="3F282BD9"/>
    <w:rsid w:val="3F3A042F"/>
    <w:rsid w:val="3F524B18"/>
    <w:rsid w:val="3F5642B0"/>
    <w:rsid w:val="3F6619C5"/>
    <w:rsid w:val="3F690816"/>
    <w:rsid w:val="3F7140F5"/>
    <w:rsid w:val="3F896774"/>
    <w:rsid w:val="3FA37EA3"/>
    <w:rsid w:val="3FAB3F3C"/>
    <w:rsid w:val="3FCC7787"/>
    <w:rsid w:val="3FCE2739"/>
    <w:rsid w:val="3FEA67EB"/>
    <w:rsid w:val="40261CF3"/>
    <w:rsid w:val="40302BBE"/>
    <w:rsid w:val="403B2A9D"/>
    <w:rsid w:val="4046718B"/>
    <w:rsid w:val="404B47FE"/>
    <w:rsid w:val="404D19C2"/>
    <w:rsid w:val="405B0FBF"/>
    <w:rsid w:val="406367F6"/>
    <w:rsid w:val="40752D1B"/>
    <w:rsid w:val="40913F93"/>
    <w:rsid w:val="40953369"/>
    <w:rsid w:val="409928E5"/>
    <w:rsid w:val="40CA028E"/>
    <w:rsid w:val="40E825ED"/>
    <w:rsid w:val="40EE0612"/>
    <w:rsid w:val="40FD19F9"/>
    <w:rsid w:val="411018B9"/>
    <w:rsid w:val="412B5F23"/>
    <w:rsid w:val="41350DA8"/>
    <w:rsid w:val="41452699"/>
    <w:rsid w:val="414712E6"/>
    <w:rsid w:val="415B6A48"/>
    <w:rsid w:val="4169503B"/>
    <w:rsid w:val="41A557EE"/>
    <w:rsid w:val="41A7646C"/>
    <w:rsid w:val="41B8730F"/>
    <w:rsid w:val="41D53C94"/>
    <w:rsid w:val="41DB7B41"/>
    <w:rsid w:val="41E040DE"/>
    <w:rsid w:val="41E33890"/>
    <w:rsid w:val="41EB2AB3"/>
    <w:rsid w:val="421546B0"/>
    <w:rsid w:val="422B2074"/>
    <w:rsid w:val="42342D2C"/>
    <w:rsid w:val="425608D6"/>
    <w:rsid w:val="426D44F3"/>
    <w:rsid w:val="426F0B0E"/>
    <w:rsid w:val="4278361D"/>
    <w:rsid w:val="427B634F"/>
    <w:rsid w:val="42800DA9"/>
    <w:rsid w:val="42876CE2"/>
    <w:rsid w:val="428F7412"/>
    <w:rsid w:val="429409DC"/>
    <w:rsid w:val="42994728"/>
    <w:rsid w:val="429F565A"/>
    <w:rsid w:val="42BF647C"/>
    <w:rsid w:val="42DD7FDF"/>
    <w:rsid w:val="43074C8F"/>
    <w:rsid w:val="43094CE9"/>
    <w:rsid w:val="430D368B"/>
    <w:rsid w:val="43234C5C"/>
    <w:rsid w:val="432D5ADB"/>
    <w:rsid w:val="43324E9F"/>
    <w:rsid w:val="43472434"/>
    <w:rsid w:val="435B2648"/>
    <w:rsid w:val="4363359A"/>
    <w:rsid w:val="436E63DD"/>
    <w:rsid w:val="43A20323"/>
    <w:rsid w:val="43DB5141"/>
    <w:rsid w:val="43E01557"/>
    <w:rsid w:val="43E10B3A"/>
    <w:rsid w:val="43EC2808"/>
    <w:rsid w:val="43F11EF9"/>
    <w:rsid w:val="43F5638C"/>
    <w:rsid w:val="44084643"/>
    <w:rsid w:val="44091B8D"/>
    <w:rsid w:val="440D66AC"/>
    <w:rsid w:val="442224C6"/>
    <w:rsid w:val="4422442A"/>
    <w:rsid w:val="442A71D3"/>
    <w:rsid w:val="44506C30"/>
    <w:rsid w:val="44557636"/>
    <w:rsid w:val="445D7FC4"/>
    <w:rsid w:val="446077EA"/>
    <w:rsid w:val="446217C8"/>
    <w:rsid w:val="446824B0"/>
    <w:rsid w:val="44693002"/>
    <w:rsid w:val="44803D71"/>
    <w:rsid w:val="44906321"/>
    <w:rsid w:val="44B30445"/>
    <w:rsid w:val="44C141C3"/>
    <w:rsid w:val="44CF7A97"/>
    <w:rsid w:val="44E86501"/>
    <w:rsid w:val="45156055"/>
    <w:rsid w:val="45325D93"/>
    <w:rsid w:val="45343151"/>
    <w:rsid w:val="45462E19"/>
    <w:rsid w:val="45464A34"/>
    <w:rsid w:val="456357E4"/>
    <w:rsid w:val="457C6CA0"/>
    <w:rsid w:val="4582269B"/>
    <w:rsid w:val="459C5647"/>
    <w:rsid w:val="45A831F7"/>
    <w:rsid w:val="45AD6173"/>
    <w:rsid w:val="45B052B0"/>
    <w:rsid w:val="45C65928"/>
    <w:rsid w:val="45CA6282"/>
    <w:rsid w:val="45E763A0"/>
    <w:rsid w:val="45F83EEA"/>
    <w:rsid w:val="45FD1795"/>
    <w:rsid w:val="46221BE8"/>
    <w:rsid w:val="462E6F30"/>
    <w:rsid w:val="464B42E2"/>
    <w:rsid w:val="46516CA2"/>
    <w:rsid w:val="46560EA5"/>
    <w:rsid w:val="465667F3"/>
    <w:rsid w:val="4661116D"/>
    <w:rsid w:val="46615C75"/>
    <w:rsid w:val="4669719A"/>
    <w:rsid w:val="466F73F9"/>
    <w:rsid w:val="46811F3E"/>
    <w:rsid w:val="469D0194"/>
    <w:rsid w:val="46A249D3"/>
    <w:rsid w:val="46AC4F69"/>
    <w:rsid w:val="46B71412"/>
    <w:rsid w:val="46B81B60"/>
    <w:rsid w:val="46C713E8"/>
    <w:rsid w:val="46C8454D"/>
    <w:rsid w:val="46E45AF9"/>
    <w:rsid w:val="46FC6684"/>
    <w:rsid w:val="470A018B"/>
    <w:rsid w:val="47176298"/>
    <w:rsid w:val="47181962"/>
    <w:rsid w:val="473C00AD"/>
    <w:rsid w:val="47411626"/>
    <w:rsid w:val="474A1F92"/>
    <w:rsid w:val="474E39F5"/>
    <w:rsid w:val="475D02C4"/>
    <w:rsid w:val="476002D2"/>
    <w:rsid w:val="47731615"/>
    <w:rsid w:val="477C24BE"/>
    <w:rsid w:val="47824475"/>
    <w:rsid w:val="478E0AAF"/>
    <w:rsid w:val="4796425D"/>
    <w:rsid w:val="47A52DC3"/>
    <w:rsid w:val="47AA7A75"/>
    <w:rsid w:val="47C118C5"/>
    <w:rsid w:val="47E514AB"/>
    <w:rsid w:val="47E7363D"/>
    <w:rsid w:val="47E744AA"/>
    <w:rsid w:val="480A2AF6"/>
    <w:rsid w:val="48103BBD"/>
    <w:rsid w:val="481161CC"/>
    <w:rsid w:val="482A37B7"/>
    <w:rsid w:val="483D40CA"/>
    <w:rsid w:val="48466A0C"/>
    <w:rsid w:val="484B4D8D"/>
    <w:rsid w:val="485A79CB"/>
    <w:rsid w:val="48830B4B"/>
    <w:rsid w:val="48AE3704"/>
    <w:rsid w:val="48C867A5"/>
    <w:rsid w:val="48FD25AA"/>
    <w:rsid w:val="4902013C"/>
    <w:rsid w:val="49074670"/>
    <w:rsid w:val="49095033"/>
    <w:rsid w:val="49177C78"/>
    <w:rsid w:val="491E7603"/>
    <w:rsid w:val="492A3ABB"/>
    <w:rsid w:val="492D0FDA"/>
    <w:rsid w:val="49316F70"/>
    <w:rsid w:val="495518E8"/>
    <w:rsid w:val="49630D88"/>
    <w:rsid w:val="4968786D"/>
    <w:rsid w:val="497951A0"/>
    <w:rsid w:val="498A7175"/>
    <w:rsid w:val="49906D5D"/>
    <w:rsid w:val="49945FFA"/>
    <w:rsid w:val="49B52386"/>
    <w:rsid w:val="49D66254"/>
    <w:rsid w:val="49DD73A3"/>
    <w:rsid w:val="49E06F2C"/>
    <w:rsid w:val="49E9759C"/>
    <w:rsid w:val="49FE1E46"/>
    <w:rsid w:val="4A05330E"/>
    <w:rsid w:val="4A0F7CE8"/>
    <w:rsid w:val="4A174DEF"/>
    <w:rsid w:val="4A1F118E"/>
    <w:rsid w:val="4A805E65"/>
    <w:rsid w:val="4A851D59"/>
    <w:rsid w:val="4A9E77DA"/>
    <w:rsid w:val="4AA32C82"/>
    <w:rsid w:val="4AA85A47"/>
    <w:rsid w:val="4AAD3591"/>
    <w:rsid w:val="4AC544BB"/>
    <w:rsid w:val="4ACE31B8"/>
    <w:rsid w:val="4AD54C00"/>
    <w:rsid w:val="4AD64009"/>
    <w:rsid w:val="4ADD3208"/>
    <w:rsid w:val="4AE20FB6"/>
    <w:rsid w:val="4AE42F23"/>
    <w:rsid w:val="4AEB6815"/>
    <w:rsid w:val="4B2C4CC9"/>
    <w:rsid w:val="4B2E419E"/>
    <w:rsid w:val="4B301ACF"/>
    <w:rsid w:val="4B46215F"/>
    <w:rsid w:val="4B717309"/>
    <w:rsid w:val="4B75264A"/>
    <w:rsid w:val="4B8616A8"/>
    <w:rsid w:val="4B97407A"/>
    <w:rsid w:val="4B9C34EA"/>
    <w:rsid w:val="4BA8078D"/>
    <w:rsid w:val="4BA93318"/>
    <w:rsid w:val="4BA95F1B"/>
    <w:rsid w:val="4BB7357F"/>
    <w:rsid w:val="4BC4164C"/>
    <w:rsid w:val="4BD00919"/>
    <w:rsid w:val="4BD60BC9"/>
    <w:rsid w:val="4BF63CBE"/>
    <w:rsid w:val="4BF94CF7"/>
    <w:rsid w:val="4C177328"/>
    <w:rsid w:val="4C1A156A"/>
    <w:rsid w:val="4C207F8B"/>
    <w:rsid w:val="4C210260"/>
    <w:rsid w:val="4C297B4D"/>
    <w:rsid w:val="4C513C42"/>
    <w:rsid w:val="4C567637"/>
    <w:rsid w:val="4C68384C"/>
    <w:rsid w:val="4C76404F"/>
    <w:rsid w:val="4C9C1771"/>
    <w:rsid w:val="4CA84C41"/>
    <w:rsid w:val="4CB411BC"/>
    <w:rsid w:val="4CB54313"/>
    <w:rsid w:val="4CB90C09"/>
    <w:rsid w:val="4CBC2952"/>
    <w:rsid w:val="4CBC32F1"/>
    <w:rsid w:val="4CC63BCF"/>
    <w:rsid w:val="4CD4216F"/>
    <w:rsid w:val="4CFA6A2E"/>
    <w:rsid w:val="4D066AEF"/>
    <w:rsid w:val="4D0B57F7"/>
    <w:rsid w:val="4D26727B"/>
    <w:rsid w:val="4D281F1A"/>
    <w:rsid w:val="4D2B22EC"/>
    <w:rsid w:val="4D2D02DE"/>
    <w:rsid w:val="4D3A40DE"/>
    <w:rsid w:val="4D405F2E"/>
    <w:rsid w:val="4D473198"/>
    <w:rsid w:val="4D4D4165"/>
    <w:rsid w:val="4D4D7CB5"/>
    <w:rsid w:val="4D55776A"/>
    <w:rsid w:val="4D5F0F87"/>
    <w:rsid w:val="4D862070"/>
    <w:rsid w:val="4D89273B"/>
    <w:rsid w:val="4D9145CE"/>
    <w:rsid w:val="4DAA7254"/>
    <w:rsid w:val="4DAE5A6A"/>
    <w:rsid w:val="4DBE346C"/>
    <w:rsid w:val="4DCD7C9F"/>
    <w:rsid w:val="4DDA74F9"/>
    <w:rsid w:val="4DDB62DA"/>
    <w:rsid w:val="4DDE38D0"/>
    <w:rsid w:val="4DE20732"/>
    <w:rsid w:val="4DE374C2"/>
    <w:rsid w:val="4E0324FD"/>
    <w:rsid w:val="4E0A25AE"/>
    <w:rsid w:val="4E111A60"/>
    <w:rsid w:val="4E175B19"/>
    <w:rsid w:val="4E255D2C"/>
    <w:rsid w:val="4E3C4E24"/>
    <w:rsid w:val="4E431E74"/>
    <w:rsid w:val="4E4B18F1"/>
    <w:rsid w:val="4E4C388B"/>
    <w:rsid w:val="4E5F40D4"/>
    <w:rsid w:val="4E6429AC"/>
    <w:rsid w:val="4E6A04CC"/>
    <w:rsid w:val="4E6A42A0"/>
    <w:rsid w:val="4E6C5709"/>
    <w:rsid w:val="4E8F0B9D"/>
    <w:rsid w:val="4EA80406"/>
    <w:rsid w:val="4EB04BF8"/>
    <w:rsid w:val="4EBD0DF8"/>
    <w:rsid w:val="4EC60287"/>
    <w:rsid w:val="4ECA3ECB"/>
    <w:rsid w:val="4ED60DD5"/>
    <w:rsid w:val="4EDB73C0"/>
    <w:rsid w:val="4EDD03B5"/>
    <w:rsid w:val="4F1134DF"/>
    <w:rsid w:val="4F155DF7"/>
    <w:rsid w:val="4F280E7A"/>
    <w:rsid w:val="4F2D3DA8"/>
    <w:rsid w:val="4F3A75B6"/>
    <w:rsid w:val="4F5A08DF"/>
    <w:rsid w:val="4F645E04"/>
    <w:rsid w:val="4FA354E5"/>
    <w:rsid w:val="4FB2095F"/>
    <w:rsid w:val="4FB214FE"/>
    <w:rsid w:val="4FBB7979"/>
    <w:rsid w:val="4FC9531E"/>
    <w:rsid w:val="4FC972A7"/>
    <w:rsid w:val="4FE7363D"/>
    <w:rsid w:val="50024740"/>
    <w:rsid w:val="50025BF9"/>
    <w:rsid w:val="500F0FD4"/>
    <w:rsid w:val="501D7BDC"/>
    <w:rsid w:val="502B02F9"/>
    <w:rsid w:val="50316F96"/>
    <w:rsid w:val="50544A78"/>
    <w:rsid w:val="50625B3A"/>
    <w:rsid w:val="50632029"/>
    <w:rsid w:val="5069558E"/>
    <w:rsid w:val="507854D6"/>
    <w:rsid w:val="508C7F06"/>
    <w:rsid w:val="50A67365"/>
    <w:rsid w:val="50AD1835"/>
    <w:rsid w:val="50AF7B2F"/>
    <w:rsid w:val="50B8382A"/>
    <w:rsid w:val="50D11C1B"/>
    <w:rsid w:val="50D61560"/>
    <w:rsid w:val="50DD1D25"/>
    <w:rsid w:val="50E7376D"/>
    <w:rsid w:val="50EA73C4"/>
    <w:rsid w:val="50F86935"/>
    <w:rsid w:val="50F95692"/>
    <w:rsid w:val="51002139"/>
    <w:rsid w:val="51140024"/>
    <w:rsid w:val="51186119"/>
    <w:rsid w:val="511D2C79"/>
    <w:rsid w:val="512C5624"/>
    <w:rsid w:val="51321BB6"/>
    <w:rsid w:val="5137195F"/>
    <w:rsid w:val="51465F14"/>
    <w:rsid w:val="51510631"/>
    <w:rsid w:val="516728DB"/>
    <w:rsid w:val="5169448E"/>
    <w:rsid w:val="51732E0C"/>
    <w:rsid w:val="51774CA3"/>
    <w:rsid w:val="519349D3"/>
    <w:rsid w:val="51A258E6"/>
    <w:rsid w:val="51AF2B05"/>
    <w:rsid w:val="51B22A95"/>
    <w:rsid w:val="51E25646"/>
    <w:rsid w:val="51F14447"/>
    <w:rsid w:val="51F23E8F"/>
    <w:rsid w:val="5201260D"/>
    <w:rsid w:val="52024883"/>
    <w:rsid w:val="5204701C"/>
    <w:rsid w:val="520832BD"/>
    <w:rsid w:val="52335DFB"/>
    <w:rsid w:val="527466B7"/>
    <w:rsid w:val="527851EC"/>
    <w:rsid w:val="52923265"/>
    <w:rsid w:val="52AA11D3"/>
    <w:rsid w:val="52B23CBC"/>
    <w:rsid w:val="52C6305F"/>
    <w:rsid w:val="52C74B5B"/>
    <w:rsid w:val="52CC6014"/>
    <w:rsid w:val="52D13630"/>
    <w:rsid w:val="52D613DA"/>
    <w:rsid w:val="52D74DF5"/>
    <w:rsid w:val="52D95337"/>
    <w:rsid w:val="53021763"/>
    <w:rsid w:val="53281E1B"/>
    <w:rsid w:val="532D7F79"/>
    <w:rsid w:val="53331C8C"/>
    <w:rsid w:val="53392C60"/>
    <w:rsid w:val="533C2330"/>
    <w:rsid w:val="537517FC"/>
    <w:rsid w:val="53824EE5"/>
    <w:rsid w:val="53837051"/>
    <w:rsid w:val="538817FA"/>
    <w:rsid w:val="53A360D8"/>
    <w:rsid w:val="53A956B5"/>
    <w:rsid w:val="53BC2CAC"/>
    <w:rsid w:val="53BD11C4"/>
    <w:rsid w:val="53BE058F"/>
    <w:rsid w:val="53EB1F23"/>
    <w:rsid w:val="53F7629E"/>
    <w:rsid w:val="540135DE"/>
    <w:rsid w:val="54081667"/>
    <w:rsid w:val="540D4C85"/>
    <w:rsid w:val="541A4642"/>
    <w:rsid w:val="541B5E85"/>
    <w:rsid w:val="54212EFC"/>
    <w:rsid w:val="54214C19"/>
    <w:rsid w:val="54225EF4"/>
    <w:rsid w:val="54302D35"/>
    <w:rsid w:val="543214BB"/>
    <w:rsid w:val="545333E8"/>
    <w:rsid w:val="546A6470"/>
    <w:rsid w:val="546B1950"/>
    <w:rsid w:val="546C00AE"/>
    <w:rsid w:val="547A5087"/>
    <w:rsid w:val="547B54A6"/>
    <w:rsid w:val="548855E4"/>
    <w:rsid w:val="54901A26"/>
    <w:rsid w:val="54970E7F"/>
    <w:rsid w:val="549A5D50"/>
    <w:rsid w:val="54AF247D"/>
    <w:rsid w:val="54E3424B"/>
    <w:rsid w:val="54E9606F"/>
    <w:rsid w:val="54EE2EA3"/>
    <w:rsid w:val="54EF499E"/>
    <w:rsid w:val="55212F4E"/>
    <w:rsid w:val="55257EBD"/>
    <w:rsid w:val="552F4050"/>
    <w:rsid w:val="55356C1B"/>
    <w:rsid w:val="55356CA3"/>
    <w:rsid w:val="55416B61"/>
    <w:rsid w:val="554C2501"/>
    <w:rsid w:val="55841D62"/>
    <w:rsid w:val="55855303"/>
    <w:rsid w:val="559F569C"/>
    <w:rsid w:val="55B003E1"/>
    <w:rsid w:val="55C42A6B"/>
    <w:rsid w:val="55D06A26"/>
    <w:rsid w:val="55D1383D"/>
    <w:rsid w:val="55D6582E"/>
    <w:rsid w:val="55EB160A"/>
    <w:rsid w:val="560A3DC5"/>
    <w:rsid w:val="56137538"/>
    <w:rsid w:val="562D06F0"/>
    <w:rsid w:val="56335764"/>
    <w:rsid w:val="5645121E"/>
    <w:rsid w:val="56463D77"/>
    <w:rsid w:val="564927D4"/>
    <w:rsid w:val="56633E3F"/>
    <w:rsid w:val="566B4549"/>
    <w:rsid w:val="566E52C9"/>
    <w:rsid w:val="56791E49"/>
    <w:rsid w:val="56952723"/>
    <w:rsid w:val="56C056E0"/>
    <w:rsid w:val="56C7506B"/>
    <w:rsid w:val="56E9260C"/>
    <w:rsid w:val="56F30B90"/>
    <w:rsid w:val="56F3629C"/>
    <w:rsid w:val="57052952"/>
    <w:rsid w:val="57081D47"/>
    <w:rsid w:val="57283E0B"/>
    <w:rsid w:val="57306337"/>
    <w:rsid w:val="575B27BF"/>
    <w:rsid w:val="5795615F"/>
    <w:rsid w:val="579C6348"/>
    <w:rsid w:val="579C6E80"/>
    <w:rsid w:val="57A97FF6"/>
    <w:rsid w:val="57B05C93"/>
    <w:rsid w:val="57B53FFB"/>
    <w:rsid w:val="57BB55AC"/>
    <w:rsid w:val="57CB2067"/>
    <w:rsid w:val="57D83E10"/>
    <w:rsid w:val="57FD72B8"/>
    <w:rsid w:val="580C04C4"/>
    <w:rsid w:val="58201313"/>
    <w:rsid w:val="5828345F"/>
    <w:rsid w:val="582C109C"/>
    <w:rsid w:val="583019E9"/>
    <w:rsid w:val="583E6191"/>
    <w:rsid w:val="58443F8B"/>
    <w:rsid w:val="584F41FB"/>
    <w:rsid w:val="585B1212"/>
    <w:rsid w:val="586F0C14"/>
    <w:rsid w:val="587F428B"/>
    <w:rsid w:val="58986C22"/>
    <w:rsid w:val="589A53DC"/>
    <w:rsid w:val="589A7317"/>
    <w:rsid w:val="58A645EB"/>
    <w:rsid w:val="58B54896"/>
    <w:rsid w:val="58C425E6"/>
    <w:rsid w:val="58CD52F3"/>
    <w:rsid w:val="58E24461"/>
    <w:rsid w:val="58E6430A"/>
    <w:rsid w:val="5918236E"/>
    <w:rsid w:val="592C090B"/>
    <w:rsid w:val="592F4D5F"/>
    <w:rsid w:val="595C2B88"/>
    <w:rsid w:val="595E6596"/>
    <w:rsid w:val="59782434"/>
    <w:rsid w:val="597B65D4"/>
    <w:rsid w:val="597D5AB7"/>
    <w:rsid w:val="598D4786"/>
    <w:rsid w:val="598D76F3"/>
    <w:rsid w:val="599F0BEF"/>
    <w:rsid w:val="59AC73A5"/>
    <w:rsid w:val="59BB4918"/>
    <w:rsid w:val="59C940C7"/>
    <w:rsid w:val="59C94287"/>
    <w:rsid w:val="59DA6BF7"/>
    <w:rsid w:val="59EA6E92"/>
    <w:rsid w:val="59F34F31"/>
    <w:rsid w:val="59F51697"/>
    <w:rsid w:val="5A044136"/>
    <w:rsid w:val="5A0650E4"/>
    <w:rsid w:val="5A0802B0"/>
    <w:rsid w:val="5A0B2A38"/>
    <w:rsid w:val="5A1B4AF4"/>
    <w:rsid w:val="5A1F6067"/>
    <w:rsid w:val="5A2823FD"/>
    <w:rsid w:val="5A2B50A3"/>
    <w:rsid w:val="5A315C47"/>
    <w:rsid w:val="5A470DA7"/>
    <w:rsid w:val="5A4968FF"/>
    <w:rsid w:val="5A4A7FB1"/>
    <w:rsid w:val="5A4B12D2"/>
    <w:rsid w:val="5A4C63EF"/>
    <w:rsid w:val="5A5B6EB3"/>
    <w:rsid w:val="5A785436"/>
    <w:rsid w:val="5A897C95"/>
    <w:rsid w:val="5AA31F68"/>
    <w:rsid w:val="5ABF4E13"/>
    <w:rsid w:val="5AD751DB"/>
    <w:rsid w:val="5AE1370B"/>
    <w:rsid w:val="5AE44879"/>
    <w:rsid w:val="5B0E18F6"/>
    <w:rsid w:val="5B0F5D9A"/>
    <w:rsid w:val="5B124083"/>
    <w:rsid w:val="5B182775"/>
    <w:rsid w:val="5B3E0218"/>
    <w:rsid w:val="5B637E94"/>
    <w:rsid w:val="5B6C1A0E"/>
    <w:rsid w:val="5B6C540B"/>
    <w:rsid w:val="5B713816"/>
    <w:rsid w:val="5B740F76"/>
    <w:rsid w:val="5B7713D8"/>
    <w:rsid w:val="5B8D1AC1"/>
    <w:rsid w:val="5B9A4EF8"/>
    <w:rsid w:val="5BAD4574"/>
    <w:rsid w:val="5BB03C7E"/>
    <w:rsid w:val="5BBA2FF8"/>
    <w:rsid w:val="5BD052BE"/>
    <w:rsid w:val="5BD60FBC"/>
    <w:rsid w:val="5BD9413E"/>
    <w:rsid w:val="5BE641C0"/>
    <w:rsid w:val="5BE8603E"/>
    <w:rsid w:val="5BE97367"/>
    <w:rsid w:val="5BFA4D72"/>
    <w:rsid w:val="5C075F07"/>
    <w:rsid w:val="5C120482"/>
    <w:rsid w:val="5C1C603C"/>
    <w:rsid w:val="5C205086"/>
    <w:rsid w:val="5C206FF9"/>
    <w:rsid w:val="5C4C36A7"/>
    <w:rsid w:val="5C531996"/>
    <w:rsid w:val="5C5B3413"/>
    <w:rsid w:val="5C5D6916"/>
    <w:rsid w:val="5C7D5632"/>
    <w:rsid w:val="5C8704A4"/>
    <w:rsid w:val="5C8A1684"/>
    <w:rsid w:val="5C8E5E6A"/>
    <w:rsid w:val="5C966095"/>
    <w:rsid w:val="5CA02A22"/>
    <w:rsid w:val="5CDC7BFC"/>
    <w:rsid w:val="5CDF354A"/>
    <w:rsid w:val="5CEA58C1"/>
    <w:rsid w:val="5CFB5EAA"/>
    <w:rsid w:val="5CFF7E4D"/>
    <w:rsid w:val="5D1019B9"/>
    <w:rsid w:val="5D216FDE"/>
    <w:rsid w:val="5D2C5CEA"/>
    <w:rsid w:val="5D514C25"/>
    <w:rsid w:val="5D6A5CF1"/>
    <w:rsid w:val="5D795C02"/>
    <w:rsid w:val="5D9B3533"/>
    <w:rsid w:val="5DB17164"/>
    <w:rsid w:val="5DBB5D65"/>
    <w:rsid w:val="5DBD21F0"/>
    <w:rsid w:val="5DC1648D"/>
    <w:rsid w:val="5DD07337"/>
    <w:rsid w:val="5DD57C8D"/>
    <w:rsid w:val="5DD60701"/>
    <w:rsid w:val="5DDB4B89"/>
    <w:rsid w:val="5DDC260A"/>
    <w:rsid w:val="5DE01F55"/>
    <w:rsid w:val="5DF70D68"/>
    <w:rsid w:val="5E2002BE"/>
    <w:rsid w:val="5E370EEC"/>
    <w:rsid w:val="5E3E6E2C"/>
    <w:rsid w:val="5E67476D"/>
    <w:rsid w:val="5E6B2B26"/>
    <w:rsid w:val="5E71553F"/>
    <w:rsid w:val="5EA507C4"/>
    <w:rsid w:val="5EA762EA"/>
    <w:rsid w:val="5EA964DB"/>
    <w:rsid w:val="5EAA2FDD"/>
    <w:rsid w:val="5EBC6C6A"/>
    <w:rsid w:val="5EDA3F51"/>
    <w:rsid w:val="5EF77271"/>
    <w:rsid w:val="5EFB027D"/>
    <w:rsid w:val="5F0379C8"/>
    <w:rsid w:val="5F1120BF"/>
    <w:rsid w:val="5F181FAD"/>
    <w:rsid w:val="5F230066"/>
    <w:rsid w:val="5F2457B7"/>
    <w:rsid w:val="5F301A83"/>
    <w:rsid w:val="5F384AC5"/>
    <w:rsid w:val="5F462150"/>
    <w:rsid w:val="5F507BE6"/>
    <w:rsid w:val="5F7761D6"/>
    <w:rsid w:val="5F94195C"/>
    <w:rsid w:val="5FC85693"/>
    <w:rsid w:val="5FD638C0"/>
    <w:rsid w:val="5FE134EE"/>
    <w:rsid w:val="5FE32C3E"/>
    <w:rsid w:val="5FF20BEA"/>
    <w:rsid w:val="5FF81680"/>
    <w:rsid w:val="6012002C"/>
    <w:rsid w:val="604265FC"/>
    <w:rsid w:val="604C6F0D"/>
    <w:rsid w:val="60536A6E"/>
    <w:rsid w:val="60546516"/>
    <w:rsid w:val="60565C87"/>
    <w:rsid w:val="605E782B"/>
    <w:rsid w:val="606742D6"/>
    <w:rsid w:val="607B17DC"/>
    <w:rsid w:val="60830F1F"/>
    <w:rsid w:val="60A16616"/>
    <w:rsid w:val="60BE0144"/>
    <w:rsid w:val="60C47266"/>
    <w:rsid w:val="60CF4D3C"/>
    <w:rsid w:val="60DA2AE3"/>
    <w:rsid w:val="60E22D91"/>
    <w:rsid w:val="60EF5D26"/>
    <w:rsid w:val="60F41C77"/>
    <w:rsid w:val="6106763F"/>
    <w:rsid w:val="611D3A4D"/>
    <w:rsid w:val="6172141B"/>
    <w:rsid w:val="6185210C"/>
    <w:rsid w:val="61967E27"/>
    <w:rsid w:val="61B77BE1"/>
    <w:rsid w:val="61D14789"/>
    <w:rsid w:val="61D90EB0"/>
    <w:rsid w:val="61DA7617"/>
    <w:rsid w:val="61DE0EB4"/>
    <w:rsid w:val="61E83AEE"/>
    <w:rsid w:val="61EA5C06"/>
    <w:rsid w:val="61F335EF"/>
    <w:rsid w:val="61FE74DB"/>
    <w:rsid w:val="620057B1"/>
    <w:rsid w:val="620063F9"/>
    <w:rsid w:val="62147C10"/>
    <w:rsid w:val="621A7F9F"/>
    <w:rsid w:val="622909C8"/>
    <w:rsid w:val="6237077A"/>
    <w:rsid w:val="62377985"/>
    <w:rsid w:val="624C6651"/>
    <w:rsid w:val="6256605D"/>
    <w:rsid w:val="62685D90"/>
    <w:rsid w:val="628B008B"/>
    <w:rsid w:val="628F77C1"/>
    <w:rsid w:val="62A35548"/>
    <w:rsid w:val="62C21086"/>
    <w:rsid w:val="62DD677E"/>
    <w:rsid w:val="62E650EC"/>
    <w:rsid w:val="62E70A4E"/>
    <w:rsid w:val="62EC0759"/>
    <w:rsid w:val="62F7753C"/>
    <w:rsid w:val="630B54CD"/>
    <w:rsid w:val="631B6DA6"/>
    <w:rsid w:val="63287D19"/>
    <w:rsid w:val="633D260C"/>
    <w:rsid w:val="634024BF"/>
    <w:rsid w:val="6343305F"/>
    <w:rsid w:val="63471D6C"/>
    <w:rsid w:val="6353091E"/>
    <w:rsid w:val="636F3027"/>
    <w:rsid w:val="6379439E"/>
    <w:rsid w:val="637D2246"/>
    <w:rsid w:val="637D59E7"/>
    <w:rsid w:val="63A3183F"/>
    <w:rsid w:val="63A9438F"/>
    <w:rsid w:val="63D5394F"/>
    <w:rsid w:val="63D835CB"/>
    <w:rsid w:val="63D86F45"/>
    <w:rsid w:val="63E5256A"/>
    <w:rsid w:val="63E57BC3"/>
    <w:rsid w:val="63F3652B"/>
    <w:rsid w:val="63F60D64"/>
    <w:rsid w:val="64002BE9"/>
    <w:rsid w:val="64257D19"/>
    <w:rsid w:val="6449273D"/>
    <w:rsid w:val="644D1889"/>
    <w:rsid w:val="645C1924"/>
    <w:rsid w:val="646A0BCA"/>
    <w:rsid w:val="647B6B4E"/>
    <w:rsid w:val="649346A4"/>
    <w:rsid w:val="64A22A05"/>
    <w:rsid w:val="64A66831"/>
    <w:rsid w:val="64A80C46"/>
    <w:rsid w:val="64A94CC9"/>
    <w:rsid w:val="64AE103A"/>
    <w:rsid w:val="64D73325"/>
    <w:rsid w:val="64F15ED6"/>
    <w:rsid w:val="650818AE"/>
    <w:rsid w:val="65136974"/>
    <w:rsid w:val="65256370"/>
    <w:rsid w:val="65257F68"/>
    <w:rsid w:val="652F32A0"/>
    <w:rsid w:val="65377F11"/>
    <w:rsid w:val="653D642D"/>
    <w:rsid w:val="654C7BEB"/>
    <w:rsid w:val="657C558F"/>
    <w:rsid w:val="657F0712"/>
    <w:rsid w:val="65925606"/>
    <w:rsid w:val="65960498"/>
    <w:rsid w:val="65AE6534"/>
    <w:rsid w:val="65B905E2"/>
    <w:rsid w:val="65C01B73"/>
    <w:rsid w:val="65CF0D57"/>
    <w:rsid w:val="65DC00EE"/>
    <w:rsid w:val="65EA10FD"/>
    <w:rsid w:val="65EC561E"/>
    <w:rsid w:val="65F67148"/>
    <w:rsid w:val="661F791D"/>
    <w:rsid w:val="662551C7"/>
    <w:rsid w:val="662D1B30"/>
    <w:rsid w:val="662E6A60"/>
    <w:rsid w:val="66501CFD"/>
    <w:rsid w:val="66554BDA"/>
    <w:rsid w:val="665761F7"/>
    <w:rsid w:val="665F1585"/>
    <w:rsid w:val="66633B2F"/>
    <w:rsid w:val="66774FF1"/>
    <w:rsid w:val="668D432D"/>
    <w:rsid w:val="669252E2"/>
    <w:rsid w:val="669F0B6A"/>
    <w:rsid w:val="66A562F6"/>
    <w:rsid w:val="66A907A3"/>
    <w:rsid w:val="66B4639E"/>
    <w:rsid w:val="66B50CDB"/>
    <w:rsid w:val="66BC2B4E"/>
    <w:rsid w:val="66C05638"/>
    <w:rsid w:val="66CE6250"/>
    <w:rsid w:val="66D04506"/>
    <w:rsid w:val="66E16432"/>
    <w:rsid w:val="66E90098"/>
    <w:rsid w:val="66F02231"/>
    <w:rsid w:val="671465AA"/>
    <w:rsid w:val="679348FA"/>
    <w:rsid w:val="6796339F"/>
    <w:rsid w:val="67AE7B86"/>
    <w:rsid w:val="67BC5ABE"/>
    <w:rsid w:val="67D12054"/>
    <w:rsid w:val="67D5426E"/>
    <w:rsid w:val="67D63BC9"/>
    <w:rsid w:val="67DE6955"/>
    <w:rsid w:val="67EA7FB0"/>
    <w:rsid w:val="68003DE3"/>
    <w:rsid w:val="68070B84"/>
    <w:rsid w:val="68096DE4"/>
    <w:rsid w:val="6825208B"/>
    <w:rsid w:val="68262975"/>
    <w:rsid w:val="682D4AF8"/>
    <w:rsid w:val="68320F9A"/>
    <w:rsid w:val="68382E89"/>
    <w:rsid w:val="685409C3"/>
    <w:rsid w:val="68627B05"/>
    <w:rsid w:val="68767466"/>
    <w:rsid w:val="68814582"/>
    <w:rsid w:val="68955405"/>
    <w:rsid w:val="68CC428B"/>
    <w:rsid w:val="68CF69B5"/>
    <w:rsid w:val="68D91796"/>
    <w:rsid w:val="68EA6350"/>
    <w:rsid w:val="68EC14C9"/>
    <w:rsid w:val="68F13FB1"/>
    <w:rsid w:val="6905681A"/>
    <w:rsid w:val="69064239"/>
    <w:rsid w:val="69270594"/>
    <w:rsid w:val="69284E65"/>
    <w:rsid w:val="692B4B6C"/>
    <w:rsid w:val="692D5FFA"/>
    <w:rsid w:val="692E469B"/>
    <w:rsid w:val="69406733"/>
    <w:rsid w:val="69553FCE"/>
    <w:rsid w:val="69876ACF"/>
    <w:rsid w:val="6987794B"/>
    <w:rsid w:val="6990454A"/>
    <w:rsid w:val="69911042"/>
    <w:rsid w:val="69927C43"/>
    <w:rsid w:val="69A36E48"/>
    <w:rsid w:val="69BD19A5"/>
    <w:rsid w:val="69CA7D9D"/>
    <w:rsid w:val="69D267EB"/>
    <w:rsid w:val="69FA5E67"/>
    <w:rsid w:val="6A073BEB"/>
    <w:rsid w:val="6A087281"/>
    <w:rsid w:val="6A0F720C"/>
    <w:rsid w:val="6A1A5B79"/>
    <w:rsid w:val="6A1B1B6D"/>
    <w:rsid w:val="6A1B7B8C"/>
    <w:rsid w:val="6A20747A"/>
    <w:rsid w:val="6A3655C4"/>
    <w:rsid w:val="6A372254"/>
    <w:rsid w:val="6A41174A"/>
    <w:rsid w:val="6A541EFF"/>
    <w:rsid w:val="6A6F69BA"/>
    <w:rsid w:val="6A742B39"/>
    <w:rsid w:val="6A781B0A"/>
    <w:rsid w:val="6A7916DC"/>
    <w:rsid w:val="6A7E0847"/>
    <w:rsid w:val="6A804549"/>
    <w:rsid w:val="6AA47B81"/>
    <w:rsid w:val="6AC31C14"/>
    <w:rsid w:val="6AD22940"/>
    <w:rsid w:val="6ADA641F"/>
    <w:rsid w:val="6AF36D38"/>
    <w:rsid w:val="6AFF0A43"/>
    <w:rsid w:val="6B050B51"/>
    <w:rsid w:val="6B19056F"/>
    <w:rsid w:val="6B1B45D5"/>
    <w:rsid w:val="6B1F4E4B"/>
    <w:rsid w:val="6B4A5165"/>
    <w:rsid w:val="6B4D303F"/>
    <w:rsid w:val="6B5D5D70"/>
    <w:rsid w:val="6B6A054F"/>
    <w:rsid w:val="6B6F6C5A"/>
    <w:rsid w:val="6B795E70"/>
    <w:rsid w:val="6B855C05"/>
    <w:rsid w:val="6B984AE5"/>
    <w:rsid w:val="6B9A7157"/>
    <w:rsid w:val="6B9D10B5"/>
    <w:rsid w:val="6B9F6CC6"/>
    <w:rsid w:val="6BAA7962"/>
    <w:rsid w:val="6BC22ABF"/>
    <w:rsid w:val="6BE6265E"/>
    <w:rsid w:val="6BEC358E"/>
    <w:rsid w:val="6BF914CD"/>
    <w:rsid w:val="6C2947E2"/>
    <w:rsid w:val="6C2B7138"/>
    <w:rsid w:val="6C5E44E0"/>
    <w:rsid w:val="6C665490"/>
    <w:rsid w:val="6C72627E"/>
    <w:rsid w:val="6C7A6CDD"/>
    <w:rsid w:val="6C9172AB"/>
    <w:rsid w:val="6C9327AE"/>
    <w:rsid w:val="6C952B9E"/>
    <w:rsid w:val="6CA61377"/>
    <w:rsid w:val="6CAF20DF"/>
    <w:rsid w:val="6CCD403F"/>
    <w:rsid w:val="6CE82DDC"/>
    <w:rsid w:val="6CEC0D56"/>
    <w:rsid w:val="6CF16772"/>
    <w:rsid w:val="6D213317"/>
    <w:rsid w:val="6D362517"/>
    <w:rsid w:val="6D3C22F3"/>
    <w:rsid w:val="6D510F2F"/>
    <w:rsid w:val="6D617984"/>
    <w:rsid w:val="6D6D0BEC"/>
    <w:rsid w:val="6D7638B6"/>
    <w:rsid w:val="6D7F1132"/>
    <w:rsid w:val="6D83593A"/>
    <w:rsid w:val="6D967C55"/>
    <w:rsid w:val="6D9754BE"/>
    <w:rsid w:val="6DAA7BC7"/>
    <w:rsid w:val="6DAE136C"/>
    <w:rsid w:val="6DAF6F69"/>
    <w:rsid w:val="6DB225B5"/>
    <w:rsid w:val="6DB55CAD"/>
    <w:rsid w:val="6DBE59DF"/>
    <w:rsid w:val="6DC01176"/>
    <w:rsid w:val="6DC742B3"/>
    <w:rsid w:val="6DCD0BB8"/>
    <w:rsid w:val="6DD12138"/>
    <w:rsid w:val="6DEA68EA"/>
    <w:rsid w:val="6DEF3809"/>
    <w:rsid w:val="6DFA650F"/>
    <w:rsid w:val="6E035F2B"/>
    <w:rsid w:val="6E1F50EF"/>
    <w:rsid w:val="6E2308B8"/>
    <w:rsid w:val="6E2E7FD1"/>
    <w:rsid w:val="6E310B8E"/>
    <w:rsid w:val="6E39779B"/>
    <w:rsid w:val="6E825323"/>
    <w:rsid w:val="6E91620F"/>
    <w:rsid w:val="6E921E64"/>
    <w:rsid w:val="6E933DEA"/>
    <w:rsid w:val="6EAD214F"/>
    <w:rsid w:val="6EAF7F72"/>
    <w:rsid w:val="6EB2161A"/>
    <w:rsid w:val="6EB724B4"/>
    <w:rsid w:val="6ECF78C3"/>
    <w:rsid w:val="6ED13AB0"/>
    <w:rsid w:val="6ED755E8"/>
    <w:rsid w:val="6EDC5B3C"/>
    <w:rsid w:val="6EE10E81"/>
    <w:rsid w:val="6EE352C5"/>
    <w:rsid w:val="6EEC5DE9"/>
    <w:rsid w:val="6EEF22C9"/>
    <w:rsid w:val="6F102ACF"/>
    <w:rsid w:val="6F1251DF"/>
    <w:rsid w:val="6F143787"/>
    <w:rsid w:val="6F452128"/>
    <w:rsid w:val="6F4657CC"/>
    <w:rsid w:val="6F516F93"/>
    <w:rsid w:val="6F5A1CBD"/>
    <w:rsid w:val="6F5C7750"/>
    <w:rsid w:val="6F6618A9"/>
    <w:rsid w:val="6F733C45"/>
    <w:rsid w:val="6F7F1EFD"/>
    <w:rsid w:val="6FA5055C"/>
    <w:rsid w:val="6FA67EF8"/>
    <w:rsid w:val="6FA849C3"/>
    <w:rsid w:val="6FCF2F80"/>
    <w:rsid w:val="6FEB57F8"/>
    <w:rsid w:val="6FF70870"/>
    <w:rsid w:val="6FFA6A1B"/>
    <w:rsid w:val="7001594E"/>
    <w:rsid w:val="700571FA"/>
    <w:rsid w:val="70161521"/>
    <w:rsid w:val="702C0276"/>
    <w:rsid w:val="704A673A"/>
    <w:rsid w:val="704E0CBB"/>
    <w:rsid w:val="70513220"/>
    <w:rsid w:val="705F0F55"/>
    <w:rsid w:val="706865F7"/>
    <w:rsid w:val="707272B2"/>
    <w:rsid w:val="708E471C"/>
    <w:rsid w:val="70986E39"/>
    <w:rsid w:val="70AE2627"/>
    <w:rsid w:val="70B04B4C"/>
    <w:rsid w:val="70CA6B51"/>
    <w:rsid w:val="70CE50A2"/>
    <w:rsid w:val="70DF533C"/>
    <w:rsid w:val="70E701CA"/>
    <w:rsid w:val="70EB74D5"/>
    <w:rsid w:val="70F25F14"/>
    <w:rsid w:val="70FA354A"/>
    <w:rsid w:val="71056CF8"/>
    <w:rsid w:val="710849C6"/>
    <w:rsid w:val="711E46AE"/>
    <w:rsid w:val="71267175"/>
    <w:rsid w:val="712E63BF"/>
    <w:rsid w:val="7141353A"/>
    <w:rsid w:val="71472CEF"/>
    <w:rsid w:val="714C4B55"/>
    <w:rsid w:val="715B3E31"/>
    <w:rsid w:val="716A7BC1"/>
    <w:rsid w:val="717D3F41"/>
    <w:rsid w:val="717D5E55"/>
    <w:rsid w:val="718C2EED"/>
    <w:rsid w:val="718C6D66"/>
    <w:rsid w:val="718F158B"/>
    <w:rsid w:val="719921EC"/>
    <w:rsid w:val="71AA17BB"/>
    <w:rsid w:val="71B62F85"/>
    <w:rsid w:val="71C805F9"/>
    <w:rsid w:val="71CA1D49"/>
    <w:rsid w:val="71D6237A"/>
    <w:rsid w:val="71E13C65"/>
    <w:rsid w:val="71E82E10"/>
    <w:rsid w:val="71EE53D6"/>
    <w:rsid w:val="71F95905"/>
    <w:rsid w:val="721455EC"/>
    <w:rsid w:val="721553B9"/>
    <w:rsid w:val="72161365"/>
    <w:rsid w:val="7220705F"/>
    <w:rsid w:val="722171BF"/>
    <w:rsid w:val="722A2BBD"/>
    <w:rsid w:val="7236678B"/>
    <w:rsid w:val="723E3632"/>
    <w:rsid w:val="723F22BC"/>
    <w:rsid w:val="72561A63"/>
    <w:rsid w:val="72725752"/>
    <w:rsid w:val="72743489"/>
    <w:rsid w:val="728E0759"/>
    <w:rsid w:val="72924BDC"/>
    <w:rsid w:val="72A2006A"/>
    <w:rsid w:val="72A439A3"/>
    <w:rsid w:val="72AF260B"/>
    <w:rsid w:val="72BF37AA"/>
    <w:rsid w:val="72C56A2C"/>
    <w:rsid w:val="72D05AEC"/>
    <w:rsid w:val="72E148A9"/>
    <w:rsid w:val="72E53DB9"/>
    <w:rsid w:val="72EC0317"/>
    <w:rsid w:val="72F82053"/>
    <w:rsid w:val="73214147"/>
    <w:rsid w:val="732379EB"/>
    <w:rsid w:val="733E031E"/>
    <w:rsid w:val="734939BC"/>
    <w:rsid w:val="73797DFD"/>
    <w:rsid w:val="737A1DC7"/>
    <w:rsid w:val="737D110D"/>
    <w:rsid w:val="737E5413"/>
    <w:rsid w:val="7382587A"/>
    <w:rsid w:val="738354BB"/>
    <w:rsid w:val="738D738C"/>
    <w:rsid w:val="739C7B64"/>
    <w:rsid w:val="73AF6C96"/>
    <w:rsid w:val="73B13FFA"/>
    <w:rsid w:val="73D74237"/>
    <w:rsid w:val="73E17BD6"/>
    <w:rsid w:val="74090F16"/>
    <w:rsid w:val="7426442E"/>
    <w:rsid w:val="74277BCC"/>
    <w:rsid w:val="742E7D48"/>
    <w:rsid w:val="74393A30"/>
    <w:rsid w:val="743D55D8"/>
    <w:rsid w:val="7442412D"/>
    <w:rsid w:val="744D6689"/>
    <w:rsid w:val="74524843"/>
    <w:rsid w:val="74736F42"/>
    <w:rsid w:val="74741941"/>
    <w:rsid w:val="74915EC3"/>
    <w:rsid w:val="74962461"/>
    <w:rsid w:val="74AE17FA"/>
    <w:rsid w:val="74B77B69"/>
    <w:rsid w:val="74D05231"/>
    <w:rsid w:val="74D6695A"/>
    <w:rsid w:val="74DC17C9"/>
    <w:rsid w:val="74E76FE8"/>
    <w:rsid w:val="75080E44"/>
    <w:rsid w:val="750E4C99"/>
    <w:rsid w:val="750F0928"/>
    <w:rsid w:val="7510189E"/>
    <w:rsid w:val="751B7116"/>
    <w:rsid w:val="752062B5"/>
    <w:rsid w:val="752F3B99"/>
    <w:rsid w:val="75422471"/>
    <w:rsid w:val="754664F5"/>
    <w:rsid w:val="756C7CFF"/>
    <w:rsid w:val="756D573F"/>
    <w:rsid w:val="75724EBC"/>
    <w:rsid w:val="75752618"/>
    <w:rsid w:val="757B5D3C"/>
    <w:rsid w:val="75845FDA"/>
    <w:rsid w:val="758A3E54"/>
    <w:rsid w:val="758D193E"/>
    <w:rsid w:val="759130F1"/>
    <w:rsid w:val="75960453"/>
    <w:rsid w:val="75A23B0C"/>
    <w:rsid w:val="75A317DE"/>
    <w:rsid w:val="75CA33F4"/>
    <w:rsid w:val="75CA5AE5"/>
    <w:rsid w:val="75CC71DF"/>
    <w:rsid w:val="75DD4FC7"/>
    <w:rsid w:val="75F407B2"/>
    <w:rsid w:val="75F92BF7"/>
    <w:rsid w:val="76041BDF"/>
    <w:rsid w:val="76052043"/>
    <w:rsid w:val="760F2C9B"/>
    <w:rsid w:val="76121C14"/>
    <w:rsid w:val="76241FBB"/>
    <w:rsid w:val="762541FD"/>
    <w:rsid w:val="76255E4E"/>
    <w:rsid w:val="76417211"/>
    <w:rsid w:val="764F2508"/>
    <w:rsid w:val="76674E27"/>
    <w:rsid w:val="76745FAD"/>
    <w:rsid w:val="768014A2"/>
    <w:rsid w:val="76827F08"/>
    <w:rsid w:val="768458FA"/>
    <w:rsid w:val="768F65BF"/>
    <w:rsid w:val="769211D6"/>
    <w:rsid w:val="76B22FB6"/>
    <w:rsid w:val="76BF5074"/>
    <w:rsid w:val="76C738D8"/>
    <w:rsid w:val="76D77B85"/>
    <w:rsid w:val="76E965C3"/>
    <w:rsid w:val="76FA22C3"/>
    <w:rsid w:val="770678CD"/>
    <w:rsid w:val="772F05CC"/>
    <w:rsid w:val="772F73F8"/>
    <w:rsid w:val="773F0DFC"/>
    <w:rsid w:val="77463370"/>
    <w:rsid w:val="776808B4"/>
    <w:rsid w:val="77701517"/>
    <w:rsid w:val="778C4E6A"/>
    <w:rsid w:val="77A127FF"/>
    <w:rsid w:val="77AB5A7A"/>
    <w:rsid w:val="77BA4E88"/>
    <w:rsid w:val="77CA3C95"/>
    <w:rsid w:val="77CA50CB"/>
    <w:rsid w:val="77CE55D7"/>
    <w:rsid w:val="77D73A6B"/>
    <w:rsid w:val="77E30FE1"/>
    <w:rsid w:val="77EF6F31"/>
    <w:rsid w:val="78014ED8"/>
    <w:rsid w:val="78084936"/>
    <w:rsid w:val="78101A2B"/>
    <w:rsid w:val="781812BC"/>
    <w:rsid w:val="782D5447"/>
    <w:rsid w:val="784A3300"/>
    <w:rsid w:val="78654A86"/>
    <w:rsid w:val="786A0221"/>
    <w:rsid w:val="789970A0"/>
    <w:rsid w:val="78A01590"/>
    <w:rsid w:val="78A31478"/>
    <w:rsid w:val="78A957F7"/>
    <w:rsid w:val="78AB4608"/>
    <w:rsid w:val="78AF0554"/>
    <w:rsid w:val="78BC253A"/>
    <w:rsid w:val="78D21D5D"/>
    <w:rsid w:val="78D32916"/>
    <w:rsid w:val="78D80D98"/>
    <w:rsid w:val="78EF0EA3"/>
    <w:rsid w:val="78FF0DA4"/>
    <w:rsid w:val="79091C23"/>
    <w:rsid w:val="790C33A8"/>
    <w:rsid w:val="79191A54"/>
    <w:rsid w:val="791C6F06"/>
    <w:rsid w:val="791F0D44"/>
    <w:rsid w:val="79281469"/>
    <w:rsid w:val="793358AB"/>
    <w:rsid w:val="793876EF"/>
    <w:rsid w:val="79467199"/>
    <w:rsid w:val="794C7553"/>
    <w:rsid w:val="79511FE0"/>
    <w:rsid w:val="796E5F2A"/>
    <w:rsid w:val="7984417B"/>
    <w:rsid w:val="79932253"/>
    <w:rsid w:val="79B27A67"/>
    <w:rsid w:val="79C132A3"/>
    <w:rsid w:val="79C32891"/>
    <w:rsid w:val="79C70C86"/>
    <w:rsid w:val="79CE3466"/>
    <w:rsid w:val="79DA4CFA"/>
    <w:rsid w:val="79DB0614"/>
    <w:rsid w:val="79E6345B"/>
    <w:rsid w:val="79F3005C"/>
    <w:rsid w:val="79F6061B"/>
    <w:rsid w:val="79F76FDF"/>
    <w:rsid w:val="79FD4CA8"/>
    <w:rsid w:val="7A215F42"/>
    <w:rsid w:val="7A2A24FB"/>
    <w:rsid w:val="7A545CC3"/>
    <w:rsid w:val="7A5A50FB"/>
    <w:rsid w:val="7A644DAD"/>
    <w:rsid w:val="7A703502"/>
    <w:rsid w:val="7A721D49"/>
    <w:rsid w:val="7A801B3B"/>
    <w:rsid w:val="7A8713E5"/>
    <w:rsid w:val="7A886B78"/>
    <w:rsid w:val="7AA414E1"/>
    <w:rsid w:val="7AA5772A"/>
    <w:rsid w:val="7ABA1851"/>
    <w:rsid w:val="7AC31AC5"/>
    <w:rsid w:val="7AC32A88"/>
    <w:rsid w:val="7AC8166A"/>
    <w:rsid w:val="7ACE1446"/>
    <w:rsid w:val="7ACE190C"/>
    <w:rsid w:val="7AD16771"/>
    <w:rsid w:val="7AD23D1F"/>
    <w:rsid w:val="7AD30A69"/>
    <w:rsid w:val="7AD700E0"/>
    <w:rsid w:val="7AF024E9"/>
    <w:rsid w:val="7AF127C7"/>
    <w:rsid w:val="7B084B17"/>
    <w:rsid w:val="7B117EAA"/>
    <w:rsid w:val="7B1D7999"/>
    <w:rsid w:val="7B232217"/>
    <w:rsid w:val="7B283B3B"/>
    <w:rsid w:val="7B302040"/>
    <w:rsid w:val="7B396E35"/>
    <w:rsid w:val="7B60188E"/>
    <w:rsid w:val="7B603CB6"/>
    <w:rsid w:val="7B615DFB"/>
    <w:rsid w:val="7B837315"/>
    <w:rsid w:val="7B8E00CE"/>
    <w:rsid w:val="7B9C7CAD"/>
    <w:rsid w:val="7B9D6653"/>
    <w:rsid w:val="7B9F52CE"/>
    <w:rsid w:val="7BA274B4"/>
    <w:rsid w:val="7BCB1062"/>
    <w:rsid w:val="7BCE5874"/>
    <w:rsid w:val="7BE40DE4"/>
    <w:rsid w:val="7BEB414B"/>
    <w:rsid w:val="7C005F63"/>
    <w:rsid w:val="7C044924"/>
    <w:rsid w:val="7C06069C"/>
    <w:rsid w:val="7C070FB9"/>
    <w:rsid w:val="7C0C2E1D"/>
    <w:rsid w:val="7C2533B1"/>
    <w:rsid w:val="7C3D6B62"/>
    <w:rsid w:val="7C4B60AF"/>
    <w:rsid w:val="7C4D1CE0"/>
    <w:rsid w:val="7C577FE4"/>
    <w:rsid w:val="7C5F4430"/>
    <w:rsid w:val="7C75463E"/>
    <w:rsid w:val="7C773348"/>
    <w:rsid w:val="7C7F193B"/>
    <w:rsid w:val="7C8B669C"/>
    <w:rsid w:val="7C9064ED"/>
    <w:rsid w:val="7CA64E0D"/>
    <w:rsid w:val="7CB477C5"/>
    <w:rsid w:val="7CF20C20"/>
    <w:rsid w:val="7CFB51D0"/>
    <w:rsid w:val="7CFE329D"/>
    <w:rsid w:val="7D042C28"/>
    <w:rsid w:val="7D2F2CC6"/>
    <w:rsid w:val="7D3649DD"/>
    <w:rsid w:val="7D380D29"/>
    <w:rsid w:val="7D3D7734"/>
    <w:rsid w:val="7D566D23"/>
    <w:rsid w:val="7D6E7A51"/>
    <w:rsid w:val="7D784234"/>
    <w:rsid w:val="7D963F0A"/>
    <w:rsid w:val="7DA12F3E"/>
    <w:rsid w:val="7DC0663F"/>
    <w:rsid w:val="7DD65919"/>
    <w:rsid w:val="7DD722F0"/>
    <w:rsid w:val="7DDC1500"/>
    <w:rsid w:val="7DE85642"/>
    <w:rsid w:val="7DF10ED8"/>
    <w:rsid w:val="7DF9185F"/>
    <w:rsid w:val="7E18445A"/>
    <w:rsid w:val="7E1C30BF"/>
    <w:rsid w:val="7E260A84"/>
    <w:rsid w:val="7E272E76"/>
    <w:rsid w:val="7E396311"/>
    <w:rsid w:val="7E3F7376"/>
    <w:rsid w:val="7E403F70"/>
    <w:rsid w:val="7E475032"/>
    <w:rsid w:val="7E48012E"/>
    <w:rsid w:val="7E4A1C1F"/>
    <w:rsid w:val="7E4B0E2C"/>
    <w:rsid w:val="7E51388F"/>
    <w:rsid w:val="7E5B6332"/>
    <w:rsid w:val="7E5D6CD8"/>
    <w:rsid w:val="7E615A24"/>
    <w:rsid w:val="7E9644B2"/>
    <w:rsid w:val="7EA06B86"/>
    <w:rsid w:val="7EA31E30"/>
    <w:rsid w:val="7EA72608"/>
    <w:rsid w:val="7EA8068A"/>
    <w:rsid w:val="7EBA1AB7"/>
    <w:rsid w:val="7EC85F8F"/>
    <w:rsid w:val="7EE816E4"/>
    <w:rsid w:val="7EEB5AB6"/>
    <w:rsid w:val="7EF1604F"/>
    <w:rsid w:val="7F0B0A5C"/>
    <w:rsid w:val="7F1135E0"/>
    <w:rsid w:val="7F155E8B"/>
    <w:rsid w:val="7F2056AF"/>
    <w:rsid w:val="7F2D7CEE"/>
    <w:rsid w:val="7F32323D"/>
    <w:rsid w:val="7F381C68"/>
    <w:rsid w:val="7F5E5BB9"/>
    <w:rsid w:val="7F5F2461"/>
    <w:rsid w:val="7F82628B"/>
    <w:rsid w:val="7FAD4448"/>
    <w:rsid w:val="7FAFD5A8"/>
    <w:rsid w:val="7FBA5628"/>
    <w:rsid w:val="7FBA5A25"/>
    <w:rsid w:val="7FD3199B"/>
    <w:rsid w:val="7FD62884"/>
    <w:rsid w:val="7FD63D4B"/>
    <w:rsid w:val="7FDD4CBC"/>
    <w:rsid w:val="7FE1147B"/>
    <w:rsid w:val="7FE11D52"/>
    <w:rsid w:val="7FE66564"/>
    <w:rsid w:val="7FE71A67"/>
    <w:rsid w:val="7FF2085F"/>
    <w:rsid w:val="7FF3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47"/>
    <w:qFormat/>
    <w:uiPriority w:val="0"/>
    <w:pPr>
      <w:keepNext/>
      <w:keepLines/>
      <w:jc w:val="center"/>
      <w:outlineLvl w:val="0"/>
    </w:pPr>
    <w:rPr>
      <w:rFonts w:ascii="Times New Roman" w:hAnsi="Times New Roman" w:eastAsia="黑体"/>
      <w:kern w:val="44"/>
      <w:sz w:val="30"/>
    </w:rPr>
  </w:style>
  <w:style w:type="paragraph" w:styleId="5">
    <w:name w:val="heading 2"/>
    <w:basedOn w:val="1"/>
    <w:next w:val="1"/>
    <w:semiHidden/>
    <w:unhideWhenUsed/>
    <w:qFormat/>
    <w:uiPriority w:val="0"/>
    <w:pPr>
      <w:keepNext/>
      <w:keepLines/>
      <w:adjustRightInd w:val="0"/>
      <w:snapToGrid w:val="0"/>
      <w:spacing w:before="10" w:line="360" w:lineRule="auto"/>
      <w:outlineLvl w:val="1"/>
    </w:pPr>
    <w:rPr>
      <w:rFonts w:ascii="Arial" w:hAnsi="Arial"/>
      <w:b/>
      <w:sz w:val="28"/>
    </w:rPr>
  </w:style>
  <w:style w:type="paragraph" w:styleId="6">
    <w:name w:val="heading 3"/>
    <w:basedOn w:val="1"/>
    <w:next w:val="7"/>
    <w:qFormat/>
    <w:uiPriority w:val="0"/>
    <w:pPr>
      <w:keepNext/>
      <w:keepLines/>
      <w:spacing w:line="360" w:lineRule="auto"/>
      <w:ind w:firstLine="574" w:firstLineChars="200"/>
      <w:outlineLvl w:val="2"/>
    </w:pPr>
    <w:rPr>
      <w:rFonts w:eastAsia="黑体"/>
    </w:rPr>
  </w:style>
  <w:style w:type="paragraph" w:styleId="8">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9">
    <w:name w:val="heading 5"/>
    <w:basedOn w:val="1"/>
    <w:next w:val="1"/>
    <w:qFormat/>
    <w:uiPriority w:val="0"/>
    <w:pPr>
      <w:keepNext/>
      <w:keepLines/>
      <w:spacing w:before="280" w:after="290" w:line="376" w:lineRule="auto"/>
      <w:outlineLvl w:val="4"/>
    </w:pPr>
    <w:rPr>
      <w:b/>
      <w:bCs/>
      <w:sz w:val="28"/>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First Indent 2"/>
    <w:basedOn w:val="3"/>
    <w:next w:val="1"/>
    <w:qFormat/>
    <w:uiPriority w:val="0"/>
    <w:pPr>
      <w:spacing w:after="120"/>
      <w:ind w:left="420" w:firstLine="210"/>
    </w:pPr>
  </w:style>
  <w:style w:type="paragraph" w:styleId="3">
    <w:name w:val="Body Text Indent"/>
    <w:basedOn w:val="1"/>
    <w:next w:val="2"/>
    <w:qFormat/>
    <w:uiPriority w:val="0"/>
    <w:pPr>
      <w:spacing w:line="360" w:lineRule="auto"/>
      <w:ind w:firstLine="560" w:firstLineChars="200"/>
      <w:jc w:val="left"/>
    </w:pPr>
    <w:rPr>
      <w:rFonts w:eastAsia="楷体_GB2312"/>
      <w:sz w:val="28"/>
      <w:szCs w:val="24"/>
    </w:rPr>
  </w:style>
  <w:style w:type="paragraph" w:customStyle="1" w:styleId="7">
    <w:name w:val="环评正文"/>
    <w:basedOn w:val="1"/>
    <w:next w:val="1"/>
    <w:qFormat/>
    <w:uiPriority w:val="0"/>
    <w:pPr>
      <w:spacing w:line="360" w:lineRule="auto"/>
      <w:ind w:firstLine="480" w:firstLineChars="200"/>
    </w:pPr>
    <w:rPr>
      <w:rFonts w:ascii="仿宋_GB2312" w:hAnsi="仿宋_GB2312" w:eastAsia="仿宋_GB2312"/>
      <w:sz w:val="24"/>
      <w:szCs w:val="20"/>
    </w:rPr>
  </w:style>
  <w:style w:type="paragraph" w:styleId="10">
    <w:name w:val="E-mail Signature"/>
    <w:basedOn w:val="1"/>
    <w:next w:val="11"/>
    <w:unhideWhenUsed/>
    <w:qFormat/>
    <w:uiPriority w:val="99"/>
    <w:pPr>
      <w:spacing w:line="460" w:lineRule="exact"/>
      <w:ind w:firstLine="200"/>
    </w:pPr>
    <w:rPr>
      <w:rFonts w:ascii="Times New Roman" w:hAnsi="Times New Roman" w:cs="Times New Roman"/>
    </w:rPr>
  </w:style>
  <w:style w:type="paragraph" w:customStyle="1" w:styleId="11">
    <w:name w:val="文章"/>
    <w:basedOn w:val="3"/>
    <w:next w:val="12"/>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2">
    <w:name w:val="List"/>
    <w:basedOn w:val="1"/>
    <w:qFormat/>
    <w:uiPriority w:val="0"/>
    <w:pPr>
      <w:ind w:left="200" w:hanging="200" w:hangingChars="200"/>
    </w:pPr>
  </w:style>
  <w:style w:type="paragraph" w:styleId="13">
    <w:name w:val="Normal Indent"/>
    <w:basedOn w:val="1"/>
    <w:next w:val="14"/>
    <w:qFormat/>
    <w:uiPriority w:val="0"/>
    <w:pPr>
      <w:ind w:firstLine="420" w:firstLineChars="200"/>
    </w:pPr>
  </w:style>
  <w:style w:type="paragraph" w:customStyle="1" w:styleId="14">
    <w:name w:val="表头"/>
    <w:basedOn w:val="12"/>
    <w:next w:val="1"/>
    <w:link w:val="45"/>
    <w:qFormat/>
    <w:uiPriority w:val="0"/>
    <w:pPr>
      <w:snapToGrid w:val="0"/>
      <w:spacing w:before="60" w:beforeLines="25"/>
    </w:pPr>
    <w:rPr>
      <w:rFonts w:hAnsi="宋体" w:eastAsia="仿宋_GB2312"/>
      <w:b/>
      <w:sz w:val="28"/>
      <w:szCs w:val="28"/>
    </w:rPr>
  </w:style>
  <w:style w:type="paragraph" w:styleId="15">
    <w:name w:val="caption"/>
    <w:basedOn w:val="1"/>
    <w:next w:val="1"/>
    <w:qFormat/>
    <w:uiPriority w:val="0"/>
    <w:pPr>
      <w:jc w:val="center"/>
    </w:pPr>
    <w:rPr>
      <w:rFonts w:eastAsia="黑体"/>
      <w:szCs w:val="21"/>
    </w:rPr>
  </w:style>
  <w:style w:type="paragraph" w:styleId="16">
    <w:name w:val="annotation text"/>
    <w:basedOn w:val="1"/>
    <w:link w:val="94"/>
    <w:qFormat/>
    <w:uiPriority w:val="99"/>
    <w:pPr>
      <w:jc w:val="left"/>
    </w:pPr>
  </w:style>
  <w:style w:type="paragraph" w:styleId="17">
    <w:name w:val="Body Text"/>
    <w:basedOn w:val="1"/>
    <w:next w:val="1"/>
    <w:qFormat/>
    <w:uiPriority w:val="0"/>
    <w:rPr>
      <w:rFonts w:eastAsia="楷体_GB2312"/>
      <w:b/>
      <w:bCs/>
      <w:sz w:val="32"/>
      <w:szCs w:val="24"/>
    </w:rPr>
  </w:style>
  <w:style w:type="paragraph" w:styleId="18">
    <w:name w:val="List Bullet 2"/>
    <w:basedOn w:val="1"/>
    <w:next w:val="19"/>
    <w:qFormat/>
    <w:uiPriority w:val="0"/>
    <w:pPr>
      <w:numPr>
        <w:ilvl w:val="0"/>
        <w:numId w:val="1"/>
      </w:numPr>
    </w:pPr>
  </w:style>
  <w:style w:type="paragraph" w:customStyle="1" w:styleId="19">
    <w:name w:val="xl70"/>
    <w:basedOn w:val="1"/>
    <w:next w:val="20"/>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pPr>
    <w:rPr>
      <w:rFonts w:ascii="宋体" w:hAnsi="宋体" w:cs="宋体"/>
      <w:snapToGrid/>
      <w:sz w:val="20"/>
      <w:szCs w:val="20"/>
    </w:rPr>
  </w:style>
  <w:style w:type="paragraph" w:customStyle="1" w:styleId="20">
    <w:name w:val="正文缩进1"/>
    <w:basedOn w:val="1"/>
    <w:next w:val="21"/>
    <w:qFormat/>
    <w:uiPriority w:val="0"/>
    <w:pPr>
      <w:adjustRightInd/>
      <w:snapToGrid/>
      <w:spacing w:before="156" w:beforeLines="50" w:after="156" w:afterLines="50"/>
      <w:ind w:firstLine="1048" w:firstLineChars="435"/>
      <w:jc w:val="center"/>
    </w:pPr>
    <w:rPr>
      <w:rFonts w:ascii="宋体" w:hAnsi="宋体"/>
      <w:b/>
      <w:bCs/>
      <w:color w:val="000000"/>
      <w:kern w:val="24"/>
      <w:sz w:val="24"/>
    </w:rPr>
  </w:style>
  <w:style w:type="paragraph" w:customStyle="1" w:styleId="21">
    <w:name w:val="td1"/>
    <w:basedOn w:val="1"/>
    <w:next w:val="1"/>
    <w:qFormat/>
    <w:uiPriority w:val="0"/>
    <w:pPr>
      <w:widowControl/>
      <w:spacing w:before="280" w:after="280" w:line="300" w:lineRule="atLeast"/>
      <w:ind w:firstLine="200"/>
    </w:pPr>
    <w:rPr>
      <w:color w:val="000000"/>
      <w:sz w:val="18"/>
    </w:rPr>
  </w:style>
  <w:style w:type="paragraph" w:styleId="22">
    <w:name w:val="Plain Text"/>
    <w:basedOn w:val="1"/>
    <w:next w:val="23"/>
    <w:link w:val="109"/>
    <w:qFormat/>
    <w:uiPriority w:val="0"/>
    <w:rPr>
      <w:rFonts w:ascii="宋体" w:hAnsi="Courier New"/>
    </w:rPr>
  </w:style>
  <w:style w:type="paragraph" w:styleId="23">
    <w:name w:val="toc 1"/>
    <w:basedOn w:val="1"/>
    <w:next w:val="1"/>
    <w:qFormat/>
    <w:uiPriority w:val="0"/>
  </w:style>
  <w:style w:type="paragraph" w:styleId="24">
    <w:name w:val="List Bullet 5"/>
    <w:basedOn w:val="1"/>
    <w:qFormat/>
    <w:uiPriority w:val="0"/>
    <w:pPr>
      <w:numPr>
        <w:ilvl w:val="0"/>
        <w:numId w:val="2"/>
      </w:numPr>
    </w:pPr>
  </w:style>
  <w:style w:type="paragraph" w:styleId="25">
    <w:name w:val="Date"/>
    <w:basedOn w:val="1"/>
    <w:next w:val="1"/>
    <w:qFormat/>
    <w:uiPriority w:val="0"/>
    <w:rPr>
      <w:szCs w:val="21"/>
    </w:rPr>
  </w:style>
  <w:style w:type="paragraph" w:styleId="26">
    <w:name w:val="Body Text Indent 2"/>
    <w:basedOn w:val="1"/>
    <w:qFormat/>
    <w:uiPriority w:val="0"/>
    <w:pPr>
      <w:spacing w:after="120" w:afterLines="0" w:line="480" w:lineRule="auto"/>
      <w:ind w:left="420" w:leftChars="200"/>
    </w:pPr>
  </w:style>
  <w:style w:type="paragraph" w:styleId="27">
    <w:name w:val="Balloon Text"/>
    <w:basedOn w:val="1"/>
    <w:link w:val="93"/>
    <w:qFormat/>
    <w:uiPriority w:val="0"/>
    <w:rPr>
      <w:sz w:val="18"/>
      <w:szCs w:val="18"/>
    </w:rPr>
  </w:style>
  <w:style w:type="paragraph" w:styleId="28">
    <w:name w:val="footer"/>
    <w:basedOn w:val="1"/>
    <w:next w:val="1"/>
    <w:qFormat/>
    <w:uiPriority w:val="99"/>
    <w:pPr>
      <w:tabs>
        <w:tab w:val="center" w:pos="4153"/>
        <w:tab w:val="right" w:pos="8306"/>
      </w:tabs>
      <w:snapToGrid w:val="0"/>
      <w:jc w:val="left"/>
    </w:pPr>
    <w:rPr>
      <w:sz w:val="18"/>
      <w:szCs w:val="18"/>
    </w:rPr>
  </w:style>
  <w:style w:type="paragraph" w:styleId="2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0">
    <w:name w:val="Body Text Indent 3"/>
    <w:basedOn w:val="1"/>
    <w:qFormat/>
    <w:uiPriority w:val="0"/>
    <w:pPr>
      <w:spacing w:line="360" w:lineRule="auto"/>
      <w:ind w:left="-91" w:firstLine="582" w:firstLineChars="208"/>
    </w:pPr>
    <w:rPr>
      <w:rFonts w:eastAsia="楷体_GB2312"/>
      <w:sz w:val="28"/>
      <w:szCs w:val="24"/>
    </w:rPr>
  </w:style>
  <w:style w:type="paragraph" w:styleId="31">
    <w:name w:val="table of figures"/>
    <w:basedOn w:val="1"/>
    <w:next w:val="1"/>
    <w:qFormat/>
    <w:uiPriority w:val="0"/>
    <w:pPr>
      <w:ind w:left="200" w:leftChars="200" w:hanging="200" w:hangingChars="200"/>
    </w:pPr>
  </w:style>
  <w:style w:type="paragraph" w:styleId="32">
    <w:name w:val="toc 2"/>
    <w:basedOn w:val="1"/>
    <w:next w:val="10"/>
    <w:qFormat/>
    <w:uiPriority w:val="0"/>
    <w:pPr>
      <w:ind w:left="420" w:leftChars="200"/>
    </w:pPr>
  </w:style>
  <w:style w:type="paragraph" w:styleId="33">
    <w:name w:val="Body Text 2"/>
    <w:basedOn w:val="1"/>
    <w:qFormat/>
    <w:uiPriority w:val="0"/>
    <w:pPr>
      <w:jc w:val="left"/>
    </w:pPr>
    <w:rPr>
      <w:rFonts w:eastAsia="楷体_GB2312"/>
      <w:sz w:val="28"/>
      <w:szCs w:val="24"/>
    </w:rPr>
  </w:style>
  <w:style w:type="paragraph" w:styleId="34">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35">
    <w:name w:val="annotation subject"/>
    <w:basedOn w:val="16"/>
    <w:next w:val="16"/>
    <w:link w:val="95"/>
    <w:qFormat/>
    <w:uiPriority w:val="0"/>
    <w:rPr>
      <w:b/>
      <w:bCs/>
    </w:rPr>
  </w:style>
  <w:style w:type="paragraph" w:styleId="36">
    <w:name w:val="Body Text First Indent"/>
    <w:basedOn w:val="17"/>
    <w:next w:val="1"/>
    <w:qFormat/>
    <w:uiPriority w:val="0"/>
    <w:pPr>
      <w:spacing w:after="120"/>
      <w:ind w:firstLine="420" w:firstLineChars="100"/>
    </w:pPr>
    <w:rPr>
      <w:rFonts w:eastAsia="宋体"/>
      <w:sz w:val="21"/>
      <w:szCs w:val="20"/>
    </w:rPr>
  </w:style>
  <w:style w:type="table" w:styleId="38">
    <w:name w:val="Table Grid"/>
    <w:basedOn w:val="37"/>
    <w:qFormat/>
    <w:uiPriority w:val="99"/>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0">
    <w:name w:val="Strong"/>
    <w:basedOn w:val="39"/>
    <w:qFormat/>
    <w:uiPriority w:val="0"/>
    <w:rPr>
      <w:b/>
    </w:rPr>
  </w:style>
  <w:style w:type="character" w:styleId="41">
    <w:name w:val="page number"/>
    <w:basedOn w:val="39"/>
    <w:qFormat/>
    <w:uiPriority w:val="0"/>
  </w:style>
  <w:style w:type="character" w:styleId="42">
    <w:name w:val="Emphasis"/>
    <w:basedOn w:val="39"/>
    <w:qFormat/>
    <w:uiPriority w:val="0"/>
    <w:rPr>
      <w:i/>
    </w:rPr>
  </w:style>
  <w:style w:type="character" w:styleId="43">
    <w:name w:val="Hyperlink"/>
    <w:basedOn w:val="39"/>
    <w:qFormat/>
    <w:uiPriority w:val="0"/>
    <w:rPr>
      <w:color w:val="0000FF"/>
      <w:u w:val="single"/>
    </w:rPr>
  </w:style>
  <w:style w:type="character" w:styleId="44">
    <w:name w:val="annotation reference"/>
    <w:basedOn w:val="39"/>
    <w:qFormat/>
    <w:uiPriority w:val="0"/>
    <w:rPr>
      <w:sz w:val="21"/>
      <w:szCs w:val="21"/>
    </w:rPr>
  </w:style>
  <w:style w:type="character" w:customStyle="1" w:styleId="45">
    <w:name w:val="表头 Char"/>
    <w:link w:val="14"/>
    <w:qFormat/>
    <w:uiPriority w:val="0"/>
    <w:rPr>
      <w:rFonts w:hAnsi="宋体" w:eastAsia="仿宋_GB2312"/>
      <w:b/>
      <w:sz w:val="28"/>
      <w:szCs w:val="28"/>
    </w:rPr>
  </w:style>
  <w:style w:type="paragraph" w:customStyle="1" w:styleId="46">
    <w:name w:val="【表头】"/>
    <w:basedOn w:val="1"/>
    <w:qFormat/>
    <w:uiPriority w:val="0"/>
    <w:pPr>
      <w:spacing w:line="460" w:lineRule="exact"/>
      <w:jc w:val="center"/>
    </w:pPr>
    <w:rPr>
      <w:rFonts w:eastAsia="黑体" w:cs="宋体"/>
      <w:kern w:val="0"/>
      <w:szCs w:val="20"/>
    </w:rPr>
  </w:style>
  <w:style w:type="character" w:customStyle="1" w:styleId="47">
    <w:name w:val="标题 1 字符"/>
    <w:link w:val="4"/>
    <w:qFormat/>
    <w:uiPriority w:val="0"/>
    <w:rPr>
      <w:rFonts w:ascii="Times New Roman" w:hAnsi="Times New Roman" w:eastAsia="黑体"/>
      <w:kern w:val="44"/>
      <w:sz w:val="30"/>
    </w:rPr>
  </w:style>
  <w:style w:type="paragraph" w:customStyle="1" w:styleId="48">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9">
    <w:name w:val="样式 正文11 + 首行缩进:  2 字符"/>
    <w:basedOn w:val="1"/>
    <w:unhideWhenUsed/>
    <w:qFormat/>
    <w:uiPriority w:val="0"/>
    <w:pPr>
      <w:spacing w:beforeLines="0" w:afterLines="0" w:line="500" w:lineRule="exact"/>
      <w:ind w:firstLine="560" w:firstLineChars="200"/>
    </w:pPr>
    <w:rPr>
      <w:rFonts w:hint="eastAsia"/>
      <w:color w:val="FF0000"/>
      <w:sz w:val="28"/>
      <w:szCs w:val="24"/>
    </w:rPr>
  </w:style>
  <w:style w:type="paragraph" w:customStyle="1" w:styleId="50">
    <w:name w:val="表格文字"/>
    <w:basedOn w:val="22"/>
    <w:next w:val="1"/>
    <w:qFormat/>
    <w:uiPriority w:val="0"/>
    <w:pPr>
      <w:spacing w:beforeLines="10" w:afterLines="10" w:line="0" w:lineRule="atLeast"/>
      <w:jc w:val="center"/>
    </w:pPr>
    <w:rPr>
      <w:rFonts w:ascii="Times New Roman" w:hAnsi="Times New Roman" w:eastAsia="宋体" w:cs="Times New Roman"/>
      <w:kern w:val="2"/>
      <w:sz w:val="18"/>
      <w:szCs w:val="21"/>
      <w:lang w:val="en-US" w:eastAsia="zh-CN" w:bidi="ar-SA"/>
    </w:rPr>
  </w:style>
  <w:style w:type="paragraph" w:customStyle="1" w:styleId="51">
    <w:name w:val="表号题注"/>
    <w:basedOn w:val="1"/>
    <w:link w:val="52"/>
    <w:qFormat/>
    <w:uiPriority w:val="0"/>
    <w:pPr>
      <w:spacing w:line="360" w:lineRule="auto"/>
    </w:pPr>
    <w:rPr>
      <w:rFonts w:hAnsi="宋体"/>
      <w:color w:val="000000"/>
      <w:lang w:bidi="en-US"/>
    </w:rPr>
  </w:style>
  <w:style w:type="character" w:customStyle="1" w:styleId="52">
    <w:name w:val="表号题注 Char Char"/>
    <w:link w:val="51"/>
    <w:qFormat/>
    <w:uiPriority w:val="0"/>
    <w:rPr>
      <w:rFonts w:hAnsi="宋体"/>
      <w:color w:val="000000"/>
      <w:lang w:bidi="en-US"/>
    </w:rPr>
  </w:style>
  <w:style w:type="paragraph" w:customStyle="1" w:styleId="5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54">
    <w:name w:val="Date1"/>
    <w:basedOn w:val="1"/>
    <w:next w:val="1"/>
    <w:qFormat/>
    <w:uiPriority w:val="99"/>
    <w:pPr>
      <w:adjustRightInd w:val="0"/>
      <w:jc w:val="left"/>
      <w:textAlignment w:val="baseline"/>
    </w:pPr>
    <w:rPr>
      <w:rFonts w:ascii="宋体" w:hAnsi="宋体"/>
      <w:sz w:val="28"/>
    </w:rPr>
  </w:style>
  <w:style w:type="paragraph" w:customStyle="1" w:styleId="55">
    <w:name w:val="Char"/>
    <w:basedOn w:val="1"/>
    <w:qFormat/>
    <w:uiPriority w:val="0"/>
    <w:rPr>
      <w:rFonts w:eastAsia="宋体" w:cs="黑体"/>
    </w:rPr>
  </w:style>
  <w:style w:type="paragraph" w:customStyle="1" w:styleId="56">
    <w:name w:val="表格"/>
    <w:basedOn w:val="13"/>
    <w:next w:val="1"/>
    <w:qFormat/>
    <w:uiPriority w:val="0"/>
    <w:pPr>
      <w:spacing w:line="240" w:lineRule="atLeast"/>
      <w:jc w:val="center"/>
    </w:pPr>
    <w:rPr>
      <w:szCs w:val="21"/>
    </w:rPr>
  </w:style>
  <w:style w:type="paragraph" w:customStyle="1" w:styleId="57">
    <w:name w:val="正文（缩进）"/>
    <w:basedOn w:val="58"/>
    <w:next w:val="1"/>
    <w:qFormat/>
    <w:uiPriority w:val="99"/>
    <w:pPr>
      <w:spacing w:line="360" w:lineRule="auto"/>
      <w:ind w:firstLine="480" w:firstLineChars="200"/>
    </w:pPr>
    <w:rPr>
      <w:sz w:val="24"/>
      <w:szCs w:val="24"/>
    </w:rPr>
  </w:style>
  <w:style w:type="paragraph" w:customStyle="1" w:styleId="58">
    <w:name w:val="正文(首行缩进)"/>
    <w:basedOn w:val="1"/>
    <w:qFormat/>
    <w:uiPriority w:val="0"/>
    <w:pPr>
      <w:widowControl w:val="0"/>
      <w:jc w:val="both"/>
    </w:pPr>
    <w:rPr>
      <w:rFonts w:ascii="Times New Roman" w:hAnsi="Times New Roman" w:cs="Times New Roman"/>
      <w:kern w:val="0"/>
      <w:sz w:val="24"/>
      <w:szCs w:val="24"/>
    </w:rPr>
  </w:style>
  <w:style w:type="paragraph" w:customStyle="1" w:styleId="59">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60">
    <w:name w:val="样式 正文缩进正文缩进2正文缩进 Char Char正文缩进 Char Char Char Char正文缩进 Char ..."/>
    <w:basedOn w:val="13"/>
    <w:qFormat/>
    <w:uiPriority w:val="0"/>
    <w:pPr>
      <w:spacing w:line="360" w:lineRule="auto"/>
      <w:ind w:firstLine="200"/>
    </w:pPr>
    <w:rPr>
      <w:rFonts w:cs="宋体"/>
      <w:sz w:val="24"/>
    </w:rPr>
  </w:style>
  <w:style w:type="paragraph" w:customStyle="1" w:styleId="61">
    <w:name w:val="Char Char Char Char"/>
    <w:basedOn w:val="1"/>
    <w:qFormat/>
    <w:uiPriority w:val="0"/>
    <w:pPr>
      <w:snapToGrid w:val="0"/>
      <w:spacing w:line="360" w:lineRule="auto"/>
      <w:ind w:firstLine="529" w:firstLineChars="200"/>
    </w:pPr>
  </w:style>
  <w:style w:type="paragraph" w:customStyle="1" w:styleId="62">
    <w:name w:val="4正文"/>
    <w:basedOn w:val="1"/>
    <w:qFormat/>
    <w:uiPriority w:val="0"/>
    <w:pPr>
      <w:spacing w:line="240" w:lineRule="exact"/>
      <w:jc w:val="center"/>
    </w:pPr>
    <w:rPr>
      <w:rFonts w:ascii="Calibri" w:hAnsi="Calibri"/>
      <w:szCs w:val="21"/>
    </w:rPr>
  </w:style>
  <w:style w:type="paragraph" w:customStyle="1" w:styleId="63">
    <w:name w:val="填表内容"/>
    <w:basedOn w:val="1"/>
    <w:qFormat/>
    <w:uiPriority w:val="0"/>
    <w:pPr>
      <w:adjustRightInd w:val="0"/>
      <w:spacing w:line="480" w:lineRule="exact"/>
      <w:ind w:firstLine="560" w:firstLineChars="200"/>
      <w:jc w:val="left"/>
      <w:textAlignment w:val="baseline"/>
    </w:pPr>
    <w:rPr>
      <w:rFonts w:ascii="楷体_GB2312" w:eastAsia="楷体_GB2312"/>
      <w:sz w:val="28"/>
    </w:rPr>
  </w:style>
  <w:style w:type="paragraph" w:customStyle="1" w:styleId="64">
    <w:name w:val="报告表正文"/>
    <w:basedOn w:val="1"/>
    <w:link w:val="69"/>
    <w:qFormat/>
    <w:uiPriority w:val="0"/>
    <w:pPr>
      <w:overflowPunct w:val="0"/>
      <w:adjustRightInd w:val="0"/>
      <w:snapToGrid w:val="0"/>
      <w:spacing w:line="360" w:lineRule="auto"/>
      <w:ind w:firstLine="200" w:firstLineChars="200"/>
    </w:pPr>
    <w:rPr>
      <w:rFonts w:ascii="Times New Roman" w:hAnsi="Times New Roman" w:eastAsia="仿宋_GB2312"/>
      <w:color w:val="000000"/>
      <w:kern w:val="16"/>
      <w:sz w:val="24"/>
      <w:szCs w:val="24"/>
    </w:rPr>
  </w:style>
  <w:style w:type="paragraph" w:customStyle="1" w:styleId="65">
    <w:name w:val="表文"/>
    <w:basedOn w:val="1"/>
    <w:link w:val="100"/>
    <w:qFormat/>
    <w:uiPriority w:val="0"/>
    <w:pPr>
      <w:autoSpaceDE w:val="0"/>
      <w:autoSpaceDN w:val="0"/>
      <w:adjustRightInd w:val="0"/>
      <w:spacing w:line="360" w:lineRule="atLeast"/>
      <w:jc w:val="center"/>
      <w:textAlignment w:val="baseline"/>
    </w:pPr>
    <w:rPr>
      <w:rFonts w:ascii="宋体" w:hAnsi="Tms Rmn"/>
      <w:kern w:val="0"/>
      <w:sz w:val="24"/>
    </w:rPr>
  </w:style>
  <w:style w:type="paragraph" w:customStyle="1" w:styleId="66">
    <w:name w:val="表内文字"/>
    <w:basedOn w:val="1"/>
    <w:qFormat/>
    <w:uiPriority w:val="0"/>
    <w:pPr>
      <w:spacing w:line="320" w:lineRule="exact"/>
      <w:jc w:val="center"/>
    </w:pPr>
    <w:rPr>
      <w:rFonts w:eastAsia="仿宋_GB2312"/>
      <w:szCs w:val="24"/>
    </w:rPr>
  </w:style>
  <w:style w:type="paragraph" w:customStyle="1" w:styleId="67">
    <w:name w:val="表 正文"/>
    <w:basedOn w:val="1"/>
    <w:qFormat/>
    <w:uiPriority w:val="0"/>
    <w:pPr>
      <w:snapToGrid w:val="0"/>
      <w:spacing w:line="360" w:lineRule="auto"/>
      <w:ind w:firstLine="200" w:firstLineChars="200"/>
    </w:pPr>
    <w:rPr>
      <w:kern w:val="44"/>
      <w:sz w:val="24"/>
      <w:szCs w:val="24"/>
    </w:rPr>
  </w:style>
  <w:style w:type="paragraph" w:customStyle="1" w:styleId="68">
    <w:name w:val="xl26"/>
    <w:basedOn w:val="1"/>
    <w:qFormat/>
    <w:uiPriority w:val="0"/>
    <w:pPr>
      <w:widowControl/>
      <w:spacing w:before="100" w:after="100"/>
      <w:jc w:val="center"/>
    </w:pPr>
    <w:rPr>
      <w:kern w:val="0"/>
    </w:rPr>
  </w:style>
  <w:style w:type="character" w:customStyle="1" w:styleId="69">
    <w:name w:val="报告表正文 Char"/>
    <w:link w:val="64"/>
    <w:qFormat/>
    <w:uiPriority w:val="0"/>
    <w:rPr>
      <w:rFonts w:ascii="Times New Roman" w:hAnsi="Times New Roman" w:eastAsia="仿宋_GB2312"/>
      <w:color w:val="000000"/>
      <w:kern w:val="16"/>
      <w:sz w:val="24"/>
      <w:szCs w:val="24"/>
    </w:rPr>
  </w:style>
  <w:style w:type="paragraph" w:customStyle="1" w:styleId="70">
    <w:name w:val="正文1"/>
    <w:basedOn w:val="1"/>
    <w:next w:val="1"/>
    <w:qFormat/>
    <w:uiPriority w:val="0"/>
    <w:pPr>
      <w:snapToGrid w:val="0"/>
      <w:spacing w:line="360" w:lineRule="atLeast"/>
      <w:jc w:val="center"/>
    </w:pPr>
    <w:rPr>
      <w:kern w:val="21"/>
    </w:rPr>
  </w:style>
  <w:style w:type="paragraph" w:customStyle="1" w:styleId="71">
    <w:name w:val="【正文】"/>
    <w:basedOn w:val="1"/>
    <w:qFormat/>
    <w:uiPriority w:val="0"/>
    <w:pPr>
      <w:spacing w:line="440" w:lineRule="exact"/>
      <w:ind w:firstLine="544" w:firstLineChars="200"/>
    </w:pPr>
    <w:rPr>
      <w:kern w:val="0"/>
      <w:sz w:val="24"/>
    </w:rPr>
  </w:style>
  <w:style w:type="paragraph" w:customStyle="1" w:styleId="72">
    <w:name w:val="表 一级标题"/>
    <w:basedOn w:val="1"/>
    <w:qFormat/>
    <w:uiPriority w:val="0"/>
    <w:pPr>
      <w:adjustRightInd w:val="0"/>
      <w:snapToGrid w:val="0"/>
      <w:spacing w:line="360" w:lineRule="auto"/>
    </w:pPr>
    <w:rPr>
      <w:b/>
      <w:sz w:val="24"/>
      <w:szCs w:val="28"/>
    </w:rPr>
  </w:style>
  <w:style w:type="paragraph" w:customStyle="1" w:styleId="73">
    <w:name w:val="默认段落字体 Para Char"/>
    <w:basedOn w:val="1"/>
    <w:qFormat/>
    <w:uiPriority w:val="0"/>
    <w:pPr>
      <w:adjustRightInd w:val="0"/>
      <w:snapToGrid w:val="0"/>
      <w:spacing w:line="360" w:lineRule="auto"/>
      <w:ind w:firstLine="200" w:firstLineChars="200"/>
    </w:pPr>
  </w:style>
  <w:style w:type="paragraph" w:customStyle="1" w:styleId="74">
    <w:name w:val="中文报告书样式"/>
    <w:basedOn w:val="1"/>
    <w:qFormat/>
    <w:uiPriority w:val="0"/>
    <w:pPr>
      <w:adjustRightInd w:val="0"/>
      <w:spacing w:line="480" w:lineRule="atLeast"/>
      <w:ind w:firstLine="482"/>
      <w:textAlignment w:val="baseline"/>
    </w:pPr>
    <w:rPr>
      <w:kern w:val="24"/>
      <w:sz w:val="24"/>
    </w:rPr>
  </w:style>
  <w:style w:type="paragraph" w:customStyle="1" w:styleId="75">
    <w:name w:val="表格标题"/>
    <w:basedOn w:val="6"/>
    <w:next w:val="1"/>
    <w:qFormat/>
    <w:uiPriority w:val="0"/>
    <w:pPr>
      <w:spacing w:line="240" w:lineRule="auto"/>
      <w:ind w:firstLine="0" w:firstLineChars="0"/>
      <w:jc w:val="center"/>
    </w:pPr>
    <w:rPr>
      <w:szCs w:val="21"/>
    </w:rPr>
  </w:style>
  <w:style w:type="paragraph" w:customStyle="1" w:styleId="76">
    <w:name w:val="表格内容"/>
    <w:basedOn w:val="1"/>
    <w:qFormat/>
    <w:uiPriority w:val="0"/>
    <w:pPr>
      <w:adjustRightInd w:val="0"/>
      <w:snapToGrid w:val="0"/>
      <w:spacing w:line="240" w:lineRule="atLeast"/>
      <w:jc w:val="center"/>
    </w:pPr>
    <w:rPr>
      <w:szCs w:val="21"/>
    </w:rPr>
  </w:style>
  <w:style w:type="paragraph" w:customStyle="1" w:styleId="77">
    <w:name w:val="居中正文"/>
    <w:basedOn w:val="36"/>
    <w:qFormat/>
    <w:uiPriority w:val="0"/>
    <w:pPr>
      <w:adjustRightInd w:val="0"/>
      <w:spacing w:before="120" w:after="0" w:line="360" w:lineRule="auto"/>
      <w:ind w:firstLine="0" w:firstLineChars="0"/>
      <w:jc w:val="center"/>
      <w:textAlignment w:val="baseline"/>
    </w:pPr>
    <w:rPr>
      <w:rFonts w:ascii="宋体"/>
      <w:kern w:val="28"/>
      <w:sz w:val="24"/>
    </w:rPr>
  </w:style>
  <w:style w:type="paragraph" w:customStyle="1" w:styleId="78">
    <w:name w:val="正文2"/>
    <w:qFormat/>
    <w:uiPriority w:val="0"/>
    <w:pPr>
      <w:jc w:val="both"/>
    </w:pPr>
    <w:rPr>
      <w:rFonts w:ascii="Times New Roman" w:hAnsi="Times New Roman" w:eastAsia="宋体" w:cs="Times New Roman"/>
      <w:kern w:val="2"/>
      <w:sz w:val="21"/>
      <w:szCs w:val="21"/>
      <w:lang w:val="en-US" w:eastAsia="zh-CN" w:bidi="ar-SA"/>
    </w:rPr>
  </w:style>
  <w:style w:type="paragraph" w:styleId="79">
    <w:name w:val="List Paragraph"/>
    <w:basedOn w:val="1"/>
    <w:qFormat/>
    <w:uiPriority w:val="99"/>
    <w:pPr>
      <w:ind w:firstLine="420" w:firstLineChars="200"/>
    </w:pPr>
  </w:style>
  <w:style w:type="paragraph" w:customStyle="1" w:styleId="80">
    <w:name w:val="default"/>
    <w:basedOn w:val="1"/>
    <w:qFormat/>
    <w:uiPriority w:val="99"/>
    <w:pPr>
      <w:widowControl/>
      <w:spacing w:beforeAutospacing="1" w:afterAutospacing="1" w:line="408" w:lineRule="auto"/>
      <w:jc w:val="left"/>
    </w:pPr>
    <w:rPr>
      <w:rFonts w:ascii="宋体" w:hAnsi="宋体" w:eastAsia="微软雅黑"/>
      <w:kern w:val="0"/>
      <w:sz w:val="28"/>
    </w:rPr>
  </w:style>
  <w:style w:type="paragraph" w:customStyle="1" w:styleId="81">
    <w:name w:val="表头111"/>
    <w:basedOn w:val="1"/>
    <w:qFormat/>
    <w:uiPriority w:val="0"/>
    <w:pPr>
      <w:jc w:val="center"/>
    </w:pPr>
    <w:rPr>
      <w:b/>
      <w:szCs w:val="21"/>
    </w:rPr>
  </w:style>
  <w:style w:type="paragraph" w:customStyle="1" w:styleId="82">
    <w:name w:val="报告表小标题"/>
    <w:basedOn w:val="1"/>
    <w:qFormat/>
    <w:uiPriority w:val="0"/>
    <w:pPr>
      <w:spacing w:line="360" w:lineRule="auto"/>
    </w:pPr>
    <w:rPr>
      <w:b/>
      <w:sz w:val="24"/>
    </w:rPr>
  </w:style>
  <w:style w:type="character" w:customStyle="1" w:styleId="83">
    <w:name w:val="font41"/>
    <w:qFormat/>
    <w:uiPriority w:val="0"/>
    <w:rPr>
      <w:rFonts w:hint="default" w:ascii="Times New Roman" w:hAnsi="Times New Roman" w:cs="Times New Roman"/>
      <w:color w:val="000000"/>
      <w:sz w:val="21"/>
      <w:szCs w:val="21"/>
      <w:u w:val="none"/>
    </w:rPr>
  </w:style>
  <w:style w:type="character" w:customStyle="1" w:styleId="84">
    <w:name w:val="font51"/>
    <w:qFormat/>
    <w:uiPriority w:val="0"/>
    <w:rPr>
      <w:rFonts w:hint="eastAsia" w:ascii="宋体" w:hAnsi="宋体" w:eastAsia="宋体" w:cs="宋体"/>
      <w:b/>
      <w:color w:val="000000"/>
      <w:sz w:val="21"/>
      <w:szCs w:val="21"/>
      <w:u w:val="none"/>
    </w:rPr>
  </w:style>
  <w:style w:type="character" w:customStyle="1" w:styleId="85">
    <w:name w:val="font21"/>
    <w:qFormat/>
    <w:uiPriority w:val="0"/>
    <w:rPr>
      <w:rFonts w:hint="eastAsia" w:ascii="宋体" w:hAnsi="宋体" w:eastAsia="宋体" w:cs="宋体"/>
      <w:color w:val="FF0000"/>
      <w:sz w:val="24"/>
      <w:szCs w:val="24"/>
      <w:u w:val="none"/>
    </w:rPr>
  </w:style>
  <w:style w:type="character" w:customStyle="1" w:styleId="86">
    <w:name w:val="font11"/>
    <w:qFormat/>
    <w:uiPriority w:val="0"/>
    <w:rPr>
      <w:rFonts w:hint="eastAsia" w:ascii="宋体" w:hAnsi="宋体" w:eastAsia="宋体" w:cs="宋体"/>
      <w:color w:val="000000"/>
      <w:sz w:val="21"/>
      <w:szCs w:val="21"/>
      <w:u w:val="none"/>
    </w:rPr>
  </w:style>
  <w:style w:type="paragraph" w:customStyle="1" w:styleId="87">
    <w:name w:val="Table Paragraph"/>
    <w:basedOn w:val="1"/>
    <w:qFormat/>
    <w:uiPriority w:val="0"/>
    <w:pPr>
      <w:autoSpaceDE w:val="0"/>
      <w:autoSpaceDN w:val="0"/>
      <w:jc w:val="center"/>
    </w:pPr>
    <w:rPr>
      <w:kern w:val="0"/>
      <w:sz w:val="22"/>
      <w:szCs w:val="22"/>
    </w:rPr>
  </w:style>
  <w:style w:type="paragraph" w:customStyle="1" w:styleId="88">
    <w:name w:val="表格字"/>
    <w:basedOn w:val="12"/>
    <w:qFormat/>
    <w:uiPriority w:val="0"/>
    <w:rPr>
      <w:rFonts w:ascii="Calibri" w:hAnsi="Calibri"/>
      <w:sz w:val="20"/>
    </w:rPr>
  </w:style>
  <w:style w:type="paragraph" w:customStyle="1" w:styleId="89">
    <w:name w:val="正文格式－表格－中"/>
    <w:basedOn w:val="1"/>
    <w:semiHidden/>
    <w:qFormat/>
    <w:uiPriority w:val="0"/>
    <w:pPr>
      <w:widowControl/>
      <w:snapToGrid w:val="0"/>
      <w:jc w:val="center"/>
      <w:textAlignment w:val="center"/>
    </w:pPr>
    <w:rPr>
      <w:sz w:val="24"/>
      <w:szCs w:val="24"/>
    </w:rPr>
  </w:style>
  <w:style w:type="paragraph" w:customStyle="1" w:styleId="90">
    <w:name w:val="环评正文2"/>
    <w:basedOn w:val="1"/>
    <w:qFormat/>
    <w:uiPriority w:val="0"/>
    <w:pPr>
      <w:spacing w:line="360" w:lineRule="auto"/>
    </w:pPr>
    <w:rPr>
      <w:rFonts w:ascii="宋体" w:hAnsi="宋体" w:eastAsia="仿宋_GB2312"/>
      <w:color w:val="000000"/>
      <w:kern w:val="16"/>
      <w:sz w:val="24"/>
      <w:szCs w:val="24"/>
    </w:rPr>
  </w:style>
  <w:style w:type="paragraph" w:customStyle="1" w:styleId="91">
    <w:name w:val="书 正文"/>
    <w:basedOn w:val="1"/>
    <w:qFormat/>
    <w:uiPriority w:val="0"/>
    <w:pPr>
      <w:ind w:firstLine="514" w:firstLineChars="200"/>
    </w:pPr>
    <w:rPr>
      <w:kern w:val="24"/>
      <w:sz w:val="24"/>
    </w:rPr>
  </w:style>
  <w:style w:type="paragraph" w:customStyle="1" w:styleId="92">
    <w:name w:val="报告表表头"/>
    <w:basedOn w:val="65"/>
    <w:next w:val="56"/>
    <w:qFormat/>
    <w:uiPriority w:val="0"/>
    <w:pPr>
      <w:snapToGrid w:val="0"/>
      <w:spacing w:line="240" w:lineRule="auto"/>
    </w:pPr>
    <w:rPr>
      <w:rFonts w:ascii="Times New Roman" w:hAnsi="Times New Roman" w:eastAsia="黑体"/>
      <w:sz w:val="24"/>
      <w:szCs w:val="28"/>
    </w:rPr>
  </w:style>
  <w:style w:type="character" w:customStyle="1" w:styleId="93">
    <w:name w:val="批注框文本 字符"/>
    <w:basedOn w:val="39"/>
    <w:link w:val="27"/>
    <w:qFormat/>
    <w:uiPriority w:val="0"/>
    <w:rPr>
      <w:rFonts w:ascii="Times New Roman" w:hAnsi="Times New Roman" w:eastAsia="宋体" w:cs="Times New Roman"/>
      <w:kern w:val="2"/>
      <w:sz w:val="18"/>
      <w:szCs w:val="18"/>
    </w:rPr>
  </w:style>
  <w:style w:type="character" w:customStyle="1" w:styleId="94">
    <w:name w:val="批注文字 字符"/>
    <w:basedOn w:val="39"/>
    <w:link w:val="16"/>
    <w:qFormat/>
    <w:uiPriority w:val="99"/>
    <w:rPr>
      <w:rFonts w:ascii="Times New Roman" w:hAnsi="Times New Roman" w:eastAsia="宋体" w:cs="Times New Roman"/>
      <w:kern w:val="2"/>
      <w:sz w:val="21"/>
    </w:rPr>
  </w:style>
  <w:style w:type="character" w:customStyle="1" w:styleId="95">
    <w:name w:val="批注主题 字符"/>
    <w:basedOn w:val="94"/>
    <w:link w:val="35"/>
    <w:qFormat/>
    <w:uiPriority w:val="0"/>
    <w:rPr>
      <w:rFonts w:ascii="Times New Roman" w:hAnsi="Times New Roman" w:eastAsia="宋体" w:cs="Times New Roman"/>
      <w:b/>
      <w:bCs/>
      <w:kern w:val="2"/>
      <w:sz w:val="21"/>
    </w:rPr>
  </w:style>
  <w:style w:type="paragraph" w:customStyle="1" w:styleId="96">
    <w:name w:val="No Spacing"/>
    <w:qFormat/>
    <w:uiPriority w:val="0"/>
    <w:pPr>
      <w:widowControl w:val="0"/>
      <w:spacing w:beforeLines="50"/>
      <w:jc w:val="both"/>
    </w:pPr>
    <w:rPr>
      <w:rFonts w:ascii="Calibri" w:hAnsi="Calibri" w:eastAsia="宋体" w:cs="Times New Roman"/>
      <w:kern w:val="2"/>
      <w:sz w:val="21"/>
      <w:szCs w:val="22"/>
      <w:lang w:val="en-US" w:eastAsia="zh-CN" w:bidi="ar-SA"/>
    </w:rPr>
  </w:style>
  <w:style w:type="character" w:customStyle="1" w:styleId="97">
    <w:name w:val="标题 2 Char Char Char Char Char Char Char Char Char Char Char Char Char Char Char Char Char Char Char Char Char Char Char Char"/>
    <w:basedOn w:val="39"/>
    <w:qFormat/>
    <w:uiPriority w:val="0"/>
    <w:rPr>
      <w:rFonts w:ascii="Arial" w:hAnsi="Arial" w:eastAsia="黑体"/>
      <w:b/>
      <w:bCs/>
      <w:kern w:val="2"/>
      <w:sz w:val="32"/>
      <w:szCs w:val="32"/>
      <w:lang w:val="en-US" w:eastAsia="zh-CN" w:bidi="ar-SA"/>
    </w:rPr>
  </w:style>
  <w:style w:type="paragraph" w:customStyle="1" w:styleId="98">
    <w:name w:val="标题　4"/>
    <w:basedOn w:val="8"/>
    <w:qFormat/>
    <w:uiPriority w:val="0"/>
    <w:pPr>
      <w:numPr>
        <w:ilvl w:val="0"/>
        <w:numId w:val="0"/>
      </w:numPr>
      <w:spacing w:before="20" w:beforeLines="20" w:after="20" w:afterLines="20"/>
    </w:pPr>
    <w:rPr>
      <w:rFonts w:ascii="Times New Roman" w:hAnsi="Times New Roman"/>
      <w:b w:val="0"/>
      <w:kern w:val="0"/>
      <w:szCs w:val="20"/>
    </w:rPr>
  </w:style>
  <w:style w:type="paragraph" w:customStyle="1" w:styleId="99">
    <w:name w:val="样式1"/>
    <w:basedOn w:val="1"/>
    <w:qFormat/>
    <w:uiPriority w:val="0"/>
    <w:rPr>
      <w:rFonts w:ascii="Times New Roman"/>
    </w:rPr>
  </w:style>
  <w:style w:type="character" w:customStyle="1" w:styleId="100">
    <w:name w:val="表文 Char"/>
    <w:link w:val="65"/>
    <w:qFormat/>
    <w:uiPriority w:val="0"/>
    <w:rPr>
      <w:rFonts w:ascii="宋体" w:hAnsi="Tms Rmn"/>
      <w:kern w:val="0"/>
      <w:sz w:val="24"/>
    </w:rPr>
  </w:style>
  <w:style w:type="table" w:customStyle="1" w:styleId="101">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02">
    <w:name w:val="15"/>
    <w:basedOn w:val="39"/>
    <w:qFormat/>
    <w:uiPriority w:val="0"/>
    <w:rPr>
      <w:rFonts w:hint="default" w:ascii="Times New Roman" w:hAnsi="Times New Roman" w:cs="Times New Roman"/>
      <w:color w:val="0000FF"/>
      <w:u w:val="single"/>
    </w:rPr>
  </w:style>
  <w:style w:type="paragraph" w:customStyle="1" w:styleId="103">
    <w:name w:val="表一级标题"/>
    <w:basedOn w:val="1"/>
    <w:qFormat/>
    <w:uiPriority w:val="0"/>
    <w:pPr>
      <w:adjustRightInd w:val="0"/>
      <w:snapToGrid w:val="0"/>
      <w:spacing w:before="50" w:beforeLines="50" w:after="50" w:afterLines="50" w:line="240" w:lineRule="auto"/>
      <w:ind w:firstLine="0" w:firstLineChars="0"/>
      <w:jc w:val="left"/>
      <w:textAlignment w:val="baseline"/>
    </w:pPr>
    <w:rPr>
      <w:rFonts w:ascii="Times New Roman" w:hAnsi="Times New Roman" w:eastAsia="宋体"/>
      <w:b/>
      <w:sz w:val="24"/>
    </w:rPr>
  </w:style>
  <w:style w:type="paragraph" w:customStyle="1" w:styleId="104">
    <w:name w:val="预测表格"/>
    <w:basedOn w:val="105"/>
    <w:next w:val="1"/>
    <w:qFormat/>
    <w:uiPriority w:val="0"/>
    <w:pPr>
      <w:ind w:left="-15" w:leftChars="-15" w:right="-15" w:rightChars="-15"/>
      <w:jc w:val="center"/>
    </w:pPr>
    <w:rPr>
      <w:rFonts w:ascii="宋体" w:hAnsi="宋体"/>
      <w:spacing w:val="-5"/>
      <w:sz w:val="18"/>
      <w:szCs w:val="18"/>
    </w:rPr>
  </w:style>
  <w:style w:type="paragraph" w:customStyle="1" w:styleId="105">
    <w:name w:val="表格1"/>
    <w:basedOn w:val="1"/>
    <w:qFormat/>
    <w:uiPriority w:val="0"/>
    <w:pPr>
      <w:adjustRightInd w:val="0"/>
      <w:spacing w:line="300" w:lineRule="auto"/>
      <w:jc w:val="center"/>
      <w:textAlignment w:val="baseline"/>
    </w:pPr>
    <w:rPr>
      <w:rFonts w:ascii="宋体"/>
      <w:kern w:val="0"/>
      <w:lang w:val="en-US" w:eastAsia="zh-CN"/>
    </w:rPr>
  </w:style>
  <w:style w:type="table" w:customStyle="1" w:styleId="106">
    <w:name w:val="表格主题11"/>
    <w:basedOn w:val="37"/>
    <w:qFormat/>
    <w:uiPriority w:val="0"/>
    <w:pPr>
      <w:widowControl w:val="0"/>
      <w:jc w:val="both"/>
    </w:pPr>
    <w:rPr>
      <w:rFonts w:ascii="宋体"/>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left w:w="0" w:type="dxa"/>
        <w:right w:w="0" w:type="dxa"/>
      </w:tblCellMar>
    </w:tblPr>
    <w:trPr>
      <w:jc w:val="center"/>
    </w:trPr>
    <w:tcPr>
      <w:vAlign w:val="center"/>
    </w:tcPr>
    <w:tblStylePr w:type="firstRow">
      <w:pPr>
        <w:wordWrap/>
        <w:spacing w:before="0" w:beforeLines="0" w:beforeAutospacing="0" w:after="0" w:afterLines="0" w:afterAutospacing="0"/>
        <w:ind w:left="0" w:leftChars="0" w:right="0" w:rightChars="0"/>
      </w:pPr>
      <w:rPr>
        <w:b/>
        <w:sz w:val="21"/>
      </w:rPr>
    </w:tblStylePr>
  </w:style>
  <w:style w:type="paragraph" w:customStyle="1" w:styleId="107">
    <w:name w:val="zhang正文"/>
    <w:basedOn w:val="3"/>
    <w:qFormat/>
    <w:uiPriority w:val="0"/>
    <w:pPr>
      <w:autoSpaceDE w:val="0"/>
      <w:autoSpaceDN w:val="0"/>
      <w:adjustRightInd w:val="0"/>
      <w:snapToGrid w:val="0"/>
      <w:spacing w:after="0" w:line="500" w:lineRule="exact"/>
      <w:ind w:left="0" w:leftChars="0" w:firstLine="539"/>
    </w:pPr>
    <w:rPr>
      <w:rFonts w:eastAsia="楷体_GB2312"/>
      <w:kern w:val="0"/>
      <w:sz w:val="28"/>
      <w:szCs w:val="20"/>
    </w:rPr>
  </w:style>
  <w:style w:type="paragraph" w:customStyle="1" w:styleId="108">
    <w:name w:val="表格正文"/>
    <w:basedOn w:val="1"/>
    <w:qFormat/>
    <w:uiPriority w:val="0"/>
    <w:pPr>
      <w:jc w:val="center"/>
    </w:pPr>
    <w:rPr>
      <w:rFonts w:ascii="仿宋_GB2312" w:hAnsi="仿宋_GB2312" w:eastAsia="仿宋_GB2312"/>
    </w:rPr>
  </w:style>
  <w:style w:type="character" w:customStyle="1" w:styleId="109">
    <w:name w:val="纯文本 Char"/>
    <w:basedOn w:val="39"/>
    <w:link w:val="22"/>
    <w:qFormat/>
    <w:uiPriority w:val="0"/>
    <w:rPr>
      <w:rFonts w:hint="eastAsia" w:ascii="宋体" w:hAnsi="Courier New" w:eastAsia="宋体" w:cs="宋体"/>
      <w:kern w:val="2"/>
      <w:sz w:val="21"/>
    </w:rPr>
  </w:style>
  <w:style w:type="paragraph" w:customStyle="1" w:styleId="110">
    <w:name w:val="新格式表"/>
    <w:basedOn w:val="1"/>
    <w:qFormat/>
    <w:uiPriority w:val="0"/>
    <w:pPr>
      <w:adjustRightInd w:val="0"/>
      <w:snapToGrid w:val="0"/>
      <w:spacing w:line="0" w:lineRule="atLeast"/>
      <w:jc w:val="center"/>
    </w:pPr>
    <w:rPr>
      <w:color w:val="000000"/>
      <w:kern w:val="0"/>
      <w:szCs w:val="21"/>
    </w:rPr>
  </w:style>
  <w:style w:type="paragraph" w:customStyle="1" w:styleId="111">
    <w:name w:val="0正文中9.8新"/>
    <w:basedOn w:val="1"/>
    <w:qFormat/>
    <w:uiPriority w:val="0"/>
    <w:pPr>
      <w:spacing w:line="360" w:lineRule="auto"/>
      <w:ind w:firstLine="200" w:firstLineChars="200"/>
    </w:pPr>
    <w:rPr>
      <w:rFonts w:ascii="宋体" w:hAnsi="宋体" w:eastAsia="仿宋_GB2312"/>
      <w:sz w:val="24"/>
      <w:szCs w:val="24"/>
    </w:rPr>
  </w:style>
  <w:style w:type="paragraph" w:customStyle="1" w:styleId="112">
    <w:name w:val="1表格"/>
    <w:basedOn w:val="1"/>
    <w:qFormat/>
    <w:uiPriority w:val="0"/>
    <w:pPr>
      <w:snapToGrid w:val="0"/>
      <w:spacing w:line="160" w:lineRule="atLeast"/>
      <w:jc w:val="center"/>
    </w:pPr>
    <w:rPr>
      <w:rFonts w:eastAsia="仿宋_GB2312"/>
    </w:rPr>
  </w:style>
  <w:style w:type="paragraph" w:customStyle="1" w:styleId="113">
    <w:name w:val="二级无标题条"/>
    <w:basedOn w:val="1"/>
    <w:qFormat/>
    <w:uiPriority w:val="0"/>
    <w:rPr>
      <w:szCs w:val="24"/>
    </w:rPr>
  </w:style>
  <w:style w:type="paragraph" w:customStyle="1" w:styleId="114">
    <w:name w:val="正文修改"/>
    <w:basedOn w:val="1"/>
    <w:qFormat/>
    <w:uiPriority w:val="0"/>
    <w:pPr>
      <w:ind w:firstLine="480"/>
    </w:pPr>
    <w:rPr>
      <w:rFonts w:cs="宋体"/>
      <w:sz w:val="24"/>
      <w:szCs w:val="24"/>
    </w:rPr>
  </w:style>
  <w:style w:type="paragraph" w:customStyle="1" w:styleId="115">
    <w:name w:val="7、表格中文字"/>
    <w:basedOn w:val="1"/>
    <w:qFormat/>
    <w:uiPriority w:val="0"/>
    <w:pPr>
      <w:spacing w:line="240" w:lineRule="exact"/>
    </w:pPr>
    <w:rPr>
      <w:rFonts w:ascii="方正书宋简体" w:eastAsia="方正书宋简体"/>
      <w:sz w:val="18"/>
      <w:szCs w:val="18"/>
    </w:rPr>
  </w:style>
  <w:style w:type="paragraph" w:customStyle="1" w:styleId="116">
    <w:name w:val="【表中文字】"/>
    <w:basedOn w:val="1"/>
    <w:semiHidden/>
    <w:qFormat/>
    <w:uiPriority w:val="0"/>
    <w:pPr>
      <w:jc w:val="center"/>
    </w:pPr>
    <w:rPr>
      <w:rFonts w:eastAsia="Times New Roman"/>
    </w:rPr>
  </w:style>
  <w:style w:type="paragraph" w:customStyle="1" w:styleId="117">
    <w:name w:val="表格内"/>
    <w:basedOn w:val="1"/>
    <w:qFormat/>
    <w:uiPriority w:val="99"/>
    <w:pPr>
      <w:widowControl/>
      <w:adjustRightInd w:val="0"/>
      <w:spacing w:line="240" w:lineRule="atLeast"/>
      <w:jc w:val="center"/>
      <w:textAlignment w:val="baseline"/>
    </w:pPr>
    <w:rPr>
      <w:rFonts w:ascii="宋体" w:hAnsi="Calibri"/>
      <w:kern w:val="0"/>
      <w:szCs w:val="20"/>
    </w:rPr>
  </w:style>
  <w:style w:type="paragraph" w:customStyle="1" w:styleId="118">
    <w:name w:val="标准正文"/>
    <w:basedOn w:val="1"/>
    <w:qFormat/>
    <w:uiPriority w:val="0"/>
    <w:pPr>
      <w:spacing w:line="360" w:lineRule="auto"/>
      <w:ind w:firstLine="480" w:firstLineChars="200"/>
    </w:pPr>
    <w:rPr>
      <w:rFonts w:ascii="Calibri" w:hAnsi="宋体" w:cs="Times New Roman"/>
      <w:sz w:val="24"/>
    </w:rPr>
  </w:style>
  <w:style w:type="paragraph" w:customStyle="1" w:styleId="119">
    <w:name w:val="夏氏正文"/>
    <w:basedOn w:val="1"/>
    <w:qFormat/>
    <w:uiPriority w:val="0"/>
    <w:pPr>
      <w:widowControl/>
      <w:adjustRightInd w:val="0"/>
      <w:snapToGrid w:val="0"/>
      <w:spacing w:line="360" w:lineRule="auto"/>
      <w:ind w:firstLine="482"/>
    </w:pPr>
    <w:rPr>
      <w:rFonts w:ascii="Times New Roman" w:hAnsi="Times New Roman" w:cs="Times New Roman"/>
      <w:color w:val="auto"/>
      <w:kern w:val="0"/>
    </w:rPr>
  </w:style>
  <w:style w:type="paragraph" w:customStyle="1" w:styleId="120">
    <w:name w:val="样式 表格 32 + 首行缩进:  2 字符"/>
    <w:basedOn w:val="1"/>
    <w:qFormat/>
    <w:uiPriority w:val="0"/>
    <w:pPr>
      <w:tabs>
        <w:tab w:val="left" w:pos="480"/>
      </w:tabs>
      <w:autoSpaceDE w:val="0"/>
      <w:autoSpaceDN w:val="0"/>
      <w:adjustRightInd w:val="0"/>
      <w:spacing w:line="240" w:lineRule="atLeast"/>
      <w:jc w:val="center"/>
      <w:textAlignment w:val="baseline"/>
    </w:pPr>
    <w:rPr>
      <w:kern w:val="0"/>
      <w:sz w:val="21"/>
      <w:szCs w:val="21"/>
    </w:rPr>
  </w:style>
  <w:style w:type="paragraph" w:customStyle="1" w:styleId="121">
    <w:name w:val="Heading 1"/>
    <w:basedOn w:val="1"/>
    <w:qFormat/>
    <w:uiPriority w:val="0"/>
    <w:pPr>
      <w:spacing w:before="39"/>
      <w:outlineLvl w:val="1"/>
    </w:pPr>
    <w:rPr>
      <w:b/>
      <w:bCs/>
      <w:sz w:val="36"/>
      <w:szCs w:val="36"/>
    </w:rPr>
  </w:style>
  <w:style w:type="character" w:customStyle="1" w:styleId="122">
    <w:name w:val="16"/>
    <w:basedOn w:val="39"/>
    <w:qFormat/>
    <w:uiPriority w:val="0"/>
    <w:rPr>
      <w:rFonts w:hint="eastAsia" w:ascii="宋体" w:hAnsi="宋体" w:eastAsia="宋体"/>
      <w:color w:val="000000"/>
      <w:sz w:val="21"/>
      <w:szCs w:val="21"/>
    </w:rPr>
  </w:style>
  <w:style w:type="paragraph" w:customStyle="1" w:styleId="123">
    <w:name w:val="正文_7"/>
    <w:qFormat/>
    <w:uiPriority w:val="0"/>
    <w:pPr>
      <w:widowControl w:val="0"/>
      <w:jc w:val="both"/>
    </w:pPr>
    <w:rPr>
      <w:rFonts w:ascii="Calibri" w:hAnsi="Calibri" w:eastAsia="楷体_GB2312" w:cs="Arial"/>
      <w:kern w:val="2"/>
      <w:sz w:val="21"/>
      <w:lang w:val="en-US" w:eastAsia="zh-CN" w:bidi="ar-SA"/>
    </w:rPr>
  </w:style>
  <w:style w:type="paragraph" w:customStyle="1" w:styleId="124">
    <w:name w:val="君邦正文"/>
    <w:qFormat/>
    <w:uiPriority w:val="0"/>
    <w:pPr>
      <w:spacing w:after="60" w:line="360" w:lineRule="auto"/>
      <w:ind w:firstLine="480" w:firstLineChars="200"/>
      <w:jc w:val="both"/>
    </w:pPr>
    <w:rPr>
      <w:rFonts w:ascii="Arial" w:hAnsi="Arial" w:eastAsia="楷体_GB2312" w:cs="Arial"/>
      <w:bCs/>
      <w:snapToGrid w:val="0"/>
      <w:sz w:val="24"/>
      <w:szCs w:val="22"/>
      <w:lang w:val="en-US" w:eastAsia="zh-CN" w:bidi="ar-SA"/>
    </w:rPr>
  </w:style>
  <w:style w:type="paragraph" w:customStyle="1" w:styleId="125">
    <w:name w:val="1表格字体"/>
    <w:basedOn w:val="1"/>
    <w:qFormat/>
    <w:uiPriority w:val="0"/>
    <w:pPr>
      <w:adjustRightInd w:val="0"/>
      <w:jc w:val="center"/>
    </w:pPr>
  </w:style>
  <w:style w:type="paragraph" w:customStyle="1" w:styleId="126">
    <w:name w:val="00-表头"/>
    <w:basedOn w:val="127"/>
    <w:next w:val="128"/>
    <w:qFormat/>
    <w:uiPriority w:val="0"/>
    <w:pPr>
      <w:spacing w:line="240" w:lineRule="auto"/>
    </w:pPr>
    <w:rPr>
      <w:rFonts w:ascii="Times New Roman" w:hAnsi="Times New Roman"/>
      <w:sz w:val="21"/>
      <w:szCs w:val="20"/>
    </w:rPr>
  </w:style>
  <w:style w:type="paragraph" w:customStyle="1" w:styleId="127">
    <w:name w:val="表 标题"/>
    <w:basedOn w:val="31"/>
    <w:next w:val="56"/>
    <w:qFormat/>
    <w:uiPriority w:val="0"/>
    <w:pPr>
      <w:spacing w:before="156" w:beforeLines="50"/>
      <w:ind w:left="0" w:leftChars="0" w:firstLine="0" w:firstLineChars="0"/>
      <w:jc w:val="center"/>
    </w:pPr>
    <w:rPr>
      <w:rFonts w:hAnsi="宋体"/>
      <w:b/>
      <w:sz w:val="24"/>
      <w:szCs w:val="20"/>
    </w:rPr>
  </w:style>
  <w:style w:type="paragraph" w:customStyle="1" w:styleId="128">
    <w:name w:val="正文-唐"/>
    <w:basedOn w:val="17"/>
    <w:qFormat/>
    <w:uiPriority w:val="0"/>
    <w:pPr>
      <w:spacing w:line="360" w:lineRule="auto"/>
      <w:ind w:firstLine="600" w:firstLineChars="200"/>
      <w:jc w:val="left"/>
    </w:pPr>
    <w:rPr>
      <w:rFonts w:ascii="Times New Roman" w:hAnsi="Times New Roman"/>
      <w:kern w:val="0"/>
      <w:sz w:val="24"/>
    </w:rPr>
  </w:style>
  <w:style w:type="paragraph" w:customStyle="1" w:styleId="129">
    <w:name w:val="表 图 内容"/>
    <w:basedOn w:val="130"/>
    <w:qFormat/>
    <w:uiPriority w:val="0"/>
    <w:pPr>
      <w:jc w:val="center"/>
    </w:pPr>
    <w:rPr>
      <w:color w:val="000000"/>
      <w:sz w:val="21"/>
    </w:rPr>
  </w:style>
  <w:style w:type="paragraph" w:customStyle="1" w:styleId="130">
    <w:name w:val="正  文"/>
    <w:basedOn w:val="1"/>
    <w:qFormat/>
    <w:uiPriority w:val="0"/>
    <w:pPr>
      <w:spacing w:line="360" w:lineRule="auto"/>
      <w:ind w:firstLine="560" w:firstLineChars="200"/>
    </w:pPr>
    <w:rPr>
      <w:rFonts w:eastAsia="仿宋_GB2312"/>
      <w:sz w:val="28"/>
      <w:szCs w:val="28"/>
    </w:rPr>
  </w:style>
  <w:style w:type="paragraph" w:customStyle="1" w:styleId="131">
    <w:name w:val="正文 小丹"/>
    <w:basedOn w:val="36"/>
    <w:semiHidden/>
    <w:qFormat/>
    <w:uiPriority w:val="0"/>
    <w:pPr>
      <w:adjustRightInd w:val="0"/>
      <w:snapToGrid w:val="0"/>
      <w:spacing w:after="0" w:line="360" w:lineRule="auto"/>
      <w:ind w:firstLine="200" w:firstLineChars="200"/>
      <w:textAlignment w:val="baseline"/>
    </w:pPr>
    <w:rPr>
      <w:rFonts w:ascii="宋体" w:hAnsi="宋体"/>
      <w:color w:val="000000"/>
      <w:spacing w:val="6"/>
      <w:kern w:val="0"/>
      <w:sz w:val="24"/>
    </w:rPr>
  </w:style>
  <w:style w:type="paragraph" w:customStyle="1" w:styleId="132">
    <w:name w:val="表格001"/>
    <w:basedOn w:val="1"/>
    <w:qFormat/>
    <w:uiPriority w:val="0"/>
    <w:pPr>
      <w:jc w:val="center"/>
    </w:pPr>
    <w:rPr>
      <w:szCs w:val="20"/>
    </w:rPr>
  </w:style>
  <w:style w:type="character" w:customStyle="1" w:styleId="133">
    <w:name w:val="font81"/>
    <w:basedOn w:val="39"/>
    <w:qFormat/>
    <w:uiPriority w:val="0"/>
    <w:rPr>
      <w:rFonts w:hint="default" w:ascii="Times New Roman" w:hAnsi="Times New Roman" w:cs="Times New Roman"/>
      <w:b/>
      <w:bCs/>
      <w:color w:val="000000"/>
      <w:sz w:val="21"/>
      <w:szCs w:val="21"/>
      <w:u w:val="none"/>
      <w:vertAlign w:val="subscript"/>
    </w:rPr>
  </w:style>
  <w:style w:type="character" w:customStyle="1" w:styleId="134">
    <w:name w:val="font31"/>
    <w:basedOn w:val="39"/>
    <w:qFormat/>
    <w:uiPriority w:val="0"/>
    <w:rPr>
      <w:rFonts w:hint="eastAsia" w:ascii="宋体" w:hAnsi="宋体" w:eastAsia="宋体" w:cs="宋体"/>
      <w:color w:val="000000"/>
      <w:sz w:val="18"/>
      <w:szCs w:val="18"/>
      <w:u w:val="none"/>
    </w:rPr>
  </w:style>
  <w:style w:type="character" w:customStyle="1" w:styleId="135">
    <w:name w:val="font01"/>
    <w:basedOn w:val="39"/>
    <w:qFormat/>
    <w:uiPriority w:val="0"/>
    <w:rPr>
      <w:rFonts w:hint="default" w:ascii="Times New Roman" w:hAnsi="Times New Roman" w:cs="Times New Roman"/>
      <w:b/>
      <w:bCs/>
      <w:color w:val="000000"/>
      <w:sz w:val="18"/>
      <w:szCs w:val="18"/>
      <w:u w:val="none"/>
    </w:rPr>
  </w:style>
  <w:style w:type="paragraph" w:styleId="136">
    <w:name w:val="Quote"/>
    <w:basedOn w:val="1"/>
    <w:next w:val="1"/>
    <w:qFormat/>
    <w:uiPriority w:val="0"/>
    <w:rPr>
      <w:rFonts w:ascii="Calibri" w:hAnsi="Calibri"/>
      <w:i/>
      <w:kern w:val="0"/>
      <w:lang w:eastAsia="en-US" w:bidi="en-US"/>
    </w:rPr>
  </w:style>
  <w:style w:type="paragraph" w:customStyle="1" w:styleId="137">
    <w:name w:val="表格格式1"/>
    <w:basedOn w:val="1"/>
    <w:qFormat/>
    <w:uiPriority w:val="0"/>
    <w:pPr>
      <w:adjustRightInd w:val="0"/>
      <w:snapToGrid w:val="0"/>
      <w:jc w:val="center"/>
    </w:pPr>
    <w:rPr>
      <w:rFonts w:ascii="宋体" w:hAnsi="宋体" w:eastAsia="宋体" w:cs="Times New Roman"/>
      <w:color w:val="0000FF"/>
      <w:w w:val="9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emf"/><Relationship Id="rId22" Type="http://schemas.openxmlformats.org/officeDocument/2006/relationships/oleObject" Target="embeddings/oleObject5.bin"/><Relationship Id="rId21" Type="http://schemas.openxmlformats.org/officeDocument/2006/relationships/image" Target="media/image4.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3.bin"/><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84</Pages>
  <Words>45054</Words>
  <Characters>50673</Characters>
  <Lines>1</Lines>
  <Paragraphs>1</Paragraphs>
  <TotalTime>21</TotalTime>
  <ScaleCrop>false</ScaleCrop>
  <LinksUpToDate>false</LinksUpToDate>
  <CharactersWithSpaces>50969</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2020-04-02T10:31:00Z</dcterms:created>
  <dc:creator>妮娜</dc:creator>
  <cp:lastModifiedBy>Administrator</cp:lastModifiedBy>
  <cp:lastPrinted>2021-04-03T11:15:00Z</cp:lastPrinted>
  <dcterms:modified xsi:type="dcterms:W3CDTF">2026-06-04T02:32:05Z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D8441A2AF4274F4BAD4CEF7A3240184D</vt:lpwstr>
  </property>
  <property fmtid="{D5CDD505-2E9C-101B-9397-08002B2CF9AE}" pid="4" name="KSOTemplateDocerSaveRecord">
    <vt:lpwstr>eyJoZGlkIjoiMzM0ZWVlZTg1OGVkYTBmZmY5MWM5OTZkZDBmNmNiNzUiLCJ1c2VySWQiOiIyNjc5ODE4MTEifQ==</vt:lpwstr>
  </property>
</Properties>
</file>