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bookmarkStart w:id="9" w:name="_GoBack"/>
      <w:bookmarkEnd w:id="9"/>
    </w:p>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pageBreakBefore w:val="0"/>
        <w:kinsoku/>
        <w:wordWrap/>
        <w:topLinePunct w:val="0"/>
        <w:bidi w:val="0"/>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bidi w:val="0"/>
        <w:rPr>
          <w:rFonts w:hint="default" w:ascii="Times New Roman" w:hAnsi="Times New Roman" w:cs="Times New Roman"/>
          <w:color w:val="auto"/>
          <w:highlight w:val="none"/>
        </w:rPr>
      </w:pPr>
    </w:p>
    <w:p>
      <w:pPr>
        <w:pageBreakBefore w:val="0"/>
        <w:kinsoku/>
        <w:wordWrap/>
        <w:topLinePunct w:val="0"/>
        <w:bidi w:val="0"/>
        <w:adjustRightInd w:val="0"/>
        <w:snapToGrid w:val="0"/>
        <w:jc w:val="center"/>
        <w:rPr>
          <w:rFonts w:hint="default" w:ascii="Times New Roman" w:hAnsi="Times New Roman" w:eastAsia="仿宋" w:cs="Times New Roman"/>
          <w:color w:val="auto"/>
          <w:sz w:val="52"/>
          <w:szCs w:val="52"/>
          <w:highlight w:val="none"/>
        </w:rPr>
      </w:pPr>
    </w:p>
    <w:p>
      <w:pPr>
        <w:pageBreakBefore w:val="0"/>
        <w:kinsoku/>
        <w:wordWrap/>
        <w:topLinePunct w:val="0"/>
        <w:bidi w:val="0"/>
        <w:adjustRightInd w:val="0"/>
        <w:snapToGrid w:val="0"/>
        <w:ind w:firstLine="1040"/>
        <w:rPr>
          <w:rFonts w:hint="default" w:ascii="Times New Roman" w:hAnsi="Times New Roman" w:eastAsia="仿宋" w:cs="Times New Roman"/>
          <w:color w:val="auto"/>
          <w:sz w:val="44"/>
          <w:szCs w:val="44"/>
          <w:highlight w:val="none"/>
        </w:rPr>
      </w:pPr>
    </w:p>
    <w:p>
      <w:pPr>
        <w:pageBreakBefore w:val="0"/>
        <w:kinsoku/>
        <w:wordWrap/>
        <w:topLinePunct w:val="0"/>
        <w:bidi w:val="0"/>
        <w:adjustRightInd w:val="0"/>
        <w:snapToGrid w:val="0"/>
        <w:rPr>
          <w:rFonts w:hint="default" w:ascii="Times New Roman" w:hAnsi="Times New Roman" w:eastAsia="仿宋" w:cs="Times New Roman"/>
          <w:color w:val="auto"/>
          <w:sz w:val="44"/>
          <w:szCs w:val="44"/>
          <w:highlight w:val="none"/>
        </w:rPr>
      </w:pPr>
    </w:p>
    <w:p>
      <w:pPr>
        <w:pStyle w:val="48"/>
        <w:rPr>
          <w:rFonts w:hint="default" w:ascii="Times New Roman" w:hAnsi="Times New Roman" w:eastAsia="仿宋" w:cs="Times New Roman"/>
          <w:color w:val="auto"/>
          <w:sz w:val="44"/>
          <w:szCs w:val="44"/>
          <w:highlight w:val="none"/>
        </w:rPr>
      </w:pPr>
    </w:p>
    <w:p>
      <w:pPr>
        <w:rPr>
          <w:rFonts w:hint="default" w:ascii="Times New Roman" w:hAnsi="Times New Roman" w:cs="Times New Roman"/>
          <w:color w:val="auto"/>
          <w:highlight w:val="none"/>
        </w:rPr>
      </w:pPr>
    </w:p>
    <w:p>
      <w:pPr>
        <w:pageBreakBefore w:val="0"/>
        <w:kinsoku/>
        <w:wordWrap/>
        <w:topLinePunct w:val="0"/>
        <w:bidi w:val="0"/>
        <w:adjustRightInd w:val="0"/>
        <w:snapToGrid w:val="0"/>
        <w:ind w:firstLine="1040"/>
        <w:rPr>
          <w:rFonts w:hint="default" w:ascii="Times New Roman" w:hAnsi="Times New Roman" w:eastAsia="仿宋"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890" w:rightChars="424" w:firstLine="1040" w:firstLineChars="400"/>
        <w:jc w:val="both"/>
        <w:textAlignment w:val="auto"/>
        <w:rPr>
          <w:rFonts w:hint="default" w:ascii="Times New Roman" w:hAnsi="Times New Roman" w:eastAsia="仿宋_GB2312" w:cs="Times New Roman"/>
          <w:color w:val="auto"/>
          <w:sz w:val="30"/>
          <w:szCs w:val="30"/>
          <w:highlight w:val="none"/>
          <w:u w:val="single"/>
          <w:lang w:val="en-US"/>
        </w:rPr>
      </w:pPr>
      <w:r>
        <w:rPr>
          <w:rFonts w:hint="default" w:ascii="Times New Roman" w:hAnsi="Times New Roman" w:eastAsia="仿宋_GB2312" w:cs="Times New Roman"/>
          <w:color w:val="auto"/>
          <w:spacing w:val="-20"/>
          <w:sz w:val="30"/>
          <w:szCs w:val="30"/>
          <w:highlight w:val="none"/>
        </w:rPr>
        <w:t>项目名称：</w:t>
      </w:r>
      <w:r>
        <w:rPr>
          <w:rFonts w:hint="eastAsia" w:eastAsia="仿宋_GB2312" w:cs="Times New Roman"/>
          <w:color w:val="auto"/>
          <w:spacing w:val="-20"/>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lang w:val="en-US" w:eastAsia="zh-CN"/>
        </w:rPr>
        <w:t>彭阳县建筑垃圾资源化利用项目</w:t>
      </w:r>
      <w:r>
        <w:rPr>
          <w:rFonts w:hint="eastAsia" w:eastAsia="仿宋_GB2312" w:cs="Times New Roman"/>
          <w:color w:val="auto"/>
          <w:sz w:val="30"/>
          <w:szCs w:val="30"/>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871" w:rightChars="415" w:firstLine="1040" w:firstLineChars="400"/>
        <w:jc w:val="both"/>
        <w:textAlignment w:val="auto"/>
        <w:rPr>
          <w:rFonts w:hint="default" w:ascii="Times New Roman" w:hAnsi="Times New Roman" w:eastAsia="仿宋_GB2312" w:cs="Times New Roman"/>
          <w:color w:val="auto"/>
          <w:sz w:val="30"/>
          <w:szCs w:val="30"/>
          <w:highlight w:val="none"/>
          <w:u w:val="single"/>
          <w:lang w:val="en-US"/>
        </w:rPr>
      </w:pPr>
      <w:r>
        <w:rPr>
          <w:rFonts w:hint="default" w:ascii="Times New Roman" w:hAnsi="Times New Roman" w:eastAsia="仿宋_GB2312" w:cs="Times New Roman"/>
          <w:color w:val="auto"/>
          <w:spacing w:val="-20"/>
          <w:sz w:val="30"/>
          <w:szCs w:val="30"/>
          <w:highlight w:val="none"/>
        </w:rPr>
        <w:t>建设单位</w:t>
      </w:r>
      <w:r>
        <w:rPr>
          <w:rFonts w:hint="default" w:ascii="Times New Roman" w:hAnsi="Times New Roman" w:eastAsia="仿宋_GB2312" w:cs="Times New Roman"/>
          <w:color w:val="auto"/>
          <w:spacing w:val="-28"/>
          <w:sz w:val="30"/>
          <w:szCs w:val="30"/>
          <w:highlight w:val="none"/>
        </w:rPr>
        <w:t>（盖章）</w:t>
      </w:r>
      <w:r>
        <w:rPr>
          <w:rFonts w:hint="default" w:ascii="Times New Roman" w:hAnsi="Times New Roman" w:eastAsia="仿宋_GB2312" w:cs="Times New Roman"/>
          <w:color w:val="auto"/>
          <w:spacing w:val="-28"/>
          <w:sz w:val="30"/>
          <w:szCs w:val="30"/>
          <w:highlight w:val="none"/>
          <w:lang w:eastAsia="zh-CN"/>
        </w:rPr>
        <w:t>：</w:t>
      </w:r>
      <w:r>
        <w:rPr>
          <w:rFonts w:hint="default" w:ascii="Times New Roman" w:hAnsi="Times New Roman" w:eastAsia="仿宋_GB2312" w:cs="Times New Roman"/>
          <w:color w:val="auto"/>
          <w:sz w:val="30"/>
          <w:szCs w:val="30"/>
          <w:highlight w:val="none"/>
          <w:u w:val="single"/>
          <w:lang w:val="en-US" w:eastAsia="zh-CN"/>
        </w:rPr>
        <w:t>彭阳县城市发展运营有限责任公司</w:t>
      </w:r>
      <w:r>
        <w:rPr>
          <w:rFonts w:hint="default" w:ascii="Times New Roman" w:hAnsi="Times New Roman" w:eastAsia="仿宋_GB2312" w:cs="Times New Roman"/>
          <w:color w:val="auto"/>
          <w:spacing w:val="-20"/>
          <w:sz w:val="30"/>
          <w:szCs w:val="30"/>
          <w:highlight w:val="none"/>
          <w:u w:val="single"/>
          <w:lang w:val="en-US" w:eastAsia="zh-CN"/>
        </w:rPr>
        <w:t xml:space="preserve">   </w:t>
      </w:r>
      <w:r>
        <w:rPr>
          <w:rFonts w:hint="eastAsia" w:eastAsia="仿宋_GB2312" w:cs="Times New Roman"/>
          <w:color w:val="auto"/>
          <w:spacing w:val="-20"/>
          <w:sz w:val="30"/>
          <w:szCs w:val="30"/>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871" w:rightChars="415" w:firstLine="1040" w:firstLineChars="400"/>
        <w:jc w:val="both"/>
        <w:textAlignment w:val="auto"/>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pacing w:val="-20"/>
          <w:sz w:val="30"/>
          <w:szCs w:val="30"/>
          <w:highlight w:val="none"/>
        </w:rPr>
        <w:t>编制日期：</w:t>
      </w:r>
      <w:r>
        <w:rPr>
          <w:rFonts w:hint="default" w:ascii="Times New Roman" w:hAnsi="Times New Roman" w:eastAsia="仿宋_GB2312" w:cs="Times New Roman"/>
          <w:color w:val="auto"/>
          <w:sz w:val="30"/>
          <w:szCs w:val="30"/>
          <w:highlight w:val="none"/>
          <w:u w:val="single"/>
        </w:rPr>
        <w:t xml:space="preserve">      </w:t>
      </w:r>
      <w:r>
        <w:rPr>
          <w:rFonts w:hint="default" w:ascii="Times New Roman" w:hAnsi="Times New Roman" w:eastAsia="仿宋_GB2312" w:cs="Times New Roman"/>
          <w:color w:val="auto"/>
          <w:sz w:val="30"/>
          <w:szCs w:val="30"/>
          <w:highlight w:val="none"/>
          <w:u w:val="single"/>
          <w:lang w:val="en-US" w:eastAsia="zh-CN"/>
        </w:rPr>
        <w:t xml:space="preserve">       202</w:t>
      </w:r>
      <w:r>
        <w:rPr>
          <w:rFonts w:hint="eastAsia" w:eastAsia="仿宋_GB2312" w:cs="Times New Roman"/>
          <w:color w:val="auto"/>
          <w:sz w:val="30"/>
          <w:szCs w:val="30"/>
          <w:highlight w:val="none"/>
          <w:u w:val="single"/>
          <w:lang w:val="en-US" w:eastAsia="zh-CN"/>
        </w:rPr>
        <w:t>6</w:t>
      </w:r>
      <w:r>
        <w:rPr>
          <w:rFonts w:hint="default" w:ascii="Times New Roman" w:hAnsi="Times New Roman" w:eastAsia="仿宋_GB2312" w:cs="Times New Roman"/>
          <w:color w:val="auto"/>
          <w:sz w:val="30"/>
          <w:szCs w:val="30"/>
          <w:highlight w:val="none"/>
          <w:u w:val="single"/>
          <w:lang w:val="en-US" w:eastAsia="zh-CN"/>
        </w:rPr>
        <w:t>年</w:t>
      </w:r>
      <w:r>
        <w:rPr>
          <w:rFonts w:hint="eastAsia" w:eastAsia="仿宋_GB2312" w:cs="Times New Roman"/>
          <w:color w:val="auto"/>
          <w:sz w:val="30"/>
          <w:szCs w:val="30"/>
          <w:highlight w:val="none"/>
          <w:u w:val="single"/>
          <w:lang w:val="en-US" w:eastAsia="zh-CN"/>
        </w:rPr>
        <w:t>3</w:t>
      </w:r>
      <w:r>
        <w:rPr>
          <w:rFonts w:hint="default" w:ascii="Times New Roman" w:hAnsi="Times New Roman" w:eastAsia="仿宋_GB2312" w:cs="Times New Roman"/>
          <w:color w:val="auto"/>
          <w:sz w:val="30"/>
          <w:szCs w:val="30"/>
          <w:highlight w:val="none"/>
          <w:u w:val="single"/>
          <w:lang w:val="en-US" w:eastAsia="zh-CN"/>
        </w:rPr>
        <w:t xml:space="preserve">月               </w:t>
      </w:r>
      <w:r>
        <w:rPr>
          <w:rFonts w:hint="eastAsia" w:eastAsia="仿宋_GB2312" w:cs="Times New Roman"/>
          <w:color w:val="auto"/>
          <w:sz w:val="30"/>
          <w:szCs w:val="30"/>
          <w:highlight w:val="none"/>
          <w:u w:val="single"/>
          <w:lang w:val="en-US" w:eastAsia="zh-CN"/>
        </w:rPr>
        <w:t xml:space="preserve"> </w:t>
      </w: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pStyle w:val="48"/>
        <w:rPr>
          <w:rFonts w:hint="default" w:ascii="Times New Roman" w:hAnsi="Times New Roman" w:eastAsia="仿宋_GB2312" w:cs="Times New Roman"/>
          <w:color w:val="auto"/>
          <w:sz w:val="36"/>
          <w:szCs w:val="36"/>
          <w:highlight w:val="none"/>
        </w:rPr>
      </w:pPr>
    </w:p>
    <w:p>
      <w:pPr>
        <w:rPr>
          <w:rFonts w:hint="default" w:ascii="Times New Roman" w:hAnsi="Times New Roman" w:cs="Times New Roman"/>
          <w:color w:val="auto"/>
          <w:highlight w:val="none"/>
        </w:rPr>
      </w:pPr>
    </w:p>
    <w:p>
      <w:pPr>
        <w:pStyle w:val="48"/>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pStyle w:val="48"/>
        <w:rPr>
          <w:rFonts w:hint="default" w:ascii="Times New Roman" w:hAnsi="Times New Roman" w:cs="Times New Roman"/>
          <w:color w:val="auto"/>
          <w:highlight w:val="none"/>
        </w:rPr>
      </w:pP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pPr>
        <w:pageBreakBefore w:val="0"/>
        <w:kinsoku/>
        <w:wordWrap/>
        <w:topLinePunct w:val="0"/>
        <w:bidi w:val="0"/>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pageBreakBefore w:val="0"/>
        <w:kinsoku/>
        <w:wordWrap/>
        <w:topLinePunct w:val="0"/>
        <w:bidi w:val="0"/>
        <w:adjustRightInd w:val="0"/>
        <w:snapToGrid w:val="0"/>
        <w:spacing w:after="156" w:afterLines="50" w:line="360" w:lineRule="auto"/>
        <w:jc w:val="both"/>
        <w:rPr>
          <w:rFonts w:hint="default" w:ascii="Times New Roman" w:hAnsi="Times New Roman" w:eastAsia="宋体" w:cs="Times New Roman"/>
          <w:b/>
          <w:color w:val="auto"/>
          <w:sz w:val="30"/>
          <w:szCs w:val="30"/>
          <w:highlight w:val="none"/>
          <w:lang w:val="en-US" w:eastAsia="zh-CN"/>
        </w:rPr>
        <w:sectPr>
          <w:headerReference r:id="rId3" w:type="default"/>
          <w:footerReference r:id="rId4" w:type="default"/>
          <w:footerReference r:id="rId5" w:type="even"/>
          <w:pgSz w:w="11906" w:h="16838"/>
          <w:pgMar w:top="1701" w:right="1417" w:bottom="1701" w:left="1417" w:header="851" w:footer="850" w:gutter="0"/>
          <w:pgBorders>
            <w:top w:val="none" w:sz="0" w:space="0"/>
            <w:left w:val="none" w:sz="0" w:space="0"/>
            <w:bottom w:val="none" w:sz="0" w:space="0"/>
            <w:right w:val="none" w:sz="0" w:space="0"/>
          </w:pgBorders>
          <w:pgNumType w:fmt="decimal" w:start="3"/>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一、</w:t>
      </w:r>
      <w:r>
        <w:rPr>
          <w:rFonts w:hint="default" w:ascii="Times New Roman" w:hAnsi="Times New Roman" w:cs="Times New Roman"/>
          <w:color w:val="auto"/>
          <w:highlight w:val="none"/>
        </w:rPr>
        <w:t>建设项目基本情况</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3166"/>
        <w:gridCol w:w="1712"/>
        <w:gridCol w:w="3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建设项目名称</w:t>
            </w:r>
          </w:p>
        </w:tc>
        <w:tc>
          <w:tcPr>
            <w:tcW w:w="8132"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eastAsia="仿宋_GB2312" w:cs="Times New Roman"/>
                <w:b w:val="0"/>
                <w:bCs w:val="0"/>
                <w:color w:val="auto"/>
                <w:sz w:val="24"/>
                <w:szCs w:val="24"/>
                <w:highlight w:val="none"/>
                <w:u w:val="none"/>
                <w:lang w:val="en-US" w:eastAsia="zh-CN"/>
              </w:rPr>
              <w:t>彭阳县建筑垃圾资源化利用项目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项目代码</w:t>
            </w:r>
          </w:p>
        </w:tc>
        <w:tc>
          <w:tcPr>
            <w:tcW w:w="8132"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250</w:t>
            </w:r>
            <w:r>
              <w:rPr>
                <w:rFonts w:hint="eastAsia"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-640</w:t>
            </w:r>
            <w:r>
              <w:rPr>
                <w:rFonts w:hint="eastAsia" w:cs="Times New Roman"/>
                <w:b w:val="0"/>
                <w:bCs w:val="0"/>
                <w:color w:val="auto"/>
                <w:sz w:val="24"/>
                <w:szCs w:val="24"/>
                <w:highlight w:val="none"/>
                <w:lang w:val="en-US" w:eastAsia="zh-CN"/>
              </w:rPr>
              <w:t>425</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16</w:t>
            </w:r>
            <w:r>
              <w:rPr>
                <w:rFonts w:hint="default" w:ascii="Times New Roman" w:hAnsi="Times New Roman" w:cs="Times New Roman"/>
                <w:b w:val="0"/>
                <w:bCs w:val="0"/>
                <w:color w:val="auto"/>
                <w:sz w:val="24"/>
                <w:szCs w:val="24"/>
                <w:highlight w:val="none"/>
                <w:lang w:val="en-US" w:eastAsia="zh-CN"/>
              </w:rPr>
              <w:t>-0</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588959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建设单位联系人</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黄兴</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联系方式</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建设地点</w:t>
            </w:r>
          </w:p>
        </w:tc>
        <w:tc>
          <w:tcPr>
            <w:tcW w:w="8132" w:type="dxa"/>
            <w:gridSpan w:val="3"/>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u w:val="none"/>
                <w:lang w:val="en-US" w:eastAsia="zh-CN"/>
              </w:rPr>
              <w:t>宁夏回族自治区</w:t>
            </w:r>
            <w:r>
              <w:rPr>
                <w:rFonts w:hint="eastAsia" w:eastAsia="仿宋_GB2312" w:cs="Times New Roman"/>
                <w:b w:val="0"/>
                <w:bCs w:val="0"/>
                <w:color w:val="auto"/>
                <w:sz w:val="24"/>
                <w:szCs w:val="24"/>
                <w:highlight w:val="none"/>
                <w:u w:val="none"/>
                <w:lang w:val="en-US" w:eastAsia="zh-CN"/>
              </w:rPr>
              <w:t>固原</w:t>
            </w:r>
            <w:r>
              <w:rPr>
                <w:rFonts w:hint="default" w:ascii="Times New Roman" w:hAnsi="Times New Roman" w:eastAsia="仿宋_GB2312" w:cs="Times New Roman"/>
                <w:b w:val="0"/>
                <w:bCs w:val="0"/>
                <w:color w:val="auto"/>
                <w:sz w:val="24"/>
                <w:szCs w:val="24"/>
                <w:highlight w:val="none"/>
                <w:u w:val="none"/>
                <w:lang w:val="en-US" w:eastAsia="zh-CN"/>
              </w:rPr>
              <w:t>市</w:t>
            </w:r>
            <w:r>
              <w:rPr>
                <w:rFonts w:hint="eastAsia" w:eastAsia="仿宋_GB2312" w:cs="Times New Roman"/>
                <w:b w:val="0"/>
                <w:bCs w:val="0"/>
                <w:color w:val="auto"/>
                <w:sz w:val="24"/>
                <w:szCs w:val="24"/>
                <w:highlight w:val="none"/>
                <w:u w:val="none"/>
                <w:lang w:val="en-US" w:eastAsia="zh-CN"/>
              </w:rPr>
              <w:t>彭阳</w:t>
            </w:r>
            <w:r>
              <w:rPr>
                <w:rFonts w:hint="default" w:ascii="Times New Roman" w:hAnsi="Times New Roman" w:eastAsia="仿宋_GB2312" w:cs="Times New Roman"/>
                <w:b w:val="0"/>
                <w:bCs w:val="0"/>
                <w:color w:val="auto"/>
                <w:sz w:val="24"/>
                <w:szCs w:val="24"/>
                <w:highlight w:val="none"/>
                <w:u w:val="none"/>
                <w:lang w:val="en-US" w:eastAsia="zh-CN"/>
              </w:rPr>
              <w:t>县</w:t>
            </w:r>
            <w:r>
              <w:rPr>
                <w:rFonts w:hint="eastAsia" w:ascii="Times New Roman" w:hAnsi="Times New Roman" w:eastAsia="仿宋_GB2312" w:cs="Times New Roman"/>
                <w:b w:val="0"/>
                <w:bCs w:val="0"/>
                <w:color w:val="auto"/>
                <w:sz w:val="24"/>
                <w:szCs w:val="24"/>
                <w:highlight w:val="none"/>
                <w:u w:val="none"/>
                <w:lang w:val="en-US" w:eastAsia="zh-CN"/>
              </w:rPr>
              <w:t>新集乡与白阳镇交界处，彭沟公路西侧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地理坐标</w:t>
            </w:r>
          </w:p>
        </w:tc>
        <w:tc>
          <w:tcPr>
            <w:tcW w:w="8132" w:type="dxa"/>
            <w:gridSpan w:val="3"/>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bidi="ar-SA"/>
              </w:rPr>
              <w:t>厂址中心坐标：E：106°</w:t>
            </w:r>
            <w:r>
              <w:rPr>
                <w:rFonts w:hint="eastAsia" w:eastAsia="仿宋_GB2312" w:cs="Times New Roman"/>
                <w:b w:val="0"/>
                <w:bCs w:val="0"/>
                <w:color w:val="auto"/>
                <w:kern w:val="2"/>
                <w:sz w:val="24"/>
                <w:szCs w:val="24"/>
                <w:highlight w:val="none"/>
                <w:lang w:val="en-US" w:eastAsia="zh-CN" w:bidi="ar-SA"/>
              </w:rPr>
              <w:t>34</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57</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990</w:t>
            </w:r>
            <w:r>
              <w:rPr>
                <w:rFonts w:hint="default" w:ascii="Times New Roman" w:hAnsi="Times New Roman" w:eastAsia="仿宋_GB2312" w:cs="Times New Roman"/>
                <w:b w:val="0"/>
                <w:bCs w:val="0"/>
                <w:color w:val="auto"/>
                <w:kern w:val="2"/>
                <w:sz w:val="24"/>
                <w:szCs w:val="24"/>
                <w:highlight w:val="none"/>
                <w:lang w:val="en-US" w:eastAsia="zh-CN" w:bidi="ar-SA"/>
              </w:rPr>
              <w:t>"，N：3</w:t>
            </w:r>
            <w:r>
              <w:rPr>
                <w:rFonts w:hint="eastAsia" w:eastAsia="仿宋_GB2312" w:cs="Times New Roman"/>
                <w:b w:val="0"/>
                <w:bCs w:val="0"/>
                <w:color w:val="auto"/>
                <w:kern w:val="2"/>
                <w:sz w:val="24"/>
                <w:szCs w:val="24"/>
                <w:highlight w:val="none"/>
                <w:lang w:val="en-US" w:eastAsia="zh-CN" w:bidi="ar-SA"/>
              </w:rPr>
              <w:t>5</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49</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47.99</w:t>
            </w:r>
            <w:r>
              <w:rPr>
                <w:rFonts w:hint="default" w:ascii="Times New Roman" w:hAnsi="Times New Roman" w:eastAsia="仿宋_GB2312" w:cs="Times New Roman"/>
                <w:b w:val="0"/>
                <w:bCs w:val="0"/>
                <w:color w:val="auto"/>
                <w:kern w:val="2"/>
                <w:sz w:val="24"/>
                <w:szCs w:val="24"/>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国民经济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行业类别</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N7723固体废物治理</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行业类别</w:t>
            </w:r>
          </w:p>
        </w:tc>
        <w:tc>
          <w:tcPr>
            <w:tcW w:w="3254" w:type="dxa"/>
            <w:vAlign w:val="center"/>
          </w:tcPr>
          <w:p>
            <w:pPr>
              <w:keepNext w:val="0"/>
              <w:keepLines w:val="0"/>
              <w:widowControl/>
              <w:suppressLineNumbers w:val="0"/>
              <w:spacing w:before="0" w:beforeAutospacing="0" w:after="0" w:afterAutospacing="0"/>
              <w:ind w:left="0" w:right="0"/>
              <w:jc w:val="left"/>
              <w:rPr>
                <w:rFonts w:hint="eastAsia"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二十七、非金属矿物制造业；55.</w:t>
            </w:r>
            <w:r>
              <w:rPr>
                <w:rFonts w:hint="eastAsia" w:eastAsia="仿宋_GB2312"/>
                <w:color w:val="000000" w:themeColor="text1"/>
                <w:sz w:val="24"/>
                <w:szCs w:val="24"/>
                <w:highlight w:val="none"/>
                <w14:textFill>
                  <w14:solidFill>
                    <w14:schemeClr w14:val="tx1"/>
                  </w14:solidFill>
                </w14:textFill>
              </w:rPr>
              <w:t>石膏、水泥制品及类似制品制造 302</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14:textFill>
                  <w14:solidFill>
                    <w14:schemeClr w14:val="tx1"/>
                  </w14:solidFill>
                </w14:textFill>
              </w:rPr>
              <w:t>商品混凝土；砼结构构件制造；水泥制品制造</w:t>
            </w:r>
          </w:p>
          <w:p>
            <w:pPr>
              <w:keepNext w:val="0"/>
              <w:keepLines w:val="0"/>
              <w:widowControl/>
              <w:suppressLineNumbers w:val="0"/>
              <w:spacing w:before="0" w:beforeAutospacing="0" w:after="0" w:afterAutospacing="0"/>
              <w:ind w:left="0" w:right="0"/>
              <w:jc w:val="left"/>
              <w:rPr>
                <w:rFonts w:hint="eastAsia"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四十七</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生态保护和环境治理业</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103</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一般工业固体废物</w:t>
            </w:r>
          </w:p>
          <w:p>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（含污水处理污泥）、建筑施工废弃物处置及综合利用:其他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建设性质</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新建（迁建）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改建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扩建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技术改造</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申报情形</w:t>
            </w:r>
          </w:p>
        </w:tc>
        <w:tc>
          <w:tcPr>
            <w:tcW w:w="3254" w:type="dxa"/>
            <w:vAlign w:val="center"/>
          </w:tcPr>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首次申报项目</w:t>
            </w:r>
          </w:p>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不予批准后再次申报项目</w:t>
            </w:r>
          </w:p>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超过五年重新审核项目</w:t>
            </w:r>
          </w:p>
          <w:p>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sz w:val="21"/>
                <w:szCs w:val="21"/>
                <w:highlight w:val="none"/>
                <w:lang w:val="en-US" w:eastAsia="zh-CN"/>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项目审批（核准/备案）部门（选填）</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eastAsia="仿宋_GB2312" w:cs="Times New Roman"/>
                <w:b w:val="0"/>
                <w:bCs w:val="0"/>
                <w:color w:val="auto"/>
                <w:sz w:val="24"/>
                <w:szCs w:val="24"/>
                <w:highlight w:val="none"/>
                <w:u w:val="none"/>
                <w:lang w:val="en-US" w:eastAsia="zh-CN"/>
              </w:rPr>
              <w:t>彭阳县</w:t>
            </w:r>
            <w:r>
              <w:rPr>
                <w:rFonts w:hint="default" w:ascii="Times New Roman" w:hAnsi="Times New Roman" w:eastAsia="仿宋_GB2312" w:cs="Times New Roman"/>
                <w:b w:val="0"/>
                <w:bCs w:val="0"/>
                <w:color w:val="auto"/>
                <w:sz w:val="24"/>
                <w:szCs w:val="24"/>
                <w:highlight w:val="none"/>
                <w:u w:val="none"/>
                <w:lang w:val="en-US" w:eastAsia="zh-CN"/>
              </w:rPr>
              <w:t>审批服务管理局</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项目审批（核准/备案）文号（选填）</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总投资（万元）</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3624.39</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环保投资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（万元）</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143.5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环保投资占比（%）</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3.96</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施工工期</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是否开工建设</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是：</w:t>
            </w:r>
            <w:r>
              <w:rPr>
                <w:rFonts w:hint="default" w:ascii="Times New Roman" w:hAnsi="Times New Roman" w:cs="Times New Roman"/>
                <w:b w:val="0"/>
                <w:bCs w:val="0"/>
                <w:color w:val="000000" w:themeColor="text1"/>
                <w:sz w:val="24"/>
                <w:szCs w:val="24"/>
                <w:highlight w:val="none"/>
                <w:u w:val="single"/>
                <w:lang w:val="en-US" w:eastAsia="zh-CN"/>
                <w14:textFill>
                  <w14:solidFill>
                    <w14:schemeClr w14:val="tx1"/>
                  </w14:solidFill>
                </w14:textFill>
              </w:rPr>
              <w:t xml:space="preserve">             </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用地（用海）面积（m</w:t>
            </w:r>
            <w: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31136.57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专项评价设置情况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jc w:val="center"/>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规划环境影响评价情况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olor w:val="000000" w:themeColor="text1"/>
                <w:kern w:val="0"/>
                <w:sz w:val="24"/>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规划及规划环境影响评价符合性分析</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val="0"/>
                <w:color w:val="FF0000"/>
                <w:kern w:val="0"/>
                <w:sz w:val="24"/>
                <w:szCs w:val="24"/>
                <w:highlight w:val="none"/>
                <w:vertAlign w:val="baseline"/>
                <w:lang w:val="en-US" w:eastAsia="zh-CN"/>
              </w:rPr>
            </w:pPr>
            <w:r>
              <w:rPr>
                <w:rFonts w:hint="eastAsia"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restart"/>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contextualSpacing/>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1</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w:t>
            </w:r>
            <w:r>
              <w:rPr>
                <w:rFonts w:hint="eastAsia" w:eastAsia="仿宋_GB2312" w:cs="Times New Roman"/>
                <w:b/>
                <w:bCs/>
                <w:color w:val="000000" w:themeColor="text1"/>
                <w:sz w:val="24"/>
                <w:szCs w:val="24"/>
                <w:highlight w:val="none"/>
                <w:lang w:val="en-US" w:eastAsia="zh-CN"/>
                <w14:textFill>
                  <w14:solidFill>
                    <w14:schemeClr w14:val="tx1"/>
                  </w14:solidFill>
                </w14:textFill>
              </w:rPr>
              <w:t>生态环境分区管控</w:t>
            </w: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符合性分析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contextualSpacing/>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24"/>
                <w:szCs w:val="24"/>
                <w:highlight w:val="none"/>
                <w14:textFill>
                  <w14:solidFill>
                    <w14:schemeClr w14:val="tx1"/>
                  </w14:solidFill>
                </w14:textFill>
              </w:rPr>
              <w:instrText xml:space="preserve"> = 1 \* GB2 \* MERGEFORMAT </w:instrTex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仿宋_GB2312" w:cs="Times New Roman"/>
                <w:color w:val="000000" w:themeColor="text1"/>
                <w:sz w:val="24"/>
                <w:szCs w:val="24"/>
                <w:highlight w:val="none"/>
                <w14:textFill>
                  <w14:solidFill>
                    <w14:schemeClr w14:val="tx1"/>
                  </w14:solidFill>
                </w14:textFill>
              </w:rPr>
              <w:t>⑴</w: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仿宋_GB2312" w:cs="Times New Roman"/>
                <w:color w:val="000000" w:themeColor="text1"/>
                <w:sz w:val="24"/>
                <w:szCs w:val="24"/>
                <w:highlight w:val="none"/>
                <w14:textFill>
                  <w14:solidFill>
                    <w14:schemeClr w14:val="tx1"/>
                  </w14:solidFill>
                </w14:textFill>
              </w:rPr>
              <w:t>生态保护红线与生态</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环境分区管控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市人民政府关于印发</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市生态环境分区管控</w:t>
            </w:r>
            <w:r>
              <w:rPr>
                <w:rFonts w:hint="eastAsia" w:cs="Times New Roman"/>
                <w:color w:val="000000" w:themeColor="text1"/>
                <w:sz w:val="24"/>
                <w:szCs w:val="24"/>
                <w:highlight w:val="none"/>
                <w:lang w:val="en-US" w:eastAsia="zh-CN"/>
                <w14:textFill>
                  <w14:solidFill>
                    <w14:schemeClr w14:val="tx1"/>
                  </w14:solidFill>
                </w14:textFill>
              </w:rPr>
              <w:t>实施方案</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的通知</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政发</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〔202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28</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号）、《</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市人民政府关于实施“三线一单”生态环境分区管控的意见》可知，划定固原市生态空间总面积4285.65平方公里。其中生态保护红线面积为2887.56平方公里；除生态保护红线以外的一般生态空间面积1397.22平方公里。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本项目建设地点位于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新集乡与白阳镇交界处，彭沟公路西侧</w:t>
            </w:r>
            <w:r>
              <w:rPr>
                <w:rFonts w:hint="eastAsia" w:cs="Times New Roman"/>
                <w:b w:val="0"/>
                <w:bCs w:val="0"/>
                <w:color w:val="000000" w:themeColor="text1"/>
                <w:sz w:val="24"/>
                <w:szCs w:val="24"/>
                <w:highlight w:val="none"/>
                <w:u w:val="none"/>
                <w:lang w:val="en-US" w:eastAsia="zh-CN"/>
                <w14:textFill>
                  <w14:solidFill>
                    <w14:schemeClr w14:val="tx1"/>
                  </w14:solidFill>
                </w14:textFill>
              </w:rPr>
              <w:t>，本项目地理位置关系图见</w:t>
            </w:r>
            <w:r>
              <w:rPr>
                <w:rFonts w:hint="eastAsia" w:cs="Times New Roman"/>
                <w:b/>
                <w:bCs/>
                <w:color w:val="000000" w:themeColor="text1"/>
                <w:sz w:val="24"/>
                <w:szCs w:val="24"/>
                <w:highlight w:val="none"/>
                <w:u w:val="none"/>
                <w:lang w:val="en-US" w:eastAsia="zh-CN"/>
                <w14:textFill>
                  <w14:solidFill>
                    <w14:schemeClr w14:val="tx1"/>
                  </w14:solidFill>
                </w14:textFill>
              </w:rPr>
              <w:t>附图1-1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市生态空间分布示意图可知，</w:t>
            </w: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项目不在生态保护红线</w:t>
            </w:r>
            <w:r>
              <w:rPr>
                <w:rFonts w:hint="default" w:ascii="Times New Roman" w:hAnsi="Times New Roman" w:cs="Times New Roman"/>
                <w:color w:val="000000" w:themeColor="text1"/>
                <w:sz w:val="24"/>
                <w:szCs w:val="24"/>
                <w:highlight w:val="none"/>
                <w:lang w:eastAsia="zh-CN"/>
                <w14:textFill>
                  <w14:solidFill>
                    <w14:schemeClr w14:val="tx1"/>
                  </w14:solidFill>
                </w14:textFill>
              </w:rPr>
              <w:t>和一般生态空间</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内。</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与生态</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空间分布示意图</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24"/>
                <w:szCs w:val="24"/>
                <w:highlight w:val="none"/>
                <w14:textFill>
                  <w14:solidFill>
                    <w14:schemeClr w14:val="tx1"/>
                  </w14:solidFill>
                </w14:textFill>
              </w:rPr>
              <w:instrText xml:space="preserve">= 2 \* GB2</w:instrTex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仿宋_GB2312" w:cs="Times New Roman"/>
                <w:color w:val="000000" w:themeColor="text1"/>
                <w:sz w:val="24"/>
                <w:szCs w:val="24"/>
                <w:highlight w:val="none"/>
                <w14:textFill>
                  <w14:solidFill>
                    <w14:schemeClr w14:val="tx1"/>
                  </w14:solidFill>
                </w14:textFill>
              </w:rPr>
              <w:t>⑵</w: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b w:val="0"/>
                <w:bCs w:val="0"/>
                <w:color w:val="000000" w:themeColor="text1"/>
                <w:highlight w:val="none"/>
                <w14:textFill>
                  <w14:solidFill>
                    <w14:schemeClr w14:val="tx1"/>
                  </w14:solidFill>
                </w14:textFill>
              </w:rPr>
              <w:t>环境质量底线</w:t>
            </w:r>
            <w:r>
              <w:rPr>
                <w:rFonts w:hint="default" w:ascii="Times New Roman" w:hAnsi="Times New Roman" w:cs="Times New Roman"/>
                <w:b w:val="0"/>
                <w:bCs w:val="0"/>
                <w:color w:val="000000" w:themeColor="text1"/>
                <w:highlight w:val="none"/>
                <w:lang w:eastAsia="zh-CN"/>
                <w14:textFill>
                  <w14:solidFill>
                    <w14:schemeClr w14:val="tx1"/>
                  </w14:solidFill>
                </w14:textFill>
              </w:rPr>
              <w:t>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val="en-US" w:eastAsia="zh-CN"/>
                <w14:textFill>
                  <w14:solidFill>
                    <w14:schemeClr w14:val="tx1"/>
                  </w14:solidFill>
                </w14:textFill>
              </w:rPr>
              <w:t>①水环境质量底线及分区管控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1）水环境质量底线：根据《</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 xml:space="preserve">》中“表3-1 </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市水环境质量底线目标”，</w:t>
            </w:r>
            <w:r>
              <w:rPr>
                <w:rFonts w:hint="eastAsia" w:cs="Times New Roman"/>
                <w:b w:val="0"/>
                <w:bCs w:val="0"/>
                <w:color w:val="000000" w:themeColor="text1"/>
                <w:highlight w:val="none"/>
                <w:lang w:val="en-US" w:eastAsia="zh-CN"/>
                <w14:textFill>
                  <w14:solidFill>
                    <w14:schemeClr w14:val="tx1"/>
                  </w14:solidFill>
                </w14:textFill>
              </w:rPr>
              <w:t>茹河</w:t>
            </w:r>
            <w:r>
              <w:rPr>
                <w:rFonts w:hint="eastAsia" w:cs="Times New Roman"/>
                <w:color w:val="000000" w:themeColor="text1"/>
                <w:highlight w:val="none"/>
                <w:lang w:val="en-US" w:eastAsia="zh-CN"/>
                <w14:textFill>
                  <w14:solidFill>
                    <w14:schemeClr w14:val="tx1"/>
                  </w14:solidFill>
                </w14:textFill>
              </w:rPr>
              <w:t>沟圈</w:t>
            </w:r>
            <w:r>
              <w:rPr>
                <w:rFonts w:hint="default" w:ascii="Times New Roman" w:hAnsi="Times New Roman" w:cs="Times New Roman"/>
                <w:color w:val="000000" w:themeColor="text1"/>
                <w:highlight w:val="none"/>
                <w:lang w:val="en-US" w:eastAsia="zh-CN"/>
                <w14:textFill>
                  <w14:solidFill>
                    <w14:schemeClr w14:val="tx1"/>
                  </w14:solidFill>
                </w14:textFill>
              </w:rPr>
              <w:t>断面2025年、2035年水质目标均为</w:t>
            </w:r>
            <w:r>
              <w:rPr>
                <w:rFonts w:hint="eastAsia" w:ascii="微软雅黑" w:hAnsi="微软雅黑" w:eastAsia="微软雅黑" w:cs="微软雅黑"/>
                <w:color w:val="000000" w:themeColor="text1"/>
                <w:highlight w:val="none"/>
                <w:lang w:val="en-US" w:eastAsia="zh-CN"/>
                <w14:textFill>
                  <w14:solidFill>
                    <w14:schemeClr w14:val="tx1"/>
                  </w14:solidFill>
                </w14:textFill>
              </w:rPr>
              <w:t>Ⅲ</w:t>
            </w:r>
            <w:r>
              <w:rPr>
                <w:rFonts w:hint="default" w:ascii="Times New Roman" w:hAnsi="Times New Roman" w:cs="Times New Roman"/>
                <w:color w:val="000000" w:themeColor="text1"/>
                <w:highlight w:val="none"/>
                <w:lang w:val="en-US" w:eastAsia="zh-CN"/>
                <w14:textFill>
                  <w14:solidFill>
                    <w14:schemeClr w14:val="tx1"/>
                  </w14:solidFill>
                </w14:textFill>
              </w:rPr>
              <w:t>类标准要求。</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本次评价区域内地表水体为</w:t>
            </w:r>
            <w:r>
              <w:rPr>
                <w:rFonts w:hint="eastAsia" w:cs="Times New Roman"/>
                <w:b w:val="0"/>
                <w:bCs w:val="0"/>
                <w:color w:val="000000" w:themeColor="text1"/>
                <w:highlight w:val="none"/>
                <w:lang w:val="en-US" w:eastAsia="zh-CN"/>
                <w14:textFill>
                  <w14:solidFill>
                    <w14:schemeClr w14:val="tx1"/>
                  </w14:solidFill>
                </w14:textFill>
              </w:rPr>
              <w:t>茹河</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，位于本项目</w:t>
            </w:r>
            <w:r>
              <w:rPr>
                <w:rFonts w:hint="eastAsia" w:cs="Times New Roman"/>
                <w:b w:val="0"/>
                <w:bCs w:val="0"/>
                <w:color w:val="000000" w:themeColor="text1"/>
                <w:highlight w:val="none"/>
                <w:lang w:val="en-US" w:eastAsia="zh-CN"/>
                <w14:textFill>
                  <w14:solidFill>
                    <w14:schemeClr w14:val="tx1"/>
                  </w14:solidFill>
                </w14:textFill>
              </w:rPr>
              <w:t>北</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侧约</w:t>
            </w:r>
            <w:r>
              <w:rPr>
                <w:rFonts w:hint="eastAsia" w:cs="Times New Roman"/>
                <w:b w:val="0"/>
                <w:bCs w:val="0"/>
                <w:color w:val="000000" w:themeColor="text1"/>
                <w:highlight w:val="none"/>
                <w:lang w:val="en-US" w:eastAsia="zh-CN"/>
                <w14:textFill>
                  <w14:solidFill>
                    <w14:schemeClr w14:val="tx1"/>
                  </w14:solidFill>
                </w14:textFill>
              </w:rPr>
              <w:t>3000</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m处，根据《202</w:t>
            </w:r>
            <w:r>
              <w:rPr>
                <w:rFonts w:hint="eastAsia" w:cs="Times New Roman"/>
                <w:b w:val="0"/>
                <w:bCs w:val="0"/>
                <w:color w:val="000000" w:themeColor="text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年宁夏生态环境质量状况》中202</w:t>
            </w:r>
            <w:r>
              <w:rPr>
                <w:rFonts w:hint="eastAsia" w:cs="Times New Roman"/>
                <w:b w:val="0"/>
                <w:bCs w:val="0"/>
                <w:color w:val="000000" w:themeColor="text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年监测评价结论，</w:t>
            </w:r>
            <w:r>
              <w:rPr>
                <w:rFonts w:hint="eastAsia" w:cs="Times New Roman"/>
                <w:b w:val="0"/>
                <w:bCs w:val="0"/>
                <w:color w:val="000000" w:themeColor="text1"/>
                <w:highlight w:val="none"/>
                <w:lang w:val="en-US" w:eastAsia="zh-CN"/>
                <w14:textFill>
                  <w14:solidFill>
                    <w14:schemeClr w14:val="tx1"/>
                  </w14:solidFill>
                </w14:textFill>
              </w:rPr>
              <w:t>茹河</w:t>
            </w:r>
            <w:r>
              <w:rPr>
                <w:rFonts w:hint="eastAsia" w:cs="Times New Roman"/>
                <w:color w:val="000000" w:themeColor="text1"/>
                <w:highlight w:val="none"/>
                <w:lang w:val="en-US" w:eastAsia="zh-CN"/>
                <w14:textFill>
                  <w14:solidFill>
                    <w14:schemeClr w14:val="tx1"/>
                  </w14:solidFill>
                </w14:textFill>
              </w:rPr>
              <w:t>沟圈</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监测断面水质达到《地表水环境质量标准》（GB3838-2002）中的</w:t>
            </w:r>
            <w:r>
              <w:rPr>
                <w:rFonts w:hint="eastAsia" w:ascii="微软雅黑" w:hAnsi="微软雅黑" w:eastAsia="微软雅黑" w:cs="微软雅黑"/>
                <w:b w:val="0"/>
                <w:bCs w:val="0"/>
                <w:color w:val="000000" w:themeColor="text1"/>
                <w:highlight w:val="none"/>
                <w:lang w:val="en-US" w:eastAsia="zh-CN"/>
                <w14:textFill>
                  <w14:solidFill>
                    <w14:schemeClr w14:val="tx1"/>
                  </w14:solidFill>
                </w14:textFill>
              </w:rPr>
              <w:t>Ⅲ</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类标准，符合水环境质量底线要求。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2）分区管控要求：根据</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市水环境分区管控划分，本项目位于水环境一般管控区</w:t>
            </w:r>
            <w:r>
              <w:rPr>
                <w:rFonts w:hint="eastAsia" w:cs="Times New Roman"/>
                <w:color w:val="000000" w:themeColor="text1"/>
                <w:highlight w:val="none"/>
                <w:lang w:val="en-US" w:eastAsia="zh-CN"/>
                <w14:textFill>
                  <w14:solidFill>
                    <w14:schemeClr w14:val="tx1"/>
                  </w14:solidFill>
                </w14:textFill>
              </w:rPr>
              <w:t>。其管控要求为：</w:t>
            </w:r>
            <w:r>
              <w:rPr>
                <w:rFonts w:hint="default" w:ascii="Times New Roman" w:hAnsi="Times New Roman" w:cs="Times New Roman"/>
                <w:color w:val="000000" w:themeColor="text1"/>
                <w:highlight w:val="none"/>
                <w:lang w:val="en-US" w:eastAsia="zh-CN"/>
                <w14:textFill>
                  <w14:solidFill>
                    <w14:schemeClr w14:val="tx1"/>
                  </w14:solidFill>
                </w14:textFill>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与水环境分区管控位置关系见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生产废水</w:t>
            </w:r>
            <w:r>
              <w:rPr>
                <w:rFonts w:hint="eastAsia" w:cs="Times New Roman"/>
                <w:color w:val="000000" w:themeColor="text1"/>
                <w:highlight w:val="none"/>
                <w:lang w:val="en-US" w:eastAsia="zh-CN"/>
                <w14:textFill>
                  <w14:solidFill>
                    <w14:schemeClr w14:val="tx1"/>
                  </w14:solidFill>
                </w14:textFill>
              </w:rPr>
              <w:t>通过</w:t>
            </w:r>
            <w:r>
              <w:rPr>
                <w:rFonts w:hint="default" w:ascii="Times New Roman" w:hAnsi="Times New Roman" w:cs="Times New Roman"/>
                <w:color w:val="000000" w:themeColor="text1"/>
                <w:highlight w:val="none"/>
                <w:lang w:val="en-US" w:eastAsia="zh-CN"/>
                <w14:textFill>
                  <w14:solidFill>
                    <w14:schemeClr w14:val="tx1"/>
                  </w14:solidFill>
                </w14:textFill>
              </w:rPr>
              <w:t>在原料堆场区设置30m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生产废水收集沉淀池，经沉淀后，上清液循环使用，沉淀物和分离分选后的渣土</w:t>
            </w:r>
            <w:r>
              <w:rPr>
                <w:rFonts w:hint="eastAsia"/>
                <w:color w:val="000000" w:themeColor="text1"/>
                <w:highlight w:val="none"/>
                <w14:textFill>
                  <w14:solidFill>
                    <w14:schemeClr w14:val="tx1"/>
                  </w14:solidFill>
                </w14:textFill>
              </w:rPr>
              <w:t>主要用于回填工程，如拆除工程场地平整，垃圾填埋场的封场填埋等</w:t>
            </w:r>
            <w:r>
              <w:rPr>
                <w:rFonts w:hint="default" w:ascii="Times New Roman" w:hAnsi="Times New Roman" w:cs="Times New Roman"/>
                <w:color w:val="000000" w:themeColor="text1"/>
                <w:highlight w:val="none"/>
                <w:lang w:val="en-US" w:eastAsia="zh-CN"/>
                <w14:textFill>
                  <w14:solidFill>
                    <w14:schemeClr w14:val="tx1"/>
                  </w14:solidFill>
                </w14:textFill>
              </w:rPr>
              <w:t>。生活污水系统共设有2座化粪池，管理用房生活污水经管道排至室外20</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化粪池，生产区卫生间污水经管道排至卫生间下方设置的12</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化粪池，由专业人员定期清理外运</w:t>
            </w:r>
            <w:r>
              <w:rPr>
                <w:rFonts w:hint="eastAsia" w:cs="Times New Roman"/>
                <w:color w:val="000000" w:themeColor="text1"/>
                <w:highlight w:val="none"/>
                <w:lang w:val="en-US" w:eastAsia="zh-CN"/>
                <w14:textFill>
                  <w14:solidFill>
                    <w14:schemeClr w14:val="tx1"/>
                  </w14:solidFill>
                </w14:textFill>
              </w:rPr>
              <w:t>至彭阳县第二污水处理厂。</w:t>
            </w:r>
            <w:r>
              <w:rPr>
                <w:rFonts w:hint="default" w:ascii="Times New Roman" w:hAnsi="Times New Roman" w:cs="Times New Roman"/>
                <w:color w:val="000000" w:themeColor="text1"/>
                <w:highlight w:val="none"/>
                <w:lang w:val="en-US" w:eastAsia="zh-CN"/>
                <w14:textFill>
                  <w14:solidFill>
                    <w14:schemeClr w14:val="tx1"/>
                  </w14:solidFill>
                </w14:textFill>
              </w:rPr>
              <w:t>故本项目符合</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市水环境质量底线及分区管控要求。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②大气环境质量底线及分区管控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FF0000"/>
                <w:sz w:val="24"/>
                <w:szCs w:val="24"/>
                <w:highlight w:val="none"/>
                <w:lang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大气环境质量底线：根据</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中“表</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4固原市大气环境质量目标建议值一览表</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截至</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2025年</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固原市</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PM</w:t>
            </w:r>
            <w:r>
              <w:rPr>
                <w:rFonts w:hint="default" w:ascii="Times New Roman" w:hAnsi="Times New Roman" w:eastAsia="仿宋_GB2312" w:cs="Times New Roman"/>
                <w:color w:val="000000" w:themeColor="text1"/>
                <w:sz w:val="24"/>
                <w:szCs w:val="24"/>
                <w:highlight w:val="none"/>
                <w:vertAlign w:val="subscript"/>
                <w:lang w:eastAsia="zh-CN"/>
                <w14:textFill>
                  <w14:solidFill>
                    <w14:schemeClr w14:val="tx1"/>
                  </w14:solidFill>
                </w14:textFill>
              </w:rPr>
              <w:t>2.5</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目标值为</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µ</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g/m</w:t>
            </w:r>
            <w:r>
              <w:rPr>
                <w:rFonts w:hint="default" w:ascii="Times New Roman" w:hAnsi="Times New Roman" w:eastAsia="仿宋_GB2312" w:cs="Times New Roman"/>
                <w:color w:val="000000" w:themeColor="text1"/>
                <w:sz w:val="24"/>
                <w:szCs w:val="24"/>
                <w:highlight w:val="none"/>
                <w:vertAlign w:val="superscript"/>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根据《2024年宁夏生态环境质量状况》</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符合</w:t>
            </w:r>
            <w:r>
              <w:rPr>
                <w:rFonts w:hint="eastAsia"/>
                <w:color w:val="000000" w:themeColor="text1"/>
                <w:highlight w:val="none"/>
                <w14:textFill>
                  <w14:solidFill>
                    <w14:schemeClr w14:val="tx1"/>
                  </w14:solidFill>
                </w14:textFill>
              </w:rPr>
              <w:t>大气环境质量底线</w:t>
            </w:r>
            <w:r>
              <w:rPr>
                <w:rFonts w:hint="eastAsia"/>
                <w:color w:val="000000" w:themeColor="text1"/>
                <w:highlight w:val="none"/>
                <w:lang w:val="en-US" w:eastAsia="zh-CN"/>
                <w14:textFill>
                  <w14:solidFill>
                    <w14:schemeClr w14:val="tx1"/>
                  </w14:solidFill>
                </w14:textFill>
              </w:rPr>
              <w:t>要求</w:t>
            </w:r>
            <w:r>
              <w:rPr>
                <w:rFonts w:hint="eastAsia"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分区管控要求：</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市大气环境分区管控划分，本项目位于</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大气环境</w:t>
            </w: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受体敏感</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重点管控区</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其管控要求为：推进固原市区、四县县城、乡镇所在地和城市周边等重点区域清洁供暖。禁止在高排放非道路移动机械禁止使用区域内使用污染物排放达不到GB36886中规定的Ⅲ类限值标准或排放黑烟等明显可视污染物的非道路移动柴油工程机械。严格落实建筑、拆迁工地“6个100%”防控措施，最大限度减少城市建成区裸露地面，提高城市建成区道路机械化清扫率。严格限制产生和排放有毒有害大气污染物项目，鼓励现有该类项目逐步搬迁退出。禁止焚烧产生有毒有害烟尘和恶臭气体的物质。加强餐饮业燃料烟气及餐饮油烟防治，鼓励餐饮业及居民生活能源使用天然气、液化石油气、生物酒精等洁净能源。加快新能源汽车推广使用，推进新能源汽车有序替换存量燃油公交车。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w:t>
            </w:r>
            <w:r>
              <w:rPr>
                <w:rFonts w:hint="eastAsia" w:cs="Times New Roman"/>
                <w:color w:val="000000" w:themeColor="text1"/>
                <w:sz w:val="24"/>
                <w:szCs w:val="24"/>
                <w:highlight w:val="none"/>
                <w:lang w:val="en-US" w:eastAsia="zh-CN"/>
                <w14:textFill>
                  <w14:solidFill>
                    <w14:schemeClr w14:val="tx1"/>
                  </w14:solidFill>
                </w14:textFill>
              </w:rPr>
              <w:t>大气</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环境分区管控位置关系见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主要利用</w:t>
            </w:r>
            <w:r>
              <w:rPr>
                <w:rFonts w:hint="eastAsia" w:cs="Times New Roman"/>
                <w:color w:val="000000" w:themeColor="text1"/>
                <w:sz w:val="24"/>
                <w:szCs w:val="24"/>
                <w:highlight w:val="none"/>
                <w:lang w:val="en-US" w:eastAsia="zh-CN"/>
                <w14:textFill>
                  <w14:solidFill>
                    <w14:schemeClr w14:val="tx1"/>
                  </w14:solidFill>
                </w14:textFill>
              </w:rPr>
              <w:t>建筑、装饰垃圾原料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生产</w:t>
            </w:r>
            <w:r>
              <w:rPr>
                <w:rFonts w:hint="eastAsia" w:cs="Times New Roman"/>
                <w:color w:val="000000" w:themeColor="text1"/>
                <w:sz w:val="24"/>
                <w:szCs w:val="24"/>
                <w:highlight w:val="none"/>
                <w:lang w:val="en-US" w:eastAsia="zh-CN"/>
                <w14:textFill>
                  <w14:solidFill>
                    <w14:schemeClr w14:val="tx1"/>
                  </w14:solidFill>
                </w14:textFill>
              </w:rPr>
              <w:t>粗细骨料，继而衍生下游</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再生混凝土制品和水泥稳定基再生骨料无机混合料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主要产生的大气污染物为</w:t>
            </w:r>
            <w:r>
              <w:rPr>
                <w:rFonts w:hint="eastAsia" w:cs="Times New Roman"/>
                <w:color w:val="000000" w:themeColor="text1"/>
                <w:sz w:val="24"/>
                <w:szCs w:val="24"/>
                <w:highlight w:val="none"/>
                <w:lang w:val="en-US" w:eastAsia="zh-CN"/>
                <w14:textFill>
                  <w14:solidFill>
                    <w14:schemeClr w14:val="tx1"/>
                  </w14:solidFill>
                </w14:textFill>
              </w:rPr>
              <w:t>粉尘</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不属于</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产生和排放有毒有害大气污染物项目</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建筑垃圾破碎和筛分以及再生骨料的储存、转运等生产区域的粉尘采取集中式布袋除尘</w:t>
            </w:r>
            <w:r>
              <w:rPr>
                <w:rFonts w:hint="eastAsia" w:cs="Times New Roman"/>
                <w:color w:val="000000" w:themeColor="text1"/>
                <w:sz w:val="24"/>
                <w:szCs w:val="24"/>
                <w:highlight w:val="none"/>
                <w:lang w:val="en-US" w:eastAsia="zh-CN"/>
                <w14:textFill>
                  <w14:solidFill>
                    <w14:schemeClr w14:val="tx1"/>
                  </w14:solidFill>
                </w14:textFill>
              </w:rPr>
              <w:t>为主</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、环保雾炮和活性干雾捕捉为辅的降尘方式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，处理后经</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m高的排气筒达标排放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故本项目符合</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大气环境受体敏感重点管控区</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③土壤污染风险防控底线及分区管控</w:t>
            </w:r>
          </w:p>
          <w:p>
            <w:pPr>
              <w:pStyle w:val="64"/>
              <w:keepNext w:val="0"/>
              <w:keepLines w:val="0"/>
              <w:pageBreakBefore w:val="0"/>
              <w:numPr>
                <w:ilvl w:val="0"/>
                <w:numId w:val="3"/>
              </w:numPr>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土壤污染风险防控底线：根据</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中</w:t>
            </w:r>
            <w:r>
              <w:rPr>
                <w:rFonts w:hint="eastAsia" w:cs="Times New Roman"/>
                <w:color w:val="000000" w:themeColor="text1"/>
                <w:sz w:val="24"/>
                <w:szCs w:val="24"/>
                <w:highlight w:val="none"/>
                <w:lang w:val="en-US" w:eastAsia="zh-CN"/>
                <w14:textFill>
                  <w14:solidFill>
                    <w14:schemeClr w14:val="tx1"/>
                  </w14:solidFill>
                </w14:textFill>
              </w:rPr>
              <w:t>土壤环境风险管控底线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，到2025年，</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全市受污染耕地安全利用率保持在100%，重点建设用地安全利用得到有效保障。</w:t>
            </w:r>
          </w:p>
          <w:p>
            <w:pPr>
              <w:pStyle w:val="64"/>
              <w:keepNext w:val="0"/>
              <w:keepLines w:val="0"/>
              <w:pageBreakBefore w:val="0"/>
              <w:numPr>
                <w:ilvl w:val="0"/>
                <w:numId w:val="0"/>
              </w:numPr>
              <w:suppressLineNumbers w:val="0"/>
              <w:kinsoku/>
              <w:wordWrap/>
              <w:topLinePunct w:val="0"/>
              <w:bidi w:val="0"/>
              <w:adjustRightInd w:val="0"/>
              <w:snapToGrid w:val="0"/>
              <w:spacing w:before="0" w:beforeAutospacing="0" w:after="0" w:afterAutospacing="0"/>
              <w:ind w:left="0" w:right="0" w:rightChars="0" w:firstLine="480" w:firstLineChars="200"/>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分区管控要求：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土壤污染风险分区管控划分，本项目位于一般管控区。其管控要求包含：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本项目与土壤污染风险分区管控图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图</w:t>
            </w:r>
            <w:r>
              <w:rPr>
                <w:rFonts w:hint="eastAsia" w:cs="Times New Roman"/>
                <w:b/>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为建筑垃圾资源化利用项目</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不属于有色金属冶炼、焦化等行业企业，故本项目符合</w:t>
            </w:r>
            <w:r>
              <w:rPr>
                <w:rFonts w:hint="eastAsia" w:cs="Times New Roman"/>
                <w:color w:val="000000" w:themeColor="text1"/>
                <w:sz w:val="24"/>
                <w:szCs w:val="24"/>
                <w:highlight w:val="none"/>
                <w:lang w:val="en-US" w:eastAsia="zh-CN"/>
                <w14:textFill>
                  <w14:solidFill>
                    <w14:schemeClr w14:val="tx1"/>
                  </w14:solidFill>
                </w14:textFill>
              </w:rPr>
              <w:t>固原市</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土壤污染风险一般管控区要求。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综上</w:t>
            </w:r>
            <w:r>
              <w:rPr>
                <w:rFonts w:hint="default" w:ascii="Times New Roman" w:hAnsi="Times New Roman" w:cs="Times New Roman"/>
                <w:b/>
                <w:bCs/>
                <w:color w:val="000000" w:themeColor="text1"/>
                <w:highlight w:val="none"/>
                <w:lang w:eastAsia="zh-CN"/>
                <w14:textFill>
                  <w14:solidFill>
                    <w14:schemeClr w14:val="tx1"/>
                  </w14:solidFill>
                </w14:textFill>
              </w:rPr>
              <w:t>分析</w:t>
            </w:r>
            <w:r>
              <w:rPr>
                <w:rFonts w:hint="default" w:ascii="Times New Roman" w:hAnsi="Times New Roman" w:cs="Times New Roman"/>
                <w:b/>
                <w:bCs/>
                <w:color w:val="000000" w:themeColor="text1"/>
                <w:highlight w:val="none"/>
                <w:lang w:val="en-US" w:eastAsia="zh-CN"/>
                <w14:textFill>
                  <w14:solidFill>
                    <w14:schemeClr w14:val="tx1"/>
                  </w14:solidFill>
                </w14:textFill>
              </w:rPr>
              <w:t>，本项目建设符合环境质量底线要求。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⑶</w:t>
            </w:r>
            <w:r>
              <w:rPr>
                <w:rFonts w:hint="default" w:ascii="Times New Roman" w:hAnsi="Times New Roman" w:cs="Times New Roman"/>
                <w:b/>
                <w:bCs/>
                <w:color w:val="000000" w:themeColor="text1"/>
                <w:highlight w:val="none"/>
                <w14:textFill>
                  <w14:solidFill>
                    <w14:schemeClr w14:val="tx1"/>
                  </w14:solidFill>
                </w14:textFill>
              </w:rPr>
              <w:t>资源利用上线</w:t>
            </w:r>
            <w:r>
              <w:rPr>
                <w:rFonts w:hint="default" w:ascii="Times New Roman" w:hAnsi="Times New Roman" w:cs="Times New Roman"/>
                <w:b/>
                <w:bCs/>
                <w:color w:val="000000" w:themeColor="text1"/>
                <w:highlight w:val="none"/>
                <w:lang w:eastAsia="zh-CN"/>
                <w14:textFill>
                  <w14:solidFill>
                    <w14:schemeClr w14:val="tx1"/>
                  </w14:solidFill>
                </w14:textFill>
              </w:rPr>
              <w:t>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①能源（煤炭）资源利用上线及分区管控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位于高污染燃料禁燃区</w:t>
            </w:r>
            <w:r>
              <w:rPr>
                <w:rFonts w:hint="eastAsia"/>
                <w:color w:val="000000" w:themeColor="text1"/>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不消耗煤炭资源</w:t>
            </w:r>
            <w:r>
              <w:rPr>
                <w:rFonts w:hint="default" w:ascii="Times New Roman" w:hAnsi="Times New Roman" w:cs="Times New Roman"/>
                <w:bCs/>
                <w:color w:val="000000" w:themeColor="text1"/>
                <w:sz w:val="24"/>
                <w:szCs w:val="24"/>
                <w:highlight w:val="none"/>
                <w:lang w:val="zh-CN"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不涉及</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14:textFill>
                  <w14:solidFill>
                    <w14:schemeClr w14:val="tx1"/>
                  </w14:solidFill>
                </w14:textFill>
              </w:rPr>
              <w:t>市能源（煤炭）资源利用上线。</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②水资源利用上线及分区管控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cs="Times New Roman"/>
                <w:color w:val="000000" w:themeColor="text1"/>
                <w:highlight w:val="none"/>
                <w:lang w:eastAsia="zh-CN"/>
                <w14:textFill>
                  <w14:solidFill>
                    <w14:schemeClr w14:val="tx1"/>
                  </w14:solidFill>
                </w14:textFill>
              </w:rPr>
              <w:t>，属于水资源</w:t>
            </w:r>
            <w:r>
              <w:rPr>
                <w:rFonts w:hint="default" w:ascii="Times New Roman" w:hAnsi="Times New Roman" w:cs="Times New Roman"/>
                <w:color w:val="000000" w:themeColor="text1"/>
                <w:highlight w:val="none"/>
                <w:lang w:val="en-US" w:eastAsia="zh-CN"/>
                <w14:textFill>
                  <w14:solidFill>
                    <w14:schemeClr w14:val="tx1"/>
                  </w14:solidFill>
                </w14:textFill>
              </w:rPr>
              <w:t>利用上线一般</w:t>
            </w:r>
            <w:r>
              <w:rPr>
                <w:rFonts w:hint="default" w:ascii="Times New Roman" w:hAnsi="Times New Roman" w:cs="Times New Roman"/>
                <w:color w:val="000000" w:themeColor="text1"/>
                <w:highlight w:val="none"/>
                <w:lang w:eastAsia="zh-CN"/>
                <w14:textFill>
                  <w14:solidFill>
                    <w14:schemeClr w14:val="tx1"/>
                  </w14:solidFill>
                </w14:textFill>
              </w:rPr>
              <w:t>管控区</w:t>
            </w:r>
            <w:r>
              <w:rPr>
                <w:rFonts w:hint="default" w:ascii="Times New Roman" w:hAnsi="Times New Roman" w:cs="Times New Roman"/>
                <w:color w:val="000000" w:themeColor="text1"/>
                <w:highlight w:val="none"/>
                <w:lang w:val="en-US" w:eastAsia="zh-CN"/>
                <w14:textFill>
                  <w14:solidFill>
                    <w14:schemeClr w14:val="tx1"/>
                  </w14:solidFill>
                </w14:textFill>
              </w:rPr>
              <w:t>。本项目的生活用水及生产用水等均由引入项目区内的给水管网直接供给，不开采地下水；项目用水主要为</w:t>
            </w:r>
            <w:r>
              <w:rPr>
                <w:rFonts w:hint="eastAsia" w:cs="Times New Roman"/>
                <w:color w:val="000000" w:themeColor="text1"/>
                <w:highlight w:val="none"/>
                <w:lang w:val="en-US" w:eastAsia="zh-CN"/>
                <w14:textFill>
                  <w14:solidFill>
                    <w14:schemeClr w14:val="tx1"/>
                  </w14:solidFill>
                </w14:textFill>
              </w:rPr>
              <w:t>生产</w:t>
            </w:r>
            <w:r>
              <w:rPr>
                <w:rFonts w:hint="default" w:ascii="Times New Roman" w:hAnsi="Times New Roman" w:cs="Times New Roman"/>
                <w:color w:val="000000" w:themeColor="text1"/>
                <w:highlight w:val="none"/>
                <w:lang w:val="en-US" w:eastAsia="zh-CN"/>
                <w14:textFill>
                  <w14:solidFill>
                    <w14:schemeClr w14:val="tx1"/>
                  </w14:solidFill>
                </w14:textFill>
              </w:rPr>
              <w:t>用水、</w:t>
            </w:r>
            <w:r>
              <w:rPr>
                <w:rFonts w:hint="eastAsia" w:cs="Times New Roman"/>
                <w:color w:val="000000" w:themeColor="text1"/>
                <w:highlight w:val="none"/>
                <w:lang w:val="en-US" w:eastAsia="zh-CN"/>
                <w14:textFill>
                  <w14:solidFill>
                    <w14:schemeClr w14:val="tx1"/>
                  </w14:solidFill>
                </w14:textFill>
              </w:rPr>
              <w:t>消防</w:t>
            </w:r>
            <w:r>
              <w:rPr>
                <w:rFonts w:hint="default" w:ascii="Times New Roman" w:hAnsi="Times New Roman" w:cs="Times New Roman"/>
                <w:color w:val="000000" w:themeColor="text1"/>
                <w:highlight w:val="none"/>
                <w:lang w:val="en-US" w:eastAsia="zh-CN"/>
                <w14:textFill>
                  <w14:solidFill>
                    <w14:schemeClr w14:val="tx1"/>
                  </w14:solidFill>
                </w14:textFill>
              </w:rPr>
              <w:t>用水和生活用水，用水量较小，满足地区水资源利用上限要求。故本项目</w:t>
            </w:r>
            <w:r>
              <w:rPr>
                <w:rFonts w:hint="default" w:ascii="Times New Roman" w:hAnsi="Times New Roman" w:cs="Times New Roman"/>
                <w:color w:val="000000" w:themeColor="text1"/>
                <w:highlight w:val="none"/>
                <w14:textFill>
                  <w14:solidFill>
                    <w14:schemeClr w14:val="tx1"/>
                  </w14:solidFill>
                </w14:textFill>
              </w:rPr>
              <w:t>符合水资源利用上线要求。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③土地资源利用上线及分区管控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生态环境保护的角度出发，综合考虑生态保护红线、永久基本农田等保护区域的面积，可开发利用土地资源的存量，以及土地资源的集约利用水平等因素，评价各区县在土地资源开发利用与生态环境保护方面的潜在矛盾程度。将原州区、西吉县、隆德县、泾源县等4个区县确定为土地资源重点管控区。</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属于工业用地，不</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属于</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市土地资源重点管控区。本项目</w:t>
            </w:r>
            <w:r>
              <w:rPr>
                <w:rFonts w:hint="eastAsia" w:cs="Times New Roman"/>
                <w:color w:val="000000" w:themeColor="text1"/>
                <w:sz w:val="24"/>
                <w:szCs w:val="24"/>
                <w:highlight w:val="none"/>
                <w:lang w:val="en-US" w:eastAsia="zh-CN"/>
                <w14:textFill>
                  <w14:solidFill>
                    <w14:schemeClr w14:val="tx1"/>
                  </w14:solidFill>
                </w14:textFill>
              </w:rPr>
              <w:t>已</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于2025年12月16日取得彭阳县人民政府《关于白阳镇周沟村集体建设用地村企联营的批复》（彭政函〔2025〕73号）及《彭阳县建筑垃圾资源化利用项目农村集体建设用地使用权入股合同书》</w:t>
            </w:r>
            <w:r>
              <w:rPr>
                <w:rFonts w:hint="eastAsia" w:cs="Times New Roman"/>
                <w:color w:val="000000" w:themeColor="text1"/>
                <w:sz w:val="24"/>
                <w:szCs w:val="24"/>
                <w:highlight w:val="none"/>
                <w:lang w:val="en-US" w:eastAsia="zh-CN"/>
                <w14:textFill>
                  <w14:solidFill>
                    <w14:schemeClr w14:val="tx1"/>
                  </w14:solidFill>
                </w14:textFill>
              </w:rPr>
              <w:t>，项目总占地面积31136.57平方米（约46.7亩）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。故本项目符合土地资源利用上线及管控要求。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综上分析，本项目符合资源利用上线要求。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⑷环境管控单元与准入清单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pP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①环境管控单元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bCs/>
                <w:color w:val="000000" w:themeColor="text1"/>
                <w:sz w:val="24"/>
                <w:szCs w:val="24"/>
                <w:highlight w:val="none"/>
                <w:lang w:val="en-US" w:eastAsia="zh-CN"/>
                <w14:textFill>
                  <w14:solidFill>
                    <w14:schemeClr w14:val="tx1"/>
                  </w14:solidFill>
                </w14:textFill>
              </w:rPr>
            </w:pPr>
            <w:r>
              <w:rPr>
                <w:rFonts w:hint="eastAsia" w:eastAsia="仿宋_GB2312" w:cs="Times New Roman"/>
                <w:bCs/>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市共划定的环境管控单元包括优先保护单元、重点管控单元以及一般管控单元。对照</w:t>
            </w:r>
            <w:r>
              <w:rPr>
                <w:rFonts w:hint="eastAsia" w:eastAsia="仿宋_GB2312" w:cs="Times New Roman"/>
                <w:bCs/>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市环境管控单元分布图，本项目位于重点管控单元区。本项目与固原市环境管控单元分布位置关系</w:t>
            </w:r>
            <w:r>
              <w:rPr>
                <w:rFonts w:hint="eastAsia" w:eastAsia="仿宋_GB2312" w:cs="Times New Roman"/>
                <w:bCs/>
                <w:color w:val="000000" w:themeColor="text1"/>
                <w:sz w:val="24"/>
                <w:szCs w:val="24"/>
                <w:highlight w:val="none"/>
                <w:lang w:val="en-US" w:eastAsia="zh-CN"/>
                <w14:textFill>
                  <w14:solidFill>
                    <w14:schemeClr w14:val="tx1"/>
                  </w14:solidFill>
                </w14:textFill>
              </w:rPr>
              <w:t>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val="0"/>
                <w:color w:val="000000" w:themeColor="text1"/>
                <w:sz w:val="24"/>
                <w:szCs w:val="24"/>
                <w:highlight w:val="none"/>
                <w:lang w:val="zh-CN" w:eastAsia="zh-CN"/>
                <w14:textFill>
                  <w14:solidFill>
                    <w14:schemeClr w14:val="tx1"/>
                  </w14:solidFill>
                </w14:textFill>
              </w:rPr>
              <w:t>图</w:t>
            </w:r>
            <w:r>
              <w:rPr>
                <w:rFonts w:hint="eastAsia" w:eastAsia="仿宋_GB2312" w:cs="Times New Roman"/>
                <w:b/>
                <w:bCs w:val="0"/>
                <w:color w:val="000000" w:themeColor="text1"/>
                <w:sz w:val="24"/>
                <w:szCs w:val="24"/>
                <w:highlight w:val="none"/>
                <w:lang w:val="en-US" w:eastAsia="zh-CN"/>
                <w14:textFill>
                  <w14:solidFill>
                    <w14:schemeClr w14:val="tx1"/>
                  </w14:solidFill>
                </w14:textFill>
              </w:rPr>
              <w:t>1-6</w:t>
            </w:r>
            <w:r>
              <w:rPr>
                <w:rFonts w:hint="eastAsia" w:eastAsia="仿宋_GB2312"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t>②生态环境准入清单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pPr>
            <w:r>
              <w:rPr>
                <w:rFonts w:hint="eastAsia" w:eastAsia="仿宋_GB2312" w:cs="Times New Roman"/>
                <w:bCs/>
                <w:color w:val="000000" w:themeColor="text1"/>
                <w:sz w:val="24"/>
                <w:szCs w:val="24"/>
                <w:highlight w:val="none"/>
                <w:lang w:val="en-US" w:eastAsia="zh-CN"/>
                <w14:textFill>
                  <w14:solidFill>
                    <w14:schemeClr w14:val="tx1"/>
                  </w14:solidFill>
                </w14:textFill>
              </w:rPr>
              <w:t>本项目与固原市生态环境总体准入清单符合性分析见表1-1。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本项目与</w:t>
            </w:r>
            <w:r>
              <w:rPr>
                <w:rFonts w:hint="eastAsia" w:eastAsia="仿宋_GB2312" w:cs="Times New Roman"/>
                <w:color w:val="000000" w:themeColor="text1"/>
                <w:kern w:val="2"/>
                <w:sz w:val="24"/>
                <w:szCs w:val="24"/>
                <w:highlight w:val="none"/>
                <w:lang w:val="en-US" w:eastAsia="zh-CN" w:bidi="ar-SA"/>
                <w14:textFill>
                  <w14:solidFill>
                    <w14:schemeClr w14:val="tx1"/>
                  </w14:solidFill>
                </w14:textFill>
              </w:rPr>
              <w:t>固原</w:t>
            </w: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市环境管控单元生态环境准入清单的符合性见表1-</w:t>
            </w:r>
            <w:r>
              <w:rPr>
                <w:rFonts w:hint="eastAsia" w:eastAsia="仿宋_GB2312"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bCs/>
                <w:snapToGrid/>
                <w:sz w:val="24"/>
                <w:szCs w:val="24"/>
              </w:rPr>
            </w:pPr>
            <w:r>
              <w:rPr>
                <w:rFonts w:hint="default" w:ascii="Times New Roman" w:hAnsi="Times New Roman" w:cs="Times New Roman" w:eastAsiaTheme="majorEastAsia"/>
                <w:snapToGrid/>
                <w:sz w:val="21"/>
                <w:szCs w:val="21"/>
              </w:rPr>
              <w:t>表</w:t>
            </w:r>
            <w:r>
              <w:rPr>
                <w:rFonts w:hint="eastAsia" w:eastAsia="仿宋_GB2312" w:cs="Times New Roman"/>
                <w:bCs/>
                <w:color w:val="000000" w:themeColor="text1"/>
                <w:sz w:val="21"/>
                <w:szCs w:val="21"/>
                <w:highlight w:val="none"/>
                <w:lang w:val="en-US" w:eastAsia="zh-CN"/>
                <w14:textFill>
                  <w14:solidFill>
                    <w14:schemeClr w14:val="tx1"/>
                  </w14:solidFill>
                </w14:textFill>
              </w:rPr>
              <w:t>1-1</w:t>
            </w:r>
            <w:r>
              <w:rPr>
                <w:rFonts w:hint="eastAsia" w:asciiTheme="majorEastAsia" w:hAnsiTheme="majorEastAsia" w:eastAsiaTheme="majorEastAsia" w:cstheme="majorEastAsia"/>
                <w:snapToGrid/>
                <w:sz w:val="24"/>
                <w:szCs w:val="24"/>
              </w:rPr>
              <w:t xml:space="preserve">  </w:t>
            </w:r>
            <w:r>
              <w:rPr>
                <w:rFonts w:hint="eastAsia" w:asciiTheme="majorEastAsia" w:hAnsiTheme="majorEastAsia" w:eastAsiaTheme="majorEastAsia" w:cstheme="majorEastAsia"/>
                <w:snapToGrid/>
                <w:sz w:val="24"/>
                <w:szCs w:val="24"/>
                <w:lang w:val="en-US" w:eastAsia="zh-CN"/>
              </w:rPr>
              <w:t xml:space="preserve"> </w:t>
            </w:r>
            <w:r>
              <w:rPr>
                <w:rFonts w:hint="eastAsia" w:asciiTheme="majorEastAsia" w:hAnsiTheme="majorEastAsia" w:eastAsiaTheme="majorEastAsia" w:cstheme="majorEastAsia"/>
                <w:b/>
                <w:bCs/>
                <w:snapToGrid/>
                <w:sz w:val="24"/>
                <w:szCs w:val="24"/>
              </w:rPr>
              <w:t>与固原市生态环境总体准入清单符合性分析</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73"/>
              <w:gridCol w:w="855"/>
              <w:gridCol w:w="4029"/>
              <w:gridCol w:w="1775"/>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28" w:type="dxa"/>
                  <w:gridSpan w:val="2"/>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管控维度</w:t>
                  </w:r>
                </w:p>
              </w:tc>
              <w:tc>
                <w:tcPr>
                  <w:tcW w:w="4030"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管控要求</w:t>
                  </w:r>
                </w:p>
              </w:tc>
              <w:tc>
                <w:tcPr>
                  <w:tcW w:w="1775"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本项目情况</w:t>
                  </w: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A1 空间布局约束</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A1.1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禁止开发建设活动的要求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1.严禁产能过剩行业新增产能，各开发区主导产业产值占比达到60%以上，严防发达地区淘汰退出的高污染企业落户固原。</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2.严禁在“五河”临岸1公里范围内新建“两高一资”项目及相关产业园区。</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3.城市建成区一律禁止新建35蒸吨/小时以下燃煤锅炉。</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2.本项目不属于“两高一资”项目。</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A1.2限制开发建设活动的要求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严格控制在优先保护类耕地集中区域新建有色金属冶炼、石油化工、化工、焦化、电镀、制革等行业企业。</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A1.3不符合空</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间布局要求的活动的退出要求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1.在一定过渡期并给予合理补偿的基础上，依法依规关闭或搬迁禁养区内确需关闭或搬迁的畜禽规模养殖场（园区）。</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2.对违反资源环境法律法规、规划，污染环境、破坏生态、乱采滥挖的露天矿山，依法予以关闭。对污染治理不规范的露天矿山，按照“一矿一策”制定整治方案，依法责令停产整治。</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3.对六盘山水源核心区，坚决退出旅游项目，严禁游客进入。</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4.淘汰不符合国家规定的燃煤锅炉，实现市、县（区）城区清洁取暖全覆盖。</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4.本项目不涉及。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A2 污染物排放管控</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A2.1允许排放量要求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1.化学需氧量、氨氮、氮氧化物和挥发性有机物排放总量完成自治区下达任务。</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2.严格重金属排放项目准入，坚持“减量置换”或“等量置换”原则。</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3.在“五河”干流已覆盖集污管网的区域配套建设污水处理设施，确保所有建制镇和中心村污水处理全覆盖。</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4.火电、水泥等重点行业及燃煤锅炉，严格按照大气污染物排放标准及特别排放限值要求执行。</w:t>
                  </w:r>
                </w:p>
                <w:p>
                  <w:pPr>
                    <w:keepNext w:val="0"/>
                    <w:keepLines w:val="0"/>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5.到2025年，全市工业固体废弃物综合利用率达到80%，中水利用率达到85%以上。</w:t>
                  </w:r>
                </w:p>
                <w:p>
                  <w:pPr>
                    <w:keepNext w:val="0"/>
                    <w:keepLines w:val="0"/>
                    <w:suppressLineNumbers w:val="0"/>
                    <w:adjustRightInd w:val="0"/>
                    <w:snapToGrid w:val="0"/>
                    <w:spacing w:before="0" w:beforeAutospacing="0" w:after="0" w:afterAutospacing="0"/>
                    <w:ind w:left="0" w:right="0"/>
                    <w:jc w:val="both"/>
                    <w:rPr>
                      <w:rFonts w:cs="Times New Roman"/>
                      <w:szCs w:val="22"/>
                    </w:rPr>
                  </w:pPr>
                  <w:r>
                    <w:rPr>
                      <w:rFonts w:cs="Times New Roman"/>
                      <w:snapToGrid/>
                      <w:szCs w:val="22"/>
                    </w:rPr>
                    <w:t>6.到2025年，65蒸吨/小时及以上燃煤锅炉(含电力)全面实现超低排放；所有燃气锅炉氮氧化物排放浓度低于50毫克/立方米。</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color w:val="000000" w:themeColor="text1"/>
                      <w:szCs w:val="22"/>
                      <w:highlight w:val="none"/>
                      <w14:textFill>
                        <w14:solidFill>
                          <w14:schemeClr w14:val="tx1"/>
                        </w14:solidFill>
                      </w14:textFill>
                    </w:rPr>
                  </w:pPr>
                  <w:r>
                    <w:rPr>
                      <w:rFonts w:cs="Times New Roman"/>
                      <w:snapToGrid/>
                      <w:szCs w:val="22"/>
                    </w:rPr>
                    <w:t>1.</w:t>
                  </w:r>
                  <w:r>
                    <w:rPr>
                      <w:rFonts w:cs="Times New Roman"/>
                      <w:snapToGrid/>
                      <w:color w:val="000000" w:themeColor="text1"/>
                      <w:szCs w:val="22"/>
                      <w:highlight w:val="none"/>
                      <w14:textFill>
                        <w14:solidFill>
                          <w14:schemeClr w14:val="tx1"/>
                        </w14:solidFill>
                      </w14:textFill>
                    </w:rPr>
                    <w:t>本项目</w:t>
                  </w:r>
                  <w:r>
                    <w:rPr>
                      <w:rFonts w:hint="eastAsia" w:cs="Times New Roman"/>
                      <w:snapToGrid/>
                      <w:color w:val="000000" w:themeColor="text1"/>
                      <w:szCs w:val="22"/>
                      <w:highlight w:val="none"/>
                      <w:lang w:val="en-US" w:eastAsia="zh-CN"/>
                      <w14:textFill>
                        <w14:solidFill>
                          <w14:schemeClr w14:val="tx1"/>
                        </w14:solidFill>
                      </w14:textFill>
                    </w:rPr>
                    <w:t>生产废水沉淀后回用，生活污水经化粪池处理后定期拉运至</w:t>
                  </w:r>
                  <w:r>
                    <w:rPr>
                      <w:rFonts w:hint="eastAsia" w:cs="Times New Roman"/>
                      <w:color w:val="000000" w:themeColor="text1"/>
                      <w:szCs w:val="22"/>
                      <w:highlight w:val="none"/>
                      <w:lang w:val="en-US" w:eastAsia="zh-CN"/>
                      <w14:textFill>
                        <w14:solidFill>
                          <w14:schemeClr w14:val="tx1"/>
                        </w14:solidFill>
                      </w14:textFill>
                    </w:rPr>
                    <w:t>彭阳县第二污水处理厂；大气污染物主要为颗粒物；项目不涉及相应污染物排放总量</w:t>
                  </w:r>
                  <w:r>
                    <w:rPr>
                      <w:rFonts w:cs="Times New Roman"/>
                      <w:snapToGrid/>
                      <w:color w:val="000000" w:themeColor="text1"/>
                      <w:szCs w:val="22"/>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p>
                  <w:pPr>
                    <w:pStyle w:val="13"/>
                    <w:keepNext w:val="0"/>
                    <w:keepLines w:val="0"/>
                    <w:suppressLineNumbers w:val="0"/>
                    <w:adjustRightInd w:val="0"/>
                    <w:snapToGrid w:val="0"/>
                    <w:spacing w:before="0" w:beforeAutospacing="0" w:after="0" w:afterAutospacing="0"/>
                    <w:ind w:left="0" w:right="0" w:firstLine="0" w:firstLineChars="0"/>
                    <w:jc w:val="both"/>
                    <w:rPr>
                      <w:rFonts w:hint="eastAsia" w:eastAsia="宋体" w:cs="Times New Roman"/>
                      <w:snapToGrid/>
                      <w:szCs w:val="22"/>
                      <w:lang w:eastAsia="zh-CN"/>
                    </w:rPr>
                  </w:pPr>
                  <w:r>
                    <w:rPr>
                      <w:rFonts w:cs="Times New Roman"/>
                      <w:snapToGrid/>
                      <w:szCs w:val="22"/>
                    </w:rPr>
                    <w:t>4.本项目不涉及</w:t>
                  </w:r>
                  <w:r>
                    <w:rPr>
                      <w:rFonts w:hint="eastAsia" w:cs="Times New Roman"/>
                      <w:snapToGrid/>
                      <w:szCs w:val="22"/>
                      <w:lang w:eastAsia="zh-CN"/>
                    </w:rPr>
                    <w:t>。</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both"/>
                    <w:textAlignment w:val="auto"/>
                    <w:rPr>
                      <w:rFonts w:hint="default" w:ascii="Times New Roman" w:hAnsi="Times New Roman" w:eastAsia="宋体" w:cs="Times New Roman"/>
                      <w:b w:val="0"/>
                      <w:bCs/>
                      <w:snapToGrid/>
                      <w:kern w:val="2"/>
                      <w:sz w:val="21"/>
                      <w:szCs w:val="20"/>
                      <w:lang w:val="en-US" w:eastAsia="zh-CN" w:bidi="ar-SA"/>
                    </w:rPr>
                  </w:pPr>
                  <w:r>
                    <w:rPr>
                      <w:rFonts w:ascii="Times New Roman" w:hAnsi="Times New Roman" w:eastAsia="宋体" w:cs="Times New Roman"/>
                      <w:b w:val="0"/>
                      <w:bCs/>
                      <w:snapToGrid/>
                      <w:kern w:val="2"/>
                      <w:sz w:val="21"/>
                      <w:szCs w:val="20"/>
                      <w:lang w:val="en-US" w:eastAsia="zh-CN" w:bidi="ar-SA"/>
                    </w:rPr>
                    <w:t>5.本项目</w:t>
                  </w:r>
                  <w:r>
                    <w:rPr>
                      <w:rFonts w:hint="eastAsia" w:ascii="Times New Roman" w:hAnsi="Times New Roman" w:eastAsia="宋体" w:cs="Times New Roman"/>
                      <w:b w:val="0"/>
                      <w:bCs/>
                      <w:snapToGrid/>
                      <w:kern w:val="2"/>
                      <w:sz w:val="21"/>
                      <w:szCs w:val="20"/>
                      <w:lang w:val="en-US" w:eastAsia="zh-CN" w:bidi="ar-SA"/>
                    </w:rPr>
                    <w:t>为建筑垃圾资源化利用项目。</w:t>
                  </w:r>
                </w:p>
                <w:p>
                  <w:pPr>
                    <w:keepNext w:val="0"/>
                    <w:keepLines w:val="0"/>
                    <w:suppressLineNumbers w:val="0"/>
                    <w:adjustRightInd w:val="0"/>
                    <w:snapToGrid w:val="0"/>
                    <w:spacing w:before="0" w:beforeAutospacing="0" w:after="0" w:afterAutospacing="0"/>
                    <w:ind w:left="0" w:right="0"/>
                    <w:jc w:val="both"/>
                    <w:rPr>
                      <w:rFonts w:hint="eastAsia" w:eastAsia="宋体" w:cs="Times New Roman"/>
                      <w:szCs w:val="22"/>
                      <w:lang w:eastAsia="zh-CN"/>
                    </w:rPr>
                  </w:pPr>
                  <w:r>
                    <w:rPr>
                      <w:rFonts w:cs="Times New Roman"/>
                      <w:bCs/>
                      <w:snapToGrid/>
                      <w:szCs w:val="22"/>
                    </w:rPr>
                    <w:t>6.本项目不涉及</w:t>
                  </w:r>
                  <w:r>
                    <w:rPr>
                      <w:rFonts w:hint="eastAsia" w:cs="Times New Roman"/>
                      <w:bCs/>
                      <w:snapToGrid/>
                      <w:szCs w:val="22"/>
                      <w:lang w:eastAsia="zh-CN"/>
                    </w:rPr>
                    <w:t>。</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A2.2</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现有源提标升级改造及淘汰退出</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1.到2025年，65蒸吨/小时及以上燃煤锅炉(含电力)全面实现超低排放；所有燃气锅炉氮氧化物排放浓度低于50毫克/立方米。</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hint="eastAsia" w:cs="Times New Roman"/>
                      <w:snapToGrid/>
                      <w:szCs w:val="22"/>
                      <w:lang w:val="en-US" w:eastAsia="zh-CN"/>
                    </w:rPr>
                    <w:t>2.</w:t>
                  </w:r>
                  <w:r>
                    <w:rPr>
                      <w:rFonts w:cs="Times New Roman"/>
                      <w:snapToGrid/>
                      <w:szCs w:val="22"/>
                    </w:rPr>
                    <w:t>探索畜禽养殖“出户入园”模式，落实“一控两减三利用”，减少化肥和农药使用量；实现畜禽粪便、农作物秸秆、农膜资源化利用，到2025年，农业废弃物综合利用率达到94%以上。</w:t>
                  </w:r>
                </w:p>
              </w:tc>
              <w:tc>
                <w:tcPr>
                  <w:tcW w:w="1775" w:type="dxa"/>
                  <w:tcBorders>
                    <w:tl2br w:val="nil"/>
                    <w:tr2bl w:val="nil"/>
                  </w:tcBorders>
                  <w:vAlign w:val="center"/>
                </w:tcPr>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A3 环境风险</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A3.1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联防联控要求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1.开展医疗、化工、石油开采和汽修等重点行业涉及危险废物排查整治，建立健全环境风险重点管控单位名录，严控危险废物贮存环节环境风险，严禁超期、超量贮存各类危险废物。</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2.以环境风险较高的饮用水水源地保护区、交通干道</w:t>
                  </w:r>
                  <w:r>
                    <w:rPr>
                      <w:rFonts w:ascii="Times New Roman" w:hAnsi="Times New Roman" w:eastAsia="宋体" w:cs="Times New Roman"/>
                      <w:snapToGrid/>
                      <w:szCs w:val="22"/>
                    </w:rPr>
                    <w:t>和集中式污染处理设施等为重点，提高防范环境风险能力，规范化集中式污染处理设施</w:t>
                  </w:r>
                  <w:r>
                    <w:rPr>
                      <w:rFonts w:cs="Times New Roman"/>
                      <w:snapToGrid/>
                      <w:szCs w:val="22"/>
                    </w:rPr>
                    <w:t>日常运行维护，建设应急导流槽、事故调蓄池、应急闸坝等事故排水收集截留设施等预防性设施。</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both"/>
                    <w:textAlignment w:val="auto"/>
                    <w:rPr>
                      <w:rFonts w:cs="Times New Roman"/>
                      <w:b w:val="0"/>
                      <w:snapToGrid/>
                    </w:rPr>
                  </w:pPr>
                  <w:r>
                    <w:rPr>
                      <w:rFonts w:ascii="Times New Roman" w:hAnsi="Times New Roman" w:eastAsia="宋体" w:cs="Times New Roman"/>
                      <w:b w:val="0"/>
                      <w:snapToGrid/>
                      <w:kern w:val="2"/>
                      <w:sz w:val="21"/>
                      <w:szCs w:val="20"/>
                      <w:lang w:val="en-US" w:eastAsia="zh-CN" w:bidi="ar-SA"/>
                    </w:rPr>
                    <w:t>3.健全突发环境事件应急预案体系，推进跨区域、跨流域环境应急联动。</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cs="Times New Roman"/>
                      <w:snapToGrid/>
                      <w:szCs w:val="22"/>
                    </w:rPr>
                  </w:pPr>
                  <w:r>
                    <w:rPr>
                      <w:rFonts w:cs="Times New Roman"/>
                      <w:snapToGrid/>
                      <w:szCs w:val="22"/>
                    </w:rPr>
                    <w:t>1.本项目不涉及。</w:t>
                  </w:r>
                </w:p>
                <w:p>
                  <w:pPr>
                    <w:pStyle w:val="13"/>
                    <w:keepNext w:val="0"/>
                    <w:keepLines w:val="0"/>
                    <w:suppressLineNumbers w:val="0"/>
                    <w:adjustRightInd w:val="0"/>
                    <w:snapToGrid w:val="0"/>
                    <w:spacing w:before="0" w:beforeAutospacing="0" w:after="0" w:afterAutospacing="0" w:line="240" w:lineRule="auto"/>
                    <w:ind w:left="0" w:right="0" w:firstLine="0" w:firstLineChars="0"/>
                    <w:jc w:val="both"/>
                    <w:rPr>
                      <w:rFonts w:cs="Times New Roman"/>
                      <w:snapToGrid/>
                      <w:szCs w:val="22"/>
                    </w:rPr>
                  </w:pPr>
                  <w:r>
                    <w:rPr>
                      <w:rFonts w:cs="Times New Roman"/>
                      <w:snapToGrid/>
                      <w:szCs w:val="22"/>
                    </w:rPr>
                    <w:t>2.本项目不涉及。</w:t>
                  </w:r>
                </w:p>
                <w:p>
                  <w:pPr>
                    <w:pStyle w:val="14"/>
                    <w:keepNext w:val="0"/>
                    <w:keepLines w:val="0"/>
                    <w:suppressLineNumbers w:val="0"/>
                    <w:adjustRightInd w:val="0"/>
                    <w:snapToGrid w:val="0"/>
                    <w:spacing w:beforeAutospacing="0" w:after="0" w:afterAutospacing="0" w:line="240" w:lineRule="auto"/>
                    <w:ind w:left="0" w:right="0"/>
                    <w:jc w:val="both"/>
                    <w:rPr>
                      <w:rFonts w:cs="Times New Roman"/>
                      <w:b w:val="0"/>
                      <w:snapToGrid/>
                    </w:rPr>
                  </w:pPr>
                  <w:r>
                    <w:rPr>
                      <w:rFonts w:ascii="Times New Roman" w:hAnsi="Times New Roman" w:eastAsia="宋体" w:cs="Times New Roman"/>
                      <w:b w:val="0"/>
                      <w:snapToGrid/>
                      <w:kern w:val="2"/>
                      <w:sz w:val="21"/>
                      <w:szCs w:val="20"/>
                      <w:lang w:val="en-US" w:eastAsia="zh-CN" w:bidi="ar-SA"/>
                    </w:rPr>
                    <w:t>3.</w:t>
                  </w:r>
                  <w:r>
                    <w:rPr>
                      <w:rFonts w:hint="eastAsia" w:ascii="Times New Roman" w:hAnsi="Times New Roman" w:eastAsia="宋体" w:cs="Times New Roman"/>
                      <w:b w:val="0"/>
                      <w:snapToGrid/>
                      <w:kern w:val="2"/>
                      <w:sz w:val="21"/>
                      <w:szCs w:val="20"/>
                      <w:lang w:val="en-US" w:eastAsia="zh-CN" w:bidi="ar-SA"/>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A4 资源利用效率要求</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A4.1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水资源利用效率总量及效率要求</w:t>
                  </w:r>
                </w:p>
              </w:tc>
              <w:tc>
                <w:tcPr>
                  <w:tcW w:w="4030" w:type="dxa"/>
                  <w:tcBorders>
                    <w:tl2br w:val="nil"/>
                    <w:tr2bl w:val="nil"/>
                  </w:tcBorders>
                  <w:vAlign w:val="center"/>
                </w:tcPr>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hint="eastAsia" w:ascii="Times New Roman" w:hAnsi="Times New Roman" w:eastAsia="宋体" w:cs="Times New Roman"/>
                      <w:snapToGrid/>
                      <w:szCs w:val="22"/>
                      <w:lang w:val="en-US" w:eastAsia="zh-CN"/>
                    </w:rPr>
                    <w:t>1.</w:t>
                  </w:r>
                  <w:r>
                    <w:rPr>
                      <w:rFonts w:ascii="Times New Roman" w:hAnsi="Times New Roman" w:eastAsia="宋体" w:cs="Times New Roman"/>
                      <w:snapToGrid/>
                      <w:szCs w:val="22"/>
                    </w:rPr>
                    <w:t>实行煤炭消费总量控制，严控高耗煤行业新增项目。</w:t>
                  </w:r>
                </w:p>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2.到2025年，全市单位地区生产总值能耗降低基本目标为13%，激励目标为14%。</w:t>
                  </w:r>
                </w:p>
              </w:tc>
              <w:tc>
                <w:tcPr>
                  <w:tcW w:w="1775" w:type="dxa"/>
                  <w:tcBorders>
                    <w:tl2br w:val="nil"/>
                    <w:tr2bl w:val="nil"/>
                  </w:tcBorders>
                  <w:vAlign w:val="center"/>
                </w:tcPr>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1.本项目不</w:t>
                  </w:r>
                  <w:r>
                    <w:rPr>
                      <w:rFonts w:hint="eastAsia" w:cs="Times New Roman"/>
                      <w:snapToGrid/>
                      <w:szCs w:val="22"/>
                      <w:lang w:eastAsia="zh-CN"/>
                    </w:rPr>
                    <w:t>使用煤炭</w:t>
                  </w:r>
                  <w:r>
                    <w:rPr>
                      <w:rFonts w:ascii="Times New Roman" w:hAnsi="Times New Roman" w:eastAsia="宋体" w:cs="Times New Roman"/>
                      <w:snapToGrid/>
                      <w:szCs w:val="22"/>
                    </w:rPr>
                    <w:t>。</w:t>
                  </w:r>
                </w:p>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2.本项目能耗较低，对全市生产总值能耗影响较小。</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A4.2</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水资源利用总量及效率要求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hint="eastAsia"/>
                      <w:szCs w:val="22"/>
                      <w:lang w:val="en-US" w:eastAsia="zh-CN"/>
                    </w:rPr>
                    <w:t>本</w:t>
                  </w:r>
                  <w:r>
                    <w:rPr>
                      <w:rFonts w:hint="eastAsia"/>
                      <w:szCs w:val="22"/>
                    </w:rPr>
                    <w:t>项目用水量较小，由管网接入，不会影响水资源利用上线。</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w:t>
            </w:r>
            <w:r>
              <w:rPr>
                <w:rFonts w:hint="eastAsia" w:cs="Times New Roman"/>
                <w:color w:val="000000" w:themeColor="text1"/>
                <w:kern w:val="0"/>
                <w:szCs w:val="21"/>
                <w:highlight w:val="none"/>
                <w:lang w:val="en-US" w:eastAsia="zh-CN"/>
                <w14:textFill>
                  <w14:solidFill>
                    <w14:schemeClr w14:val="tx1"/>
                  </w14:solidFill>
                </w14:textFill>
              </w:rPr>
              <w:t>2</w:t>
            </w:r>
            <w:r>
              <w:rPr>
                <w:rFonts w:hint="default" w:ascii="Times New Roman" w:hAnsi="Times New Roman" w:eastAsia="黑体" w:cs="Times New Roman"/>
                <w:b w:val="0"/>
                <w:bCs/>
                <w:color w:val="000000" w:themeColor="text1"/>
                <w:sz w:val="24"/>
                <w:szCs w:val="22"/>
                <w:highlight w:val="none"/>
                <w14:textFill>
                  <w14:solidFill>
                    <w14:schemeClr w14:val="tx1"/>
                  </w14:solidFill>
                </w14:textFill>
              </w:rPr>
              <w:t xml:space="preserve">  </w:t>
            </w:r>
            <w:r>
              <w:rPr>
                <w:rFonts w:hint="eastAsia" w:eastAsia="黑体" w:cs="Times New Roman"/>
                <w:b w:val="0"/>
                <w:bCs/>
                <w:color w:val="000000" w:themeColor="text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项目与</w:t>
            </w:r>
            <w:r>
              <w:rPr>
                <w:rFonts w:hint="eastAsia" w:cs="Times New Roman"/>
                <w:b/>
                <w:bCs w:val="0"/>
                <w:color w:val="000000" w:themeColor="text1"/>
                <w:sz w:val="24"/>
                <w:szCs w:val="22"/>
                <w:highlight w:val="none"/>
                <w:lang w:val="en-US" w:eastAsia="zh-CN"/>
                <w14:textFill>
                  <w14:solidFill>
                    <w14:schemeClr w14:val="tx1"/>
                  </w14:solidFill>
                </w14:textFill>
              </w:rPr>
              <w:t>固原</w:t>
            </w: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市环境管控单元生态环境准入清单</w:t>
            </w:r>
            <w:r>
              <w:rPr>
                <w:rFonts w:hint="default" w:ascii="Times New Roman" w:hAnsi="Times New Roman" w:cs="Times New Roman"/>
                <w:b/>
                <w:bCs w:val="0"/>
                <w:color w:val="000000" w:themeColor="text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z w:val="24"/>
                <w:szCs w:val="22"/>
                <w:highlight w:val="none"/>
                <w14:textFill>
                  <w14:solidFill>
                    <w14:schemeClr w14:val="tx1"/>
                  </w14:solidFill>
                </w14:textFill>
              </w:rPr>
              <w:t>一览表</w:t>
            </w:r>
          </w:p>
          <w:tbl>
            <w:tblPr>
              <w:tblStyle w:val="38"/>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2"/>
              <w:gridCol w:w="1535"/>
              <w:gridCol w:w="3383"/>
              <w:gridCol w:w="26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固原</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市环境管控单元生态环境准入清单</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ZH64042530006</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环境管控单元名称</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彭阳县</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重点</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管控单元</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行政区划</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宁夏回族自治区</w:t>
                  </w:r>
                  <w:r>
                    <w:rPr>
                      <w:rFonts w:hint="eastAsia" w:cs="Times New Roman"/>
                      <w:color w:val="000000" w:themeColor="text1"/>
                      <w:kern w:val="0"/>
                      <w:sz w:val="21"/>
                      <w:szCs w:val="21"/>
                      <w:highlight w:val="none"/>
                      <w:lang w:val="en-US" w:eastAsia="zh-CN" w:bidi="ar"/>
                      <w14:textFill>
                        <w14:solidFill>
                          <w14:schemeClr w14:val="tx1"/>
                        </w14:solidFill>
                      </w14:textFill>
                    </w:rPr>
                    <w:t>固原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市</w:t>
                  </w:r>
                  <w:r>
                    <w:rPr>
                      <w:rFonts w:hint="eastAsia" w:cs="Times New Roman"/>
                      <w:color w:val="000000" w:themeColor="text1"/>
                      <w:kern w:val="0"/>
                      <w:sz w:val="21"/>
                      <w:szCs w:val="21"/>
                      <w:highlight w:val="none"/>
                      <w:lang w:val="en-US" w:eastAsia="zh-CN" w:bidi="ar"/>
                      <w14:textFill>
                        <w14:solidFill>
                          <w14:schemeClr w14:val="tx1"/>
                        </w14:solidFill>
                      </w14:textFill>
                    </w:rPr>
                    <w:t>彭阳</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县</w:t>
                  </w:r>
                  <w:r>
                    <w:rPr>
                      <w:rFonts w:hint="eastAsia" w:cs="Times New Roman"/>
                      <w:color w:val="000000" w:themeColor="text1"/>
                      <w:kern w:val="0"/>
                      <w:sz w:val="21"/>
                      <w:szCs w:val="21"/>
                      <w:highlight w:val="none"/>
                      <w:lang w:val="en-US" w:eastAsia="zh-CN" w:bidi="ar"/>
                      <w14:textFill>
                        <w14:solidFill>
                          <w14:schemeClr w14:val="tx1"/>
                        </w14:solidFill>
                      </w14:textFill>
                    </w:rPr>
                    <w:t>白阳镇</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宁夏回族自治区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固原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市</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彭阳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县</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新集乡与白阳镇交界处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要素属性</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大气环境受体敏感区＋高污染燃料禁燃区</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管控单元分类</w:t>
                  </w:r>
                </w:p>
              </w:tc>
              <w:tc>
                <w:tcPr>
                  <w:tcW w:w="33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重点</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管控单元</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管控要求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空间布局约束</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1.禁止新建涉及大规模排放大气污染物和VOCs排放的工业项目。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2.禁止新建涉及有毒有害大气污染物排放的项目。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3.严格限制新建涉及恶臭污染物、颗粒物无组织排放的项目。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4.依照相关法律法规，除重大项目外原则上禁止占用永久基本农田。</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属于建筑垃圾资源化利用项目，排放的大气污染物为颗粒物粉尘，通过两套“布袋除尘器+15m排气筒”收集有组织废气，并在厂区内设置</w:t>
                  </w:r>
                  <w:r>
                    <w:rPr>
                      <w:rFonts w:hint="eastAsia"/>
                      <w:color w:val="000000" w:themeColor="text1"/>
                      <w:szCs w:val="21"/>
                      <w:highlight w:val="none"/>
                      <w14:textFill>
                        <w14:solidFill>
                          <w14:schemeClr w14:val="tx1"/>
                        </w14:solidFill>
                      </w14:textFill>
                    </w:rPr>
                    <w:t>活性干雾机</w:t>
                  </w:r>
                  <w:r>
                    <w:rPr>
                      <w:rFonts w:hint="eastAsia"/>
                      <w:color w:val="000000" w:themeColor="text1"/>
                      <w:szCs w:val="21"/>
                      <w:highlight w:val="none"/>
                      <w:lang w:val="en-US" w:eastAsia="zh-CN"/>
                      <w14:textFill>
                        <w14:solidFill>
                          <w14:schemeClr w14:val="tx1"/>
                        </w14:solidFill>
                      </w14:textFill>
                    </w:rPr>
                    <w:t>处理无组织废气</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2.本项目不涉及。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属于建筑垃圾资源化利用项目，排放的大气污染物为颗粒物粉尘，通过两套“布袋除尘器+15m排气筒”收集有组织废气，并在厂区内设置</w:t>
                  </w:r>
                  <w:r>
                    <w:rPr>
                      <w:rFonts w:hint="eastAsia"/>
                      <w:color w:val="000000" w:themeColor="text1"/>
                      <w:szCs w:val="21"/>
                      <w:highlight w:val="none"/>
                      <w14:textFill>
                        <w14:solidFill>
                          <w14:schemeClr w14:val="tx1"/>
                        </w14:solidFill>
                      </w14:textFill>
                    </w:rPr>
                    <w:t>活性干雾机</w:t>
                  </w:r>
                  <w:r>
                    <w:rPr>
                      <w:rFonts w:hint="eastAsia"/>
                      <w:color w:val="000000" w:themeColor="text1"/>
                      <w:szCs w:val="21"/>
                      <w:highlight w:val="none"/>
                      <w:lang w:val="en-US" w:eastAsia="zh-CN"/>
                      <w14:textFill>
                        <w14:solidFill>
                          <w14:schemeClr w14:val="tx1"/>
                        </w14:solidFill>
                      </w14:textFill>
                    </w:rPr>
                    <w:t>处理无组织废气</w:t>
                  </w:r>
                </w:p>
                <w:p>
                  <w:pPr>
                    <w:pStyle w:val="28"/>
                    <w:keepNext w:val="0"/>
                    <w:keepLines w:val="0"/>
                    <w:suppressLineNumbers w:val="0"/>
                    <w:spacing w:before="0" w:beforeAutospacing="0" w:after="0" w:afterAutospacing="0"/>
                    <w:ind w:left="0" w:right="0" w:firstLine="210" w:firstLineChars="100"/>
                    <w:rPr>
                      <w:rFonts w:hint="default"/>
                      <w:lang w:val="en-US" w:eastAsia="zh-CN"/>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放管控</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1.改建、扩建水泥、建材等行业项目应实施主要大气污染物等量替代。</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2.新建或改扩建畜禽规模养殖场应依法依规开展环境影响评价，配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套建设粪污处理设施，提高粪污综合利用率。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3.彭阳县供热公司应采取有效措施，减小燃煤、灰渣等物料贮存转运产生的颗粒物排放。（超低排放改造）</w:t>
                  </w:r>
                </w:p>
              </w:tc>
              <w:tc>
                <w:tcPr>
                  <w:tcW w:w="2637" w:type="dxa"/>
                  <w:tcBorders>
                    <w:tl2br w:val="nil"/>
                    <w:tr2bl w:val="nil"/>
                  </w:tcBorders>
                  <w:noWrap w:val="0"/>
                  <w:vAlign w:val="center"/>
                </w:tcPr>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环境风险防范</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彭阳县污水处理厂应配套有效措施，防止因渗漏污染地下水、土壤，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以及因事故造成废水直排污染茹河。</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资源开发效率</w:t>
                  </w:r>
                </w:p>
              </w:tc>
              <w:tc>
                <w:tcPr>
                  <w:tcW w:w="33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禁燃区内禁止使用、销售各种高污染燃料，不得新建、改建、扩建任何燃用高污染燃料的设备。</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属于建筑垃圾资源化利用项目，不涉及</w:t>
                  </w:r>
                  <w:r>
                    <w:rPr>
                      <w:rFonts w:hint="eastAsia"/>
                      <w:color w:val="000000" w:themeColor="text1"/>
                      <w:szCs w:val="21"/>
                      <w:highlight w:val="none"/>
                      <w14:textFill>
                        <w14:solidFill>
                          <w14:schemeClr w14:val="tx1"/>
                        </w14:solidFill>
                      </w14:textFill>
                    </w:rPr>
                    <w:t>任何燃用高污染燃料的设备</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contextualSpacing/>
              <w:textAlignment w:val="auto"/>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综上所述，</w:t>
            </w:r>
            <w:bookmarkStart w:id="1" w:name="OLE_LINK37"/>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本项目的建设符合</w:t>
            </w:r>
            <w:r>
              <w:rPr>
                <w:rFonts w:hint="eastAsia" w:eastAsia="仿宋_GB2312" w:cs="Times New Roman"/>
                <w:b/>
                <w:bCs/>
                <w:color w:val="000000" w:themeColor="text1"/>
                <w:kern w:val="0"/>
                <w:sz w:val="24"/>
                <w:szCs w:val="24"/>
                <w:highlight w:val="none"/>
                <w:lang w:val="en-US" w:eastAsia="zh-CN" w:bidi="ar-SA"/>
                <w14:textFill>
                  <w14:solidFill>
                    <w14:schemeClr w14:val="tx1"/>
                  </w14:solidFill>
                </w14:textFill>
              </w:rPr>
              <w:t>固原</w:t>
            </w:r>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市“三线一清单”及其分区管控相关要求。</w:t>
            </w:r>
            <w:bookmarkEnd w:id="1"/>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contextualSpacing/>
              <w:textAlignment w:val="auto"/>
              <w:rPr>
                <w:rFonts w:hint="default" w:eastAsia="仿宋_GB2312"/>
                <w:b/>
                <w:bCs/>
                <w:color w:val="000000" w:themeColor="text1"/>
                <w:sz w:val="24"/>
                <w:szCs w:val="24"/>
                <w:highlight w:val="none"/>
                <w:shd w:val="clear" w:color="auto" w:fill="auto"/>
                <w14:textFill>
                  <w14:solidFill>
                    <w14:schemeClr w14:val="tx1"/>
                  </w14:solidFill>
                </w14:textFill>
              </w:rPr>
            </w:pPr>
            <w:r>
              <w:rPr>
                <w:rFonts w:hint="eastAsia" w:eastAsia="仿宋_GB2312"/>
                <w:b/>
                <w:bCs/>
                <w:color w:val="000000" w:themeColor="text1"/>
                <w:sz w:val="24"/>
                <w:szCs w:val="24"/>
                <w:highlight w:val="none"/>
                <w:shd w:val="clear" w:color="auto" w:fill="auto"/>
                <w:lang w:val="en-US" w:eastAsia="zh-CN"/>
                <w14:textFill>
                  <w14:solidFill>
                    <w14:schemeClr w14:val="tx1"/>
                  </w14:solidFill>
                </w14:textFill>
              </w:rPr>
              <w:t>2.</w:t>
            </w:r>
            <w:r>
              <w:rPr>
                <w:rFonts w:hint="default" w:eastAsia="仿宋_GB2312"/>
                <w:b/>
                <w:bCs/>
                <w:color w:val="000000" w:themeColor="text1"/>
                <w:sz w:val="24"/>
                <w:szCs w:val="24"/>
                <w:highlight w:val="none"/>
                <w:shd w:val="clear" w:color="auto" w:fill="auto"/>
                <w14:textFill>
                  <w14:solidFill>
                    <w14:schemeClr w14:val="tx1"/>
                  </w14:solidFill>
                </w14:textFill>
              </w:rPr>
              <w:t>与《国务院办公厅转发住房城乡建设部&lt;关于进一步加强城市建筑垃圾治理的意见&gt;的通知》（国办函〔2025〕57号）的符合性分析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szCs w:val="22"/>
                <w:lang w:val="en-US" w:eastAsia="zh-CN"/>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w:t>
            </w:r>
            <w:r>
              <w:rPr>
                <w:rFonts w:hint="default" w:eastAsia="仿宋_GB2312"/>
                <w:color w:val="000000" w:themeColor="text1"/>
                <w:sz w:val="24"/>
                <w:szCs w:val="24"/>
                <w:highlight w:val="none"/>
                <w:shd w:val="clear" w:color="auto" w:fill="auto"/>
                <w14:textFill>
                  <w14:solidFill>
                    <w14:schemeClr w14:val="tx1"/>
                  </w14:solidFill>
                </w14:textFill>
              </w:rPr>
              <w:t>《国务院办公厅转发住房城乡建设部&lt;关于进一步加强城市建筑垃圾治理的意见&gt;的通知》（国办函〔2025〕57号）</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1-3</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w:t>
            </w:r>
            <w:r>
              <w:rPr>
                <w:rFonts w:hint="default"/>
                <w:b/>
                <w:color w:val="000000" w:themeColor="text1"/>
                <w:spacing w:val="-11"/>
                <w:sz w:val="24"/>
                <w:szCs w:val="22"/>
                <w:highlight w:val="none"/>
                <w14:textFill>
                  <w14:solidFill>
                    <w14:schemeClr w14:val="tx1"/>
                  </w14:solidFill>
                </w14:textFill>
              </w:rPr>
              <w:t>《国务院办公厅转发住房城乡建设部&lt;关于进一步加强城市建筑垃圾治理的意见&gt;的通知》（国办函〔2025〕57号）</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国务院办公厅转发住房城乡建设部&lt;关于进一步加强城市建筑垃圾治理的意见&gt;的通知》（国办函〔2025〕57号）</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eastAsia"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b/>
                      <w:bCs/>
                      <w:color w:val="000000" w:themeColor="text1"/>
                      <w:szCs w:val="21"/>
                      <w:highlight w:val="none"/>
                      <w:shd w:val="clear" w:color="auto" w:fill="auto"/>
                      <w14:textFill>
                        <w14:solidFill>
                          <w14:schemeClr w14:val="tx1"/>
                        </w14:solidFill>
                      </w14:textFill>
                    </w:rPr>
                    <w:t>二、加强建筑垃圾源头管理</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eastAsia"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b/>
                      <w:bCs/>
                      <w:color w:val="000000" w:themeColor="text1"/>
                      <w:szCs w:val="21"/>
                      <w:highlight w:val="none"/>
                      <w:shd w:val="clear" w:color="auto" w:fill="auto"/>
                      <w14:textFill>
                        <w14:solidFill>
                          <w14:schemeClr w14:val="tx1"/>
                        </w14:solidFill>
                      </w14:textFill>
                    </w:rPr>
                    <w:t>二）实行分类处理。</w:t>
                  </w:r>
                  <w:r>
                    <w:rPr>
                      <w:rFonts w:hint="eastAsia"/>
                      <w:b w:val="0"/>
                      <w:bCs w:val="0"/>
                      <w:color w:val="000000" w:themeColor="text1"/>
                      <w:szCs w:val="21"/>
                      <w:highlight w:val="none"/>
                      <w:shd w:val="clear" w:color="auto" w:fill="auto"/>
                      <w14:textFill>
                        <w14:solidFill>
                          <w14:schemeClr w14:val="tx1"/>
                        </w14:solidFill>
                      </w14:textFill>
                    </w:rPr>
                    <w:t>各地要依照《建筑垃圾处理技术标准》，将建筑垃圾分为工程渣土、工程泥浆、工程垃圾、拆除垃圾、装修垃圾，实行分类处理，因地制宜明确处理方式。严禁将建筑垃圾直接与生活垃圾混合处理。原则上，工程渣土和干化处理后的工程泥浆可用于土方平衡、场地平整、道路建设、环境治理或烧结制品等；工程垃圾、拆除垃圾、装修垃圾应优先用于生产再生骨料、再生建材、道路材料等；无法利用的，应进行无害化处置，保障处置安全，防止污染环境。</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olor w:val="000000" w:themeColor="text1"/>
                      <w:szCs w:val="21"/>
                      <w:highlight w:val="none"/>
                      <w14:textFill>
                        <w14:solidFill>
                          <w14:schemeClr w14:val="tx1"/>
                        </w14:solidFill>
                      </w14:textFill>
                    </w:rPr>
                    <w:t>建筑、装修垃圾</w:t>
                  </w:r>
                  <w:r>
                    <w:rPr>
                      <w:rFonts w:hint="eastAsia"/>
                      <w:color w:val="000000" w:themeColor="text1"/>
                      <w:szCs w:val="21"/>
                      <w:highlight w:val="none"/>
                      <w:lang w:val="en-US" w:eastAsia="zh-CN"/>
                      <w14:textFill>
                        <w14:solidFill>
                          <w14:schemeClr w14:val="tx1"/>
                        </w14:solidFill>
                      </w14:textFill>
                    </w:rPr>
                    <w:t>经处理后产生的不同级别骨料用于</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再生混凝土制品</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和水稳料生产，产生的渣土</w:t>
                  </w:r>
                  <w:r>
                    <w:rPr>
                      <w:rFonts w:hint="eastAsia" w:ascii="Times New Roman" w:hAnsi="Times New Roman" w:eastAsia="宋体" w:cs="Times New Roman"/>
                      <w:color w:val="000000"/>
                      <w:szCs w:val="22"/>
                    </w:rPr>
                    <w:t>统一收集到渣土仓内，主要用于回填工程，如拆除工程场地平整，垃圾填埋场的封场填埋等</w:t>
                  </w:r>
                  <w:r>
                    <w:rPr>
                      <w:rFonts w:hint="eastAsia" w:ascii="Times New Roman" w:hAnsi="Times New Roman" w:eastAsia="宋体" w:cs="Times New Roman"/>
                      <w:color w:val="000000"/>
                      <w:szCs w:val="22"/>
                      <w:lang w:eastAsia="zh-CN"/>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三</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b/>
                      <w:bCs/>
                      <w:color w:val="000000" w:themeColor="text1"/>
                      <w:szCs w:val="21"/>
                      <w:highlight w:val="none"/>
                      <w:shd w:val="clear" w:color="auto" w:fill="auto"/>
                      <w14:textFill>
                        <w14:solidFill>
                          <w14:schemeClr w14:val="tx1"/>
                        </w14:solidFill>
                      </w14:textFill>
                    </w:rPr>
                    <w:t>强化建筑垃圾运输监管</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（五）明确技术要求。</w:t>
                  </w:r>
                  <w:r>
                    <w:rPr>
                      <w:rFonts w:hint="default"/>
                      <w:b w:val="0"/>
                      <w:bCs w:val="0"/>
                      <w:color w:val="000000" w:themeColor="text1"/>
                      <w:szCs w:val="21"/>
                      <w:highlight w:val="none"/>
                      <w:shd w:val="clear" w:color="auto" w:fill="auto"/>
                      <w14:textFill>
                        <w14:solidFill>
                          <w14:schemeClr w14:val="tx1"/>
                        </w14:solidFill>
                      </w14:textFill>
                    </w:rPr>
                    <w:t>各地要制定完善建筑垃圾运输车辆、船舶相关技术要求，明确外观规格、标志标识、密闭装置、北斗卫星定位、安全配置、装卸记录、数据传输等要求，鼓励使用新能源车辆、船舶运输建筑垃圾。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default"/>
                      <w:color w:val="000000" w:themeColor="text1"/>
                      <w:szCs w:val="21"/>
                      <w:highlight w:val="none"/>
                      <w14:textFill>
                        <w14:solidFill>
                          <w14:schemeClr w14:val="tx1"/>
                        </w14:solidFill>
                      </w14:textFill>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eastAsia"/>
                      <w:color w:val="000000" w:themeColor="text1"/>
                      <w:szCs w:val="21"/>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四、规范建筑垃圾处置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eastAsia"/>
                      <w:b/>
                      <w:bCs/>
                      <w:color w:val="000000" w:themeColor="text1"/>
                      <w:szCs w:val="21"/>
                      <w:highlight w:val="none"/>
                      <w:shd w:val="clear" w:color="auto" w:fill="auto"/>
                      <w14:textFill>
                        <w14:solidFill>
                          <w14:schemeClr w14:val="tx1"/>
                        </w14:solidFill>
                      </w14:textFill>
                    </w:rPr>
                    <w:t>（八）加强规划选址。</w:t>
                  </w:r>
                  <w:r>
                    <w:rPr>
                      <w:rFonts w:hint="eastAsia"/>
                      <w:b w:val="0"/>
                      <w:bCs w:val="0"/>
                      <w:color w:val="000000" w:themeColor="text1"/>
                      <w:szCs w:val="21"/>
                      <w:highlight w:val="none"/>
                      <w:shd w:val="clear" w:color="auto" w:fill="auto"/>
                      <w14:textFill>
                        <w14:solidFill>
                          <w14:schemeClr w14:val="tx1"/>
                        </w14:solidFill>
                      </w14:textFill>
                    </w:rPr>
                    <w:t>各地在编制城市国土空间规划及相关专项规划时，要统筹考虑本行政区域内建筑垃圾产生量、源头分布及建筑垃圾处理设施用地需求，科学规划建筑垃圾处理设施建设规模、选址布局、建设时序等，根据需要落实建筑垃圾处理设施用地，确定建筑垃圾利用、处置固定去处。各地要充分考虑运输成本、经济效益和生态效益，在严守耕地和永久基本农田保护红线等三条控制线基础上，合理规划建设长期的建筑垃圾填埋场，并研究就近配套建设资源化利用设施，及时处理建筑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r>
                    <w:rPr>
                      <w:rFonts w:hint="default"/>
                      <w:color w:val="auto"/>
                      <w:szCs w:val="21"/>
                      <w:highlight w:val="none"/>
                    </w:rPr>
                    <w:t>本项目位于宁夏固原市彭阳县新集乡与白阳镇交界处，彭沟公路西侧，距彭阳县城4公里。项目周围市政道路交错，交通便利，有较好建设实施条件，且项目选址具有唯一性，不存在比选方案。项目用地已于2025年12月16日取得彭阳县人民政府《关于白阳镇周沟村集体建设用地村企联营的批复》（彭政函〔2025〕73号），经分析符合用地要求</w:t>
                  </w:r>
                  <w:r>
                    <w:rPr>
                      <w:rFonts w:hint="eastAsia"/>
                      <w:color w:val="auto"/>
                      <w:szCs w:val="21"/>
                      <w:highlight w:val="none"/>
                      <w:lang w:eastAsia="zh-CN"/>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3.与《固体废物综合治理行动计划》（国发〔2025〕14号）</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szCs w:val="22"/>
                <w:lang w:val="en-US" w:eastAsia="zh-CN"/>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本项目与《固体废物综合治理行动计划》（国发〔2025〕14号）符合性分析见表1-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4</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项目与《固体废物综合治理行动计划》（国发〔2025〕14号）</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《固体废物综合治理行动计划》（国发〔2025〕14号）</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二、推动源头管控和减量</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（二）实施城镇固体废物源头管控。</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推进建筑垃圾分类处理。稳步发展装配式建筑，推广绿色施工、全装修或标准化装修交付，强化建筑工地固体废物源头管控。将建筑垃圾减量、运输、利用、处置所需费用列入工程造价，在工程招标和施工设计中明确减量要求和措施。</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本项目为彭阳县建筑垃圾资源化利用项目。项目施工</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前已委托宁夏泓钰工程设计有限公司做了初步设计，对</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建筑垃圾减量、运输、利用、处置所需费</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已做明细分析。</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六、实施重点领域专项整治</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十四</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深入推进建筑垃圾专项整治。</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加快建筑垃圾利用和处置设施规划建设。深入排查建筑垃圾产生、收集、贮存、运输、利用、处置等各环节违法违规问题。</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建筑垃圾产生、收集、贮存、运输、利用、处置等各环节</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违法违规问题。</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与</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《关于“十四五”大宗固体废物综合利用的指导意见》符合性分析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t>《关于“十四五”大宗固体废物综合利用的指导意见》提出：到2025年，煤矸石、粉煤灰、尾矿（共伴生矿）、冶炼渣、工业副产石膏、建筑垃圾、农作物秸秆等大宗固废的综合利用能力显著提升，利用规模不断扩大，新增大宗固废综合利用率达到60%，存量大宗固废有序减少。</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eastAsia" w:cs="Times New Roman"/>
                <w:color w:val="000000" w:themeColor="text1"/>
                <w:sz w:val="24"/>
                <w:szCs w:val="24"/>
                <w:highlight w:val="none"/>
                <w:shd w:val="clear" w:color="auto" w:fill="auto"/>
                <w:lang w:val="en-US" w:eastAsia="zh-CN"/>
                <w14:textFill>
                  <w14:solidFill>
                    <w14:schemeClr w14:val="tx1"/>
                  </w14:solidFill>
                </w14:textFill>
              </w:rPr>
            </w:pPr>
            <w:r>
              <w:rPr>
                <w:rFonts w:hint="eastAsia" w:cs="Times New Roman"/>
                <w:color w:val="000000" w:themeColor="text1"/>
                <w:sz w:val="24"/>
                <w:szCs w:val="24"/>
                <w:highlight w:val="none"/>
                <w:shd w:val="clear" w:color="auto" w:fill="auto"/>
                <w:lang w:val="en-US" w:eastAsia="zh-CN"/>
                <w14:textFill>
                  <w14:solidFill>
                    <w14:schemeClr w14:val="tx1"/>
                  </w14:solidFill>
                </w14:textFill>
              </w:rPr>
              <w:t>建筑垃圾：加强建筑垃圾分类处理和回收利用；鼓励建筑垃圾再生骨料及制品在建筑工程和道路工程中的应用；将建筑垃圾用于土方平衡、林业用土、环境治理、烧结制品及回填等。</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用于市政和道路工程。因此，</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符合《关于“十四五”大宗固体废物综合利用的指导意见》中提出的相关规定及要求。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lang w:val="en-US" w:eastAsia="zh-CN"/>
                <w14:textFill>
                  <w14:solidFill>
                    <w14:schemeClr w14:val="tx1"/>
                  </w14:solidFill>
                </w14:textFill>
              </w:rPr>
              <w:t>5.与</w:t>
            </w:r>
            <w:r>
              <w:rPr>
                <w:rFonts w:hint="eastAsia" w:eastAsia="仿宋_GB2312"/>
                <w:b/>
                <w:bCs/>
                <w:color w:val="000000" w:themeColor="text1"/>
                <w:sz w:val="24"/>
                <w:szCs w:val="24"/>
                <w:highlight w:val="none"/>
                <w:lang w:val="en-US" w:eastAsia="zh-CN"/>
                <w14:textFill>
                  <w14:solidFill>
                    <w14:schemeClr w14:val="tx1"/>
                  </w14:solidFill>
                </w14:textFill>
              </w:rPr>
              <w:t>《建筑垃圾污染控制技术规范》（HJ 1462—2026）</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w:t>
            </w:r>
            <w:r>
              <w:rPr>
                <w:rFonts w:hint="default" w:eastAsia="仿宋_GB2312"/>
                <w:b w:val="0"/>
                <w:bCs w:val="0"/>
                <w:color w:val="000000" w:themeColor="text1"/>
                <w:sz w:val="24"/>
                <w:szCs w:val="24"/>
                <w:highlight w:val="none"/>
                <w:shd w:val="clear" w:color="auto" w:fill="auto"/>
                <w:lang w:val="en-US" w:eastAsia="zh-CN"/>
                <w14:textFill>
                  <w14:solidFill>
                    <w14:schemeClr w14:val="tx1"/>
                  </w14:solidFill>
                </w14:textFill>
              </w:rPr>
              <w:t>《建筑垃圾污染控制技术规范》（HJ 1462—2026）</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5</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w:t>
            </w:r>
            <w:r>
              <w:rPr>
                <w:rFonts w:hint="default" w:eastAsia="宋体"/>
                <w:b/>
                <w:bCs w:val="0"/>
                <w:color w:val="000000" w:themeColor="text1"/>
                <w:spacing w:val="-11"/>
                <w:sz w:val="24"/>
                <w:szCs w:val="22"/>
                <w:highlight w:val="none"/>
                <w:shd w:val="clear"/>
                <w:lang w:val="en-US" w:eastAsia="zh-CN"/>
                <w14:textFill>
                  <w14:solidFill>
                    <w14:schemeClr w14:val="tx1"/>
                  </w14:solidFill>
                </w14:textFill>
              </w:rPr>
              <w:t>《建筑垃圾污染控制技术规范》（HJ 1462—2026）</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eastAsia="宋体"/>
                      <w:b/>
                      <w:bCs/>
                      <w:color w:val="000000" w:themeColor="text1"/>
                      <w:sz w:val="21"/>
                      <w:szCs w:val="21"/>
                      <w:highlight w:val="none"/>
                      <w:shd w:val="clear" w:color="auto" w:fill="auto"/>
                      <w:lang w:val="en-US" w:eastAsia="zh-CN"/>
                      <w14:textFill>
                        <w14:solidFill>
                          <w14:schemeClr w14:val="tx1"/>
                        </w14:solidFill>
                      </w14:textFill>
                    </w:rPr>
                    <w:t>《建筑垃圾污染控制技术规范》（HJ 1462—2026）</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4 总体要求</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4.2 工程垃圾、拆除垃圾、装修垃圾或其预处理后的产物按照以下要求进行分类：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a）在拆除和装修过程中应对危险废物单独收集；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b）废旧混凝土、碎砖瓦、废砂浆、废沥青等废弃建材，废金属、废木材、废塑料、废纸、玻璃、橡胶等废弃材料；</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c）未按4.2 b）进行分类的工程垃圾、拆除垃圾、装修垃圾。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olor w:val="000000" w:themeColor="text1"/>
                      <w:szCs w:val="21"/>
                      <w:highlight w:val="none"/>
                      <w14:textFill>
                        <w14:solidFill>
                          <w14:schemeClr w14:val="tx1"/>
                        </w14:solidFill>
                      </w14:textFill>
                    </w:rPr>
                    <w:t>为稳定建筑、装修垃圾成分不再交叉污染</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上述各类垃圾在生产作业场地内按规定分区域进行堆放。因本项目建筑、装修垃圾总量不大，预处理粗选工段采用机械+人工方式进行。首先通过工程机械进行预拣将大块团状钢筋、大块木质材料、有机复合材质门窗等大件垃圾分拣出来，运输至场地规定区域堆存，并将大块钢筋砼构件、砌块墙体等粗破碎至600mm以下；再由人工对堆积体上肉眼可见金属、油漆桶、木质材料、废旧电池、液体容器、有机物材料或其他具有腐蚀性、破坏性的垃圾进行粗选，避免进入后端工艺环节破坏生产设备或污染再生骨料。</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4.6 利用4.2 b）中废弃建材类进行堆填利用的选址，应符合以下规定：</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a）不应选在生态保护红线区域、自然保护地、永久基本农田集中区域和其他需要特别保护的区域内；</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b）应避开活动断层、溶洞区、天然滑坡或泥石流影响区以及湿地等区域；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c）不应选在江河、湖泊、运河、渠道、水库最高水位线以下的滩地和岸坡，以及国家和地方长远规划中的水库等人工蓄水设施的淹没区和保护区之内。</w:t>
                  </w:r>
                </w:p>
              </w:tc>
              <w:tc>
                <w:tcPr>
                  <w:tcW w:w="4122" w:type="dxa"/>
                  <w:tcBorders>
                    <w:tl2br w:val="nil"/>
                    <w:tr2bl w:val="nil"/>
                  </w:tcBorders>
                  <w:noWrap w:val="0"/>
                  <w:vAlign w:val="center"/>
                </w:tcPr>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1.本项目建筑、装饰垃圾原料经预处理后分拣出的产物符合</w:t>
                  </w:r>
                  <w:r>
                    <w:rPr>
                      <w:rFonts w:hint="eastAsia"/>
                      <w:color w:val="000000" w:themeColor="text1"/>
                      <w:szCs w:val="21"/>
                      <w:highlight w:val="none"/>
                      <w14:textFill>
                        <w14:solidFill>
                          <w14:schemeClr w14:val="tx1"/>
                        </w14:solidFill>
                      </w14:textFill>
                    </w:rPr>
                    <w:t>《建筑垃圾污染控制技术规范》（HJ 1462—2026）</w:t>
                  </w:r>
                  <w:r>
                    <w:rPr>
                      <w:rFonts w:hint="eastAsia"/>
                      <w:color w:val="000000" w:themeColor="text1"/>
                      <w:szCs w:val="21"/>
                      <w:highlight w:val="none"/>
                      <w:lang w:val="en-US" w:eastAsia="zh-CN"/>
                      <w14:textFill>
                        <w14:solidFill>
                          <w14:schemeClr w14:val="tx1"/>
                        </w14:solidFill>
                      </w14:textFill>
                    </w:rPr>
                    <w:t>中4.2的分类要求，但不属于</w:t>
                  </w:r>
                  <w:r>
                    <w:rPr>
                      <w:rFonts w:hint="default"/>
                      <w:color w:val="000000" w:themeColor="text1"/>
                      <w:szCs w:val="21"/>
                      <w:highlight w:val="none"/>
                      <w:shd w:val="clear" w:color="auto" w:fill="auto"/>
                      <w14:textFill>
                        <w14:solidFill>
                          <w14:schemeClr w14:val="tx1"/>
                        </w14:solidFill>
                      </w14:textFill>
                    </w:rPr>
                    <w:t>堆填利用</w:t>
                  </w:r>
                  <w:r>
                    <w:rPr>
                      <w:rFonts w:hint="eastAsia"/>
                      <w:color w:val="000000" w:themeColor="text1"/>
                      <w:szCs w:val="21"/>
                      <w:highlight w:val="none"/>
                      <w:shd w:val="clear" w:color="auto" w:fill="auto"/>
                      <w:lang w:val="en-US" w:eastAsia="zh-CN"/>
                      <w14:textFill>
                        <w14:solidFill>
                          <w14:schemeClr w14:val="tx1"/>
                        </w14:solidFill>
                      </w14:textFill>
                    </w:rPr>
                    <w:t>类型</w:t>
                  </w:r>
                  <w:r>
                    <w:rPr>
                      <w:rFonts w:hint="eastAsia"/>
                      <w:color w:val="000000" w:themeColor="text1"/>
                      <w:szCs w:val="21"/>
                      <w:highlight w:val="none"/>
                      <w:lang w:val="en-US" w:eastAsia="zh-CN"/>
                      <w14:textFill>
                        <w14:solidFill>
                          <w14:schemeClr w14:val="tx1"/>
                        </w14:solidFill>
                      </w14:textFill>
                    </w:rPr>
                    <w:t>。</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color w:val="000000" w:themeColor="text1"/>
                      <w:szCs w:val="22"/>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2.本项目经分拣后的</w:t>
                  </w:r>
                  <w:r>
                    <w:rPr>
                      <w:rFonts w:hint="default"/>
                      <w:b w:val="0"/>
                      <w:bCs w:val="0"/>
                      <w:color w:val="000000" w:themeColor="text1"/>
                      <w:szCs w:val="21"/>
                      <w:highlight w:val="none"/>
                      <w:shd w:val="clear" w:color="auto" w:fill="auto"/>
                      <w14:textFill>
                        <w14:solidFill>
                          <w14:schemeClr w14:val="tx1"/>
                        </w14:solidFill>
                      </w14:textFill>
                    </w:rPr>
                    <w:t>废沥青</w:t>
                  </w:r>
                  <w:r>
                    <w:rPr>
                      <w:rFonts w:hint="eastAsia"/>
                      <w:b w:val="0"/>
                      <w:bCs w:val="0"/>
                      <w:color w:val="000000" w:themeColor="text1"/>
                      <w:szCs w:val="21"/>
                      <w:highlight w:val="none"/>
                      <w:shd w:val="clear" w:color="auto" w:fill="auto"/>
                      <w:lang w:eastAsia="zh-CN"/>
                      <w14:textFill>
                        <w14:solidFill>
                          <w14:schemeClr w14:val="tx1"/>
                        </w14:solidFill>
                      </w14:textFill>
                    </w:rPr>
                    <w:t>、</w:t>
                  </w:r>
                  <w:r>
                    <w:rPr>
                      <w:rFonts w:hint="default"/>
                      <w:b w:val="0"/>
                      <w:bCs w:val="0"/>
                      <w:color w:val="000000" w:themeColor="text1"/>
                      <w:szCs w:val="21"/>
                      <w:highlight w:val="none"/>
                      <w:shd w:val="clear" w:color="auto" w:fill="auto"/>
                      <w14:textFill>
                        <w14:solidFill>
                          <w14:schemeClr w14:val="tx1"/>
                        </w14:solidFill>
                      </w14:textFill>
                    </w:rPr>
                    <w:t>废金属、废木材、废塑料、废纸、玻璃、橡胶等废弃材料</w:t>
                  </w:r>
                  <w:r>
                    <w:rPr>
                      <w:rFonts w:hint="eastAsia"/>
                      <w:color w:val="000000" w:themeColor="text1"/>
                      <w:szCs w:val="22"/>
                      <w:highlight w:val="none"/>
                      <w14:textFill>
                        <w14:solidFill>
                          <w14:schemeClr w14:val="tx1"/>
                        </w14:solidFill>
                      </w14:textFill>
                    </w:rPr>
                    <w:t>统一收集</w:t>
                  </w:r>
                  <w:r>
                    <w:rPr>
                      <w:rFonts w:hint="eastAsia"/>
                      <w:color w:val="000000" w:themeColor="text1"/>
                      <w:szCs w:val="22"/>
                      <w:highlight w:val="none"/>
                      <w:lang w:val="en-US" w:eastAsia="zh-CN"/>
                      <w14:textFill>
                        <w14:solidFill>
                          <w14:schemeClr w14:val="tx1"/>
                        </w14:solidFill>
                      </w14:textFill>
                    </w:rPr>
                    <w:t>外售利用。</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eastAsia="宋体"/>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3.本项目</w:t>
                  </w:r>
                  <w:r>
                    <w:rPr>
                      <w:rFonts w:hint="eastAsia"/>
                      <w:color w:val="000000" w:themeColor="text1"/>
                      <w:szCs w:val="21"/>
                      <w:highlight w:val="none"/>
                      <w:lang w:val="en-US" w:eastAsia="zh-CN"/>
                      <w14:textFill>
                        <w14:solidFill>
                          <w14:schemeClr w14:val="tx1"/>
                        </w14:solidFill>
                      </w14:textFill>
                    </w:rPr>
                    <w:t>经分拣后的</w:t>
                  </w:r>
                  <w:r>
                    <w:rPr>
                      <w:rFonts w:hint="default"/>
                      <w:b w:val="0"/>
                      <w:bCs w:val="0"/>
                      <w:color w:val="000000" w:themeColor="text1"/>
                      <w:szCs w:val="21"/>
                      <w:highlight w:val="none"/>
                      <w:shd w:val="clear" w:color="auto" w:fill="auto"/>
                      <w14:textFill>
                        <w14:solidFill>
                          <w14:schemeClr w14:val="tx1"/>
                        </w14:solidFill>
                      </w14:textFill>
                    </w:rPr>
                    <w:t>废旧混凝土</w:t>
                  </w:r>
                  <w:r>
                    <w:rPr>
                      <w:rFonts w:hint="eastAsia"/>
                      <w:b w:val="0"/>
                      <w:bCs w:val="0"/>
                      <w:color w:val="000000" w:themeColor="text1"/>
                      <w:szCs w:val="21"/>
                      <w:highlight w:val="none"/>
                      <w:shd w:val="clear" w:color="auto" w:fill="auto"/>
                      <w:lang w:val="en-US" w:eastAsia="zh-CN"/>
                      <w14:textFill>
                        <w14:solidFill>
                          <w14:schemeClr w14:val="tx1"/>
                        </w14:solidFill>
                      </w14:textFill>
                    </w:rPr>
                    <w:t>用于下游生产线，不产生</w:t>
                  </w:r>
                  <w:r>
                    <w:rPr>
                      <w:rFonts w:hint="default"/>
                      <w:b w:val="0"/>
                      <w:bCs w:val="0"/>
                      <w:color w:val="000000" w:themeColor="text1"/>
                      <w:szCs w:val="21"/>
                      <w:highlight w:val="none"/>
                      <w:shd w:val="clear" w:color="auto" w:fill="auto"/>
                      <w14:textFill>
                        <w14:solidFill>
                          <w14:schemeClr w14:val="tx1"/>
                        </w14:solidFill>
                      </w14:textFill>
                    </w:rPr>
                    <w:t>碎砖瓦、废砂浆等废弃建材</w:t>
                  </w:r>
                  <w:r>
                    <w:rPr>
                      <w:rFonts w:hint="eastAsia"/>
                      <w:b w:val="0"/>
                      <w:bCs w:val="0"/>
                      <w:color w:val="000000" w:themeColor="text1"/>
                      <w:szCs w:val="21"/>
                      <w:highlight w:val="none"/>
                      <w:shd w:val="clear" w:color="auto" w:fill="auto"/>
                      <w:lang w:eastAsia="zh-CN"/>
                      <w14:textFill>
                        <w14:solidFill>
                          <w14:schemeClr w14:val="tx1"/>
                        </w14:solidFill>
                      </w14:textFill>
                    </w:rPr>
                    <w:t>。</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eastAsia="宋体"/>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4.本项目分离出的渣土</w:t>
                  </w:r>
                  <w:r>
                    <w:rPr>
                      <w:rFonts w:hint="eastAsia"/>
                      <w:color w:val="000000" w:themeColor="text1"/>
                      <w:szCs w:val="22"/>
                      <w:highlight w:val="none"/>
                      <w14:textFill>
                        <w14:solidFill>
                          <w14:schemeClr w14:val="tx1"/>
                        </w14:solidFill>
                      </w14:textFill>
                    </w:rPr>
                    <w:t>主要用于回填工程，如拆除工程场地平整，垃圾填埋场的封场填埋等</w:t>
                  </w:r>
                  <w:r>
                    <w:rPr>
                      <w:rFonts w:hint="eastAsia"/>
                      <w:color w:val="000000" w:themeColor="text1"/>
                      <w:szCs w:val="22"/>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7 利用与处置过程污染控制要求</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 资源化利用的污染控制要求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7.1.1应根据建筑垃圾的成分和当地需求因地制宜选择资源化利用技术。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7.1.2建筑垃圾堆放区应采取防扬尘措施，其中4.2 c）堆放区应增加防雨淋措施。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7.1.3建筑垃圾资源化利用过程收集的废水宜进行循环利用，无法循环利用的废水应收集处理。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b w:val="0"/>
                      <w:bCs w:val="0"/>
                      <w:color w:val="000000" w:themeColor="text1"/>
                      <w:szCs w:val="21"/>
                      <w:highlight w:val="none"/>
                      <w:shd w:val="clear" w:color="auto" w:fill="auto"/>
                      <w14:textFill>
                        <w14:solidFill>
                          <w14:schemeClr w14:val="tx1"/>
                        </w14:solidFill>
                      </w14:textFill>
                    </w:rPr>
                    <w:t>7.1.4分选产生的木材、塑料等可燃杂物宜优先进行再生利用，不能再生利用的可采用焚烧、热解的专用设备设施进行处置或水泥窑协同处置，产生的废渣宜进行资源化利用或填埋处置。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r>
                    <w:rPr>
                      <w:rFonts w:hint="eastAsia"/>
                      <w:color w:val="000000" w:themeColor="text1"/>
                      <w:szCs w:val="21"/>
                      <w:highlight w:val="none"/>
                      <w14:textFill>
                        <w14:solidFill>
                          <w14:schemeClr w14:val="tx1"/>
                        </w14:solidFill>
                      </w14:textFill>
                    </w:rPr>
                    <w:t>露天堆放的建筑垃圾应及时遮盖，应采取设置防风抑尘网、配备洒水抑尘系统或苫盖等措施。堆放区地坪标高应高于周围场地至少0.15米，四周应设置排水沟，满足场地雨水导排要求。</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olor w:val="000000" w:themeColor="text1"/>
                      <w:szCs w:val="21"/>
                      <w:highlight w:val="none"/>
                      <w14:textFill>
                        <w14:solidFill>
                          <w14:schemeClr w14:val="tx1"/>
                        </w14:solidFill>
                      </w14:textFill>
                    </w:rPr>
                    <w:t>在原料堆场区设置1座30m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生产废水收集沉淀池，经沉淀后，上清液循环使用，在上清液位处设置2台潜水泵（Q=10m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 H=10m 一用一备）提供生产用水。</w:t>
                  </w:r>
                  <w:r>
                    <w:rPr>
                      <w:rFonts w:hint="eastAsia"/>
                      <w:color w:val="000000" w:themeColor="text1"/>
                      <w:szCs w:val="21"/>
                      <w:highlight w:val="none"/>
                      <w:lang w:val="en-US" w:eastAsia="zh-CN"/>
                      <w14:textFill>
                        <w14:solidFill>
                          <w14:schemeClr w14:val="tx1"/>
                        </w14:solidFill>
                      </w14:textFill>
                    </w:rPr>
                    <w:t>本项目</w:t>
                  </w:r>
                  <w:r>
                    <w:rPr>
                      <w:rFonts w:hint="default"/>
                      <w:b w:val="0"/>
                      <w:bCs w:val="0"/>
                      <w:color w:val="000000" w:themeColor="text1"/>
                      <w:szCs w:val="21"/>
                      <w:highlight w:val="none"/>
                      <w:shd w:val="clear" w:color="auto" w:fill="auto"/>
                      <w14:textFill>
                        <w14:solidFill>
                          <w14:schemeClr w14:val="tx1"/>
                        </w14:solidFill>
                      </w14:textFill>
                    </w:rPr>
                    <w:t>分选产生的木材、塑料</w:t>
                  </w:r>
                  <w:r>
                    <w:rPr>
                      <w:rFonts w:hint="eastAsia"/>
                      <w:b w:val="0"/>
                      <w:bCs w:val="0"/>
                      <w:color w:val="000000" w:themeColor="text1"/>
                      <w:szCs w:val="21"/>
                      <w:highlight w:val="none"/>
                      <w:shd w:val="clear" w:color="auto" w:fill="auto"/>
                      <w:lang w:val="en-US" w:eastAsia="zh-CN"/>
                      <w14:textFill>
                        <w14:solidFill>
                          <w14:schemeClr w14:val="tx1"/>
                        </w14:solidFill>
                      </w14:textFill>
                    </w:rPr>
                    <w:t>收集后分别外售至木材厂和</w:t>
                  </w:r>
                  <w:r>
                    <w:rPr>
                      <w:rFonts w:hint="eastAsia"/>
                      <w:color w:val="000000" w:themeColor="text1"/>
                      <w:szCs w:val="21"/>
                      <w:highlight w:val="none"/>
                      <w:shd w:val="clear" w:color="auto" w:fill="auto"/>
                      <w14:textFill>
                        <w14:solidFill>
                          <w14:schemeClr w14:val="tx1"/>
                        </w14:solidFill>
                      </w14:textFill>
                    </w:rPr>
                    <w:t>废塑料加工厂</w:t>
                  </w:r>
                  <w:r>
                    <w:rPr>
                      <w:rFonts w:hint="eastAsia"/>
                      <w:color w:val="000000" w:themeColor="text1"/>
                      <w:szCs w:val="21"/>
                      <w:highlight w:val="none"/>
                      <w:shd w:val="clear" w:color="auto" w:fill="auto"/>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与《宁夏回族自治区生态环境保护“十四五”规划》符合性分析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本项目与《宁夏回族自治区生态环境保护“十四五”规划》符合性分析见表1-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6</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6</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项目与《宁夏回族自治区生态环境保护“十四五”规划》</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《宁夏回族自治区生态环境保护“十四五”规划》</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专栏3环境空气质量改善工程</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8"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扬尘管控工程。</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按需购置、配发机械化清扫车、喷雾车。实施规模以上各类工地视频监控设备、颗粒物在线监测系统安装工程。开展城区裸露土地绿化改造、抑尘覆盖整治。</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项目施工期的大气环境问题主要为扬尘、施工机械及运输车辆尾气。扬尘包括道路运输扬尘、堆场扬尘、施工场内施工扬尘。通过采取对运输道路硬化、洒水抑尘、清扫运输马路等措施减少扬尘的产生量；尽量减少回填土、粉状建筑材料露天堆放，必须露天堆放的易起尘的材料应加苫布覆盖；运输车辆禁止超载，不得使用劣质燃料；对车辆的尾气排放加强监督管理，严格执行汽车排污监管办法相关规定，避免排放黑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项目运营期</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的大气环境问题主要为</w:t>
                  </w:r>
                  <w:r>
                    <w:rPr>
                      <w:rFonts w:hint="eastAsia"/>
                      <w:color w:val="000000" w:themeColor="text1"/>
                      <w:szCs w:val="21"/>
                      <w:highlight w:val="none"/>
                      <w14:textFill>
                        <w14:solidFill>
                          <w14:schemeClr w14:val="tx1"/>
                        </w14:solidFill>
                      </w14:textFill>
                    </w:rPr>
                    <w:t>建筑垃圾输、破碎、筛分、转运过程中产生的粉尘等。项目采用全密闭的建筑垃圾运输车，对装卸口设密封圈并定期检查保证密闭效果，运输过程中不得遗撒、飘散运载物，并对车辆及时冲洗，清洁上路。建筑垃圾破碎和筛分，以及再生骨料的储存、转运等生产区域的粉尘采取集中式布袋除尘主、环保雾炮和活性干雾捕捉为辅的降尘方式</w:t>
                  </w:r>
                  <w:r>
                    <w:rPr>
                      <w:rFonts w:hint="eastAsia"/>
                      <w:color w:val="000000" w:themeColor="text1"/>
                      <w:szCs w:val="21"/>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专栏5土壤、地下水及固废防治工程</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其他固体废物处理工程</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完善城市生活垃圾分类和建筑垃圾、餐厨垃圾等收转运体系，实施市政污泥处理、建筑垃圾回收利用、园林废弃物处理等一体化处理和综合利用项目，建设固原、中卫、石嘴山城市生活垃圾焚烧发电项目。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7</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与</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市生态环境保护“十四五”规划》符合性分析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t>提出：加大工业固体废弃物处置。以工业园区为重点，开展固体废物非法贮存、倾倒和填埋情况专项排查，全面规范固体废物堆存场所建设、贮存、处置。推进企业清洁生产审核。统筹规划工业园区固体废弃物集中处置能力建设，加强渣场等堆存场所基础设施项目建设。支持固体废弃物综合利用应用技术研究和产业化，构建固体废弃物循环利用体系。</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水泥稳定基再生骨料无机混合料，属于一般工业固体废物、建筑施工废弃物处置及综合利用项目</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。因此，符合</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中提出的相关规定及要求。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8</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.产业政策符合性分析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本项目为</w:t>
            </w:r>
            <w:r>
              <w:rPr>
                <w:rFonts w:hint="eastAsia" w:cs="Times New Roman"/>
                <w:b w:val="0"/>
                <w:bCs w:val="0"/>
                <w:color w:val="000000" w:themeColor="text1"/>
                <w:sz w:val="24"/>
                <w:szCs w:val="24"/>
                <w:highlight w:val="none"/>
                <w:u w:val="none"/>
                <w:lang w:val="en-US" w:eastAsia="zh-CN"/>
                <w14:textFill>
                  <w14:solidFill>
                    <w14:schemeClr w14:val="tx1"/>
                  </w14:solidFill>
                </w14:textFill>
              </w:rPr>
              <w:t>建筑垃圾资源化利用</w:t>
            </w:r>
            <w:r>
              <w:rPr>
                <w:rFonts w:hint="default" w:ascii="Times New Roman" w:hAnsi="Times New Roman" w:eastAsia="仿宋_GB2312" w:cs="Times New Roman"/>
                <w:color w:val="000000" w:themeColor="text1"/>
                <w:kern w:val="0"/>
                <w:sz w:val="24"/>
                <w:szCs w:val="24"/>
                <w:highlight w:val="none"/>
                <w:lang w:val="en-US" w:eastAsia="zh-CN" w:bidi="ar"/>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根据《产业结构调整指导目录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2024</w:t>
            </w:r>
            <w:r>
              <w:rPr>
                <w:rFonts w:hint="default" w:ascii="Times New Roman" w:hAnsi="Times New Roman" w:cs="Times New Roman"/>
                <w:color w:val="000000" w:themeColor="text1"/>
                <w:highlight w:val="none"/>
                <w14:textFill>
                  <w14:solidFill>
                    <w14:schemeClr w14:val="tx1"/>
                  </w14:solidFill>
                </w14:textFill>
              </w:rPr>
              <w:t>年本</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属于目录中鼓励类项目</w:t>
            </w:r>
            <w:r>
              <w:rPr>
                <w:rFonts w:hint="eastAsia" w:cs="Times New Roman"/>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四十二、环境保护与资源节约综合利用</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14:textFill>
                  <w14:solidFill>
                    <w14:schemeClr w14:val="tx1"/>
                  </w14:solidFill>
                </w14:textFill>
              </w:rPr>
              <w:t>8、废弃物循环利用：建筑废弃物等工业废弃物循环利用。</w:t>
            </w:r>
            <w:r>
              <w:rPr>
                <w:rFonts w:hint="default" w:ascii="Times New Roman" w:hAnsi="Times New Roman" w:cs="Times New Roman"/>
                <w:color w:val="000000" w:themeColor="text1"/>
                <w:highlight w:val="none"/>
                <w:lang w:val="en-US" w:eastAsia="zh-CN"/>
                <w14:textFill>
                  <w14:solidFill>
                    <w14:schemeClr w14:val="tx1"/>
                  </w14:solidFill>
                </w14:textFill>
              </w:rPr>
              <w:t>同时项目已取得宁夏回族自治区企业投资项目备案证，</w:t>
            </w:r>
            <w:r>
              <w:rPr>
                <w:rFonts w:hint="default" w:ascii="Times New Roman" w:hAnsi="Times New Roman" w:eastAsia="仿宋_GB2312" w:cs="Times New Roman"/>
                <w:bCs/>
                <w:color w:val="000000" w:themeColor="text1"/>
                <w:kern w:val="0"/>
                <w:sz w:val="24"/>
                <w:szCs w:val="22"/>
                <w:highlight w:val="none"/>
                <w:lang w:val="en-US" w:eastAsia="zh-CN" w:bidi="ar-SA"/>
                <w14:textFill>
                  <w14:solidFill>
                    <w14:schemeClr w14:val="tx1"/>
                  </w14:solidFill>
                </w14:textFill>
              </w:rPr>
              <w:t>备案号为2505-640425-16-01-588959，</w:t>
            </w:r>
            <w:r>
              <w:rPr>
                <w:rFonts w:hint="default" w:ascii="Times New Roman" w:hAnsi="Times New Roman" w:cs="Times New Roman"/>
                <w:color w:val="000000" w:themeColor="text1"/>
                <w:highlight w:val="none"/>
                <w:lang w:eastAsia="zh-CN"/>
                <w14:textFill>
                  <w14:solidFill>
                    <w14:schemeClr w14:val="tx1"/>
                  </w14:solidFill>
                </w14:textFill>
              </w:rPr>
              <w:t>因此，本项目符合国家产业政策。</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9</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.项目选址合理性分析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本项目位于</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宁夏</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新集乡与白阳镇交界处</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，彭沟公路西侧，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textAlignment w:val="auto"/>
              <w:rPr>
                <w:rFonts w:hint="eastAsia" w:eastAsia="仿宋_GB2312" w:cs="Times New Roman"/>
                <w:color w:val="000000" w:themeColor="text1"/>
                <w:kern w:val="16"/>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距彭阳县城4公里。项目周围市政道路交错，交通便利，有较好建设实施条件，且项目选址具有唯一性，不存在比选方案。</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项目</w:t>
            </w:r>
            <w:r>
              <w:rPr>
                <w:rFonts w:hint="eastAsia" w:eastAsia="仿宋_GB2312" w:cs="Times New Roman"/>
                <w:color w:val="000000" w:themeColor="text1"/>
                <w:kern w:val="16"/>
                <w:sz w:val="24"/>
                <w:szCs w:val="24"/>
                <w:highlight w:val="none"/>
                <w:lang w:val="en-US" w:eastAsia="zh-CN"/>
                <w14:textFill>
                  <w14:solidFill>
                    <w14:schemeClr w14:val="tx1"/>
                  </w14:solidFill>
                </w14:textFill>
              </w:rPr>
              <w:t>用地已于2025年12月16日取得彭阳县人民政府《关于白阳镇周沟村集体建设用地村企联营的批复》（彭政函</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〔202</w:t>
            </w:r>
            <w:r>
              <w:rPr>
                <w:rFonts w:hint="eastAsia" w:ascii="Times New Roman" w:hAnsi="Times New Roman" w:eastAsia="仿宋_GB2312" w:cs="Times New Roman"/>
                <w:color w:val="000000" w:themeColor="text1"/>
                <w:sz w:val="24"/>
                <w:szCs w:val="22"/>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2"/>
                <w:lang w:val="en-US" w:eastAsia="zh-CN"/>
                <w14:textFill>
                  <w14:solidFill>
                    <w14:schemeClr w14:val="tx1"/>
                  </w14:solidFill>
                </w14:textFill>
              </w:rPr>
              <w:t>73</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号</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，经分析符合</w:t>
            </w:r>
            <w:r>
              <w:rPr>
                <w:rFonts w:hint="eastAsia" w:eastAsia="仿宋_GB2312" w:cs="Times New Roman"/>
                <w:color w:val="000000" w:themeColor="text1"/>
                <w:kern w:val="16"/>
                <w:sz w:val="24"/>
                <w:szCs w:val="24"/>
                <w:highlight w:val="none"/>
                <w:lang w:val="en-US" w:eastAsia="zh-CN"/>
                <w14:textFill>
                  <w14:solidFill>
                    <w14:schemeClr w14:val="tx1"/>
                  </w14:solidFill>
                </w14:textFill>
              </w:rPr>
              <w:t>用地</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要求；结合“三线一单”符合性分析，项目选址不涉及生态保护红线，符合分区管控要求；项目的建设与《固体废物综合治理行动计划》（国发〔2025〕14号）</w:t>
            </w:r>
            <w:r>
              <w:rPr>
                <w:rFonts w:hint="eastAsia" w:eastAsia="仿宋_GB2312" w:cs="Times New Roman"/>
                <w:color w:val="000000" w:themeColor="text1"/>
                <w:kern w:val="16"/>
                <w:sz w:val="24"/>
                <w:szCs w:val="24"/>
                <w:highlight w:val="none"/>
                <w:lang w:val="en-US" w:eastAsia="zh-CN"/>
                <w14:textFill>
                  <w14:solidFill>
                    <w14:schemeClr w14:val="tx1"/>
                  </w14:solidFill>
                </w14:textFill>
              </w:rPr>
              <w:t>、《关于“十四五”大宗固体废物综合利用的指导意见》、</w:t>
            </w:r>
            <w:r>
              <w:rPr>
                <w:rFonts w:hint="eastAsia" w:eastAsia="仿宋_GB2312"/>
                <w:b w:val="0"/>
                <w:bCs w:val="0"/>
                <w:color w:val="000000" w:themeColor="text1"/>
                <w:kern w:val="16"/>
                <w:sz w:val="24"/>
                <w:szCs w:val="24"/>
                <w:highlight w:val="none"/>
                <w:lang w:val="en-US" w:eastAsia="zh-CN"/>
                <w14:textFill>
                  <w14:solidFill>
                    <w14:schemeClr w14:val="tx1"/>
                  </w14:solidFill>
                </w14:textFill>
              </w:rPr>
              <w:t>《建筑垃圾污染控制技术规范》（HJ 1462—2026）</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《宁夏回族自治区生态环境保护“十四五”规划》和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等文件要求相符</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综上，本项目选址合理可行。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FF0000"/>
                <w:kern w:val="16"/>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FF0000"/>
                <w:kern w:val="16"/>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0" w:firstLineChars="0"/>
              <w:textAlignment w:val="auto"/>
              <w:rPr>
                <w:rFonts w:hint="default" w:ascii="Times New Roman" w:hAnsi="Times New Roman" w:cs="Times New Roman"/>
                <w:color w:val="FF0000"/>
                <w:szCs w:val="22"/>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9"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2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3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9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bl>
    <w:p>
      <w:pPr>
        <w:pStyle w:val="28"/>
        <w:pageBreakBefore w:val="0"/>
        <w:kinsoku/>
        <w:wordWrap/>
        <w:topLinePunct w:val="0"/>
        <w:bidi w:val="0"/>
        <w:adjustRightInd w:val="0"/>
        <w:snapToGrid w:val="0"/>
        <w:jc w:val="center"/>
        <w:rPr>
          <w:rFonts w:hint="default" w:ascii="Times New Roman" w:hAnsi="Times New Roman" w:eastAsia="黑体" w:cs="Times New Roman"/>
          <w:b/>
          <w:bCs/>
          <w:color w:val="auto"/>
          <w:sz w:val="30"/>
          <w:szCs w:val="30"/>
          <w:highlight w:val="none"/>
        </w:rPr>
        <w:sectPr>
          <w:headerReference r:id="rId6" w:type="default"/>
          <w:footerReference r:id="rId8" w:type="default"/>
          <w:headerReference r:id="rId7" w:type="even"/>
          <w:footerReference r:id="rId9" w:type="even"/>
          <w:pgSz w:w="11905" w:h="16838"/>
          <w:pgMar w:top="1701" w:right="1417" w:bottom="1701" w:left="1417" w:header="1247" w:footer="1247"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4"/>
        <w:pageBreakBefore w:val="0"/>
        <w:kinsoku/>
        <w:wordWrap/>
        <w:topLinePunct w:val="0"/>
        <w:bidi w:val="0"/>
        <w:adjustRightInd w:val="0"/>
        <w:snapToGrid w:val="0"/>
        <w:jc w:val="center"/>
        <w:rPr>
          <w:rFonts w:hint="default" w:ascii="Times New Roman" w:hAnsi="Times New Roman" w:eastAsia="黑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二、</w:t>
      </w:r>
      <w:r>
        <w:rPr>
          <w:rFonts w:hint="default" w:ascii="Times New Roman" w:hAnsi="Times New Roman" w:cs="Times New Roman"/>
          <w:color w:val="000000" w:themeColor="text1"/>
          <w:highlight w:val="none"/>
          <w14:textFill>
            <w14:solidFill>
              <w14:schemeClr w14:val="tx1"/>
            </w14:solidFill>
          </w14:textFill>
        </w:rPr>
        <w:t>建设项目</w:t>
      </w:r>
      <w:r>
        <w:rPr>
          <w:rFonts w:hint="default" w:ascii="Times New Roman" w:hAnsi="Times New Roman" w:cs="Times New Roman"/>
          <w:color w:val="000000" w:themeColor="text1"/>
          <w:highlight w:val="none"/>
          <w:lang w:eastAsia="zh-CN"/>
          <w14:textFill>
            <w14:solidFill>
              <w14:schemeClr w14:val="tx1"/>
            </w14:solidFill>
          </w14:textFill>
        </w:rPr>
        <w:t>工程分析</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6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6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cs="Times New Roman"/>
                <w:color w:val="000000" w:themeColor="text1"/>
                <w:szCs w:val="22"/>
                <w:highlight w:val="none"/>
                <w:lang w:eastAsia="zh-CN"/>
                <w14:textFill>
                  <w14:solidFill>
                    <w14:schemeClr w14:val="tx1"/>
                  </w14:solidFill>
                </w14:textFill>
              </w:rPr>
              <w:br w:type="page"/>
            </w:r>
            <w:bookmarkStart w:id="2" w:name="_Toc20711_WPSOffice_Level2"/>
            <w:bookmarkStart w:id="3" w:name="_Toc18168"/>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bookmarkEnd w:id="2"/>
            <w:bookmarkEnd w:id="3"/>
          </w:p>
        </w:tc>
        <w:tc>
          <w:tcPr>
            <w:tcW w:w="8602" w:type="dxa"/>
            <w:vMerge w:val="restart"/>
            <w:vAlign w:val="center"/>
          </w:tcPr>
          <w:p>
            <w:pPr>
              <w:pStyle w:val="10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textAlignment w:val="baseline"/>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b/>
                <w:color w:val="000000" w:themeColor="text1"/>
                <w:kern w:val="2"/>
                <w:sz w:val="24"/>
                <w:szCs w:val="2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t>项目背景</w:t>
            </w:r>
          </w:p>
          <w:p>
            <w:pPr>
              <w:pStyle w:val="103"/>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pP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近年来，在“双碳”目标引领下，中国相继出台了一系列政策，明确要求到2025年地级及以上城市建筑垃圾资源化利用率达到60%，从而为行业提供了明确的政策导向。资源化利用不仅有助于缓解天然砂石等建材资源的短缺压力，还能减少碳排放、节约土地资源，形成环境效益与经济效益的双赢。技术上，通过智能分选、破碎筛分等工艺，建筑垃圾可转化为再生骨料、再生砖等建材，用于道路建设和建筑工程；模式上，“就地处理+原位利用”与产业园集中处理等创新模式也在逐步推广。目前彭阳县城市建设、拆迁带来大量的建筑垃圾无统一的再生利用、填埋堆放场地，建筑垃圾的回收利用率较低，采用露天堆放或贮存的方式进行处理，耗用大量的土地</w:t>
            </w:r>
            <w:r>
              <w:rPr>
                <w:rFonts w:hint="eastAsia" w:eastAsia="仿宋_GB2312" w:cs="Times New Roman"/>
                <w:b w:val="0"/>
                <w:color w:val="000000" w:themeColor="text1"/>
                <w:kern w:val="16"/>
                <w:szCs w:val="24"/>
                <w:highlight w:val="none"/>
                <w:lang w:val="en-US" w:eastAsia="zh-CN" w:bidi="ar"/>
                <w14:textFill>
                  <w14:solidFill>
                    <w14:schemeClr w14:val="tx1"/>
                  </w14:solidFill>
                </w14:textFill>
              </w:rPr>
              <w:t>，</w:t>
            </w: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同时，清运和堆放过程中的遗撒和粉尘等问题又</w:t>
            </w:r>
            <w:r>
              <w:rPr>
                <w:rFonts w:hint="default" w:ascii="Times New Roman" w:hAnsi="Times New Roman" w:eastAsia="仿宋_GB2312" w:cs="Times New Roman"/>
                <w:b w:val="0"/>
                <w:strike w:val="0"/>
                <w:dstrike w:val="0"/>
                <w:color w:val="000000" w:themeColor="text1"/>
                <w:kern w:val="16"/>
                <w:szCs w:val="24"/>
                <w:highlight w:val="none"/>
                <w:lang w:val="en-US" w:eastAsia="zh-CN" w:bidi="ar"/>
                <w14:textFill>
                  <w14:solidFill>
                    <w14:schemeClr w14:val="tx1"/>
                  </w14:solidFill>
                </w14:textFill>
              </w:rPr>
              <w:t>对周边环境造成不利影响</w:t>
            </w: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w:t>
            </w:r>
          </w:p>
          <w:p>
            <w:pPr>
              <w:pStyle w:val="103"/>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eastAsia"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pP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为此，建设单位经过充分市场考察与调研</w:t>
            </w:r>
            <w:r>
              <w:rPr>
                <w:rFonts w:hint="eastAsia" w:eastAsia="仿宋_GB2312" w:cs="Times New Roman"/>
                <w:b w:val="0"/>
                <w:color w:val="000000" w:themeColor="text1"/>
                <w:kern w:val="16"/>
                <w:szCs w:val="24"/>
                <w:highlight w:val="none"/>
                <w:lang w:val="en-US" w:eastAsia="zh-CN" w:bidi="ar"/>
                <w14:textFill>
                  <w14:solidFill>
                    <w14:schemeClr w14:val="tx1"/>
                  </w14:solidFill>
                </w14:textFill>
              </w:rPr>
              <w:t>，为解决以上问题，拟在</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新集乡与白阳镇交界处建设“彭阳县建筑垃圾资源化利用项目”</w:t>
            </w:r>
            <w:r>
              <w:rPr>
                <w:rFonts w:hint="eastAsia"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textAlignment w:val="baseline"/>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t>2.本项目工程组成情况</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w:t>
            </w:r>
            <w:r>
              <w:rPr>
                <w:rFonts w:hint="default" w:ascii="Times New Roman" w:hAnsi="Times New Roman" w:eastAsia="仿宋_GB2312"/>
                <w:color w:val="000000" w:themeColor="text1"/>
                <w:kern w:val="16"/>
                <w:highlight w:val="none"/>
                <w:lang w:bidi="ar"/>
                <w14:textFill>
                  <w14:solidFill>
                    <w14:schemeClr w14:val="tx1"/>
                  </w14:solidFill>
                </w14:textFill>
              </w:rPr>
              <w:t>服务范围为彭阳县城区及下辖古城镇、白阳镇、红河镇、城阳乡、新集乡和草庙乡（以下简称“三镇三乡”）。处理对象</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为</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彭阳县三镇三乡区域内的</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建筑施工垃圾（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占本项目建筑垃圾原料来源比例约20%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）、建筑物拆除垃圾（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7</w:t>
            </w:r>
            <w:r>
              <w:rPr>
                <w:rFonts w:hint="eastAsia" w:ascii="Times New Roman" w:hAnsi="Times New Roman" w:eastAsia="仿宋_GB2312"/>
                <w:color w:val="000000" w:themeColor="text1"/>
                <w:kern w:val="16"/>
                <w:highlight w:val="none"/>
                <w:lang w:bidi="ar"/>
                <w14:textFill>
                  <w14:solidFill>
                    <w14:schemeClr w14:val="tx1"/>
                  </w14:solidFill>
                </w14:textFill>
              </w:rPr>
              <w:t>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）和道路开发垃圾（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eastAsia" w:ascii="Times New Roman" w:hAnsi="Times New Roman" w:eastAsia="仿宋_GB2312"/>
                <w:color w:val="000000" w:themeColor="text1"/>
                <w:kern w:val="16"/>
                <w:highlight w:val="none"/>
                <w:lang w:bidi="ar"/>
                <w14:textFill>
                  <w14:solidFill>
                    <w14:schemeClr w14:val="tx1"/>
                  </w14:solidFill>
                </w14:textFill>
              </w:rPr>
              <w:t>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）。基于此，本项目</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新建年处置规模约15万吨的建筑垃圾模块化可搬运型再生线（其中处置拆除建筑</w:t>
            </w:r>
            <w:r>
              <w:rPr>
                <w:rFonts w:hint="eastAsia" w:ascii="Times New Roman" w:hAnsi="Times New Roman" w:eastAsia="仿宋_GB2312" w:cs="Times New Roman"/>
                <w:strike w:val="0"/>
                <w:dstrike w:val="0"/>
                <w:color w:val="000000" w:themeColor="text1"/>
                <w:kern w:val="16"/>
                <w:sz w:val="24"/>
                <w:szCs w:val="24"/>
                <w:highlight w:val="none"/>
                <w:lang w:val="en-US" w:eastAsia="zh-CN" w:bidi="ar"/>
                <w14:textFill>
                  <w14:solidFill>
                    <w14:schemeClr w14:val="tx1"/>
                  </w14:solidFill>
                </w14:textFill>
              </w:rPr>
              <w:t>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14万吨/年，处置装修垃圾1万吨/年）</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。基于彭阳县建筑垃圾综合利用工艺，结合当地对于道路和市政工程用建筑材料的需求，利用处置建筑垃圾产生的原料，</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建设</w:t>
            </w:r>
            <w:r>
              <w:rPr>
                <w:rFonts w:hint="default" w:ascii="Times New Roman" w:hAnsi="Times New Roman" w:eastAsia="仿宋_GB2312" w:cs="Times New Roman"/>
                <w:strike w:val="0"/>
                <w:dstrike w:val="0"/>
                <w:color w:val="000000" w:themeColor="text1"/>
                <w:kern w:val="16"/>
                <w:sz w:val="24"/>
                <w:szCs w:val="24"/>
                <w:highlight w:val="none"/>
                <w:lang w:val="en-US" w:eastAsia="zh-CN" w:bidi="ar"/>
                <w14:textFill>
                  <w14:solidFill>
                    <w14:schemeClr w14:val="tx1"/>
                  </w14:solidFill>
                </w14:textFill>
              </w:rPr>
              <w:t>总和</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年产约15.5万m</w:t>
            </w:r>
            <w:r>
              <w:rPr>
                <w:rFonts w:hint="default" w:ascii="Times New Roman" w:hAnsi="Times New Roman" w:eastAsia="仿宋_GB2312" w:cs="Times New Roman"/>
                <w:color w:val="000000" w:themeColor="text1"/>
                <w:kern w:val="16"/>
                <w:sz w:val="24"/>
                <w:szCs w:val="24"/>
                <w:highlight w:val="none"/>
                <w:vertAlign w:val="superscript"/>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的再生混凝土制品生产线1条</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建设水泥稳定基再生骨料无机混合料（</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以下</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简称水稳料）移动式模块化生产线1条，形成水稳料产能14.5万吨/年</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并配套建设</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建筑垃圾原料储存、供水配电以及各项安全、自动化控制、办公与生活公共配套服务设施</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以及</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环保处理</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系统。</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具体工程组成内容详见下表2-1。</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2-1</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eastAsia"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本项目</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工程组成情况一览表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11"/>
              <w:gridCol w:w="1322"/>
              <w:gridCol w:w="1274"/>
              <w:gridCol w:w="350"/>
              <w:gridCol w:w="225"/>
              <w:gridCol w:w="1850"/>
              <w:gridCol w:w="25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444" w:hRule="atLeast"/>
                <w:tblHeader/>
                <w:jc w:val="center"/>
              </w:trPr>
              <w:tc>
                <w:tcPr>
                  <w:tcW w:w="811"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类别</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项目内容</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主体工程</w:t>
                  </w: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建筑垃圾再生利用车间</w:t>
                  </w:r>
                </w:p>
              </w:tc>
              <w:tc>
                <w:tcPr>
                  <w:tcW w:w="1624" w:type="dxa"/>
                  <w:gridSpan w:val="2"/>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1F，门钢结构，建筑高度10.3m，建筑面积5314.70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建筑垃圾预处理车间：</w:t>
                  </w:r>
                  <w:r>
                    <w:rPr>
                      <w:rFonts w:hint="eastAsia" w:cs="Times New Roman"/>
                      <w:color w:val="000000" w:themeColor="text1"/>
                      <w:szCs w:val="22"/>
                      <w:highlight w:val="none"/>
                      <w:lang w:val="en-US" w:eastAsia="zh-CN"/>
                      <w14:textFill>
                        <w14:solidFill>
                          <w14:schemeClr w14:val="tx1"/>
                        </w14:solidFill>
                      </w14:textFill>
                    </w:rPr>
                    <w:t>建筑、装饰垃圾原料由封闭型环保运输车辆运至厂区原料堆场。在车间内由工程机械或人工将粒度较大的块状物料，大型门窗，金属制品，生活垃圾，棉被织物等进行粗分拣。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建筑垃圾再生线</w:t>
                  </w:r>
                  <w:r>
                    <w:rPr>
                      <w:rFonts w:hint="eastAsia" w:cs="Times New Roman"/>
                      <w:color w:val="000000" w:themeColor="text1"/>
                      <w:szCs w:val="22"/>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产能：项目设计年处理能力15万吨。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主要设施：履带移动式重型筛分机、重型振动给料机、颚式破碎机、履带移动式反击破碎机、风选机等。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粗分拣后的建筑垃圾先经过一次除土和一次破碎，通过人工分拣后进行二次破碎；二次破碎后的物料通过二次除土后进入风选机处理后得到较为清洁的建筑垃圾再生骨料，再生骨料进入骨料暂存仓或进行成品分级筛分再转运至暂存仓，用于下游水稳料和再生混凝土制品资源化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b/>
                      <w:bCs/>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再生混凝土制品生产线：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val="0"/>
                      <w:bCs w:val="0"/>
                      <w:color w:val="000000" w:themeColor="text1"/>
                      <w:szCs w:val="22"/>
                      <w:highlight w:val="none"/>
                      <w:lang w:val="en-US" w:eastAsia="zh-CN"/>
                      <w14:textFill>
                        <w14:solidFill>
                          <w14:schemeClr w14:val="tx1"/>
                        </w14:solidFill>
                      </w14:textFill>
                    </w:rPr>
                    <w:t>产能：</w:t>
                  </w:r>
                  <w:r>
                    <w:rPr>
                      <w:rFonts w:hint="eastAsia" w:cs="Times New Roman"/>
                      <w:color w:val="000000" w:themeColor="text1"/>
                      <w:szCs w:val="22"/>
                      <w:highlight w:val="none"/>
                      <w:lang w:val="en-US" w:eastAsia="zh-CN"/>
                      <w14:textFill>
                        <w14:solidFill>
                          <w14:schemeClr w14:val="tx1"/>
                        </w14:solidFill>
                      </w14:textFill>
                    </w:rPr>
                    <w:t>本项目计划生产路面砖8万</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2"/>
                      <w:highlight w:val="none"/>
                      <w:lang w:val="en-US" w:eastAsia="zh-CN"/>
                      <w14:textFill>
                        <w14:solidFill>
                          <w14:schemeClr w14:val="tx1"/>
                        </w14:solidFill>
                      </w14:textFill>
                    </w:rPr>
                    <w:t>/年，生产路缘石7.5万</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2"/>
                      <w:highlight w:val="none"/>
                      <w:lang w:val="en-US" w:eastAsia="zh-CN"/>
                      <w14:textFill>
                        <w14:solidFill>
                          <w14:schemeClr w14:val="tx1"/>
                        </w14:solidFill>
                      </w14:textFill>
                    </w:rPr>
                    <w:t>/年。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主要设施：搅拌机、砌块成型机、叠板机、</w:t>
                  </w:r>
                  <w:r>
                    <w:rPr>
                      <w:rFonts w:hint="eastAsia"/>
                      <w:color w:val="000000" w:themeColor="text1"/>
                      <w:szCs w:val="22"/>
                      <w:highlight w:val="none"/>
                      <w14:textFill>
                        <w14:solidFill>
                          <w14:schemeClr w14:val="tx1"/>
                        </w14:solidFill>
                      </w14:textFill>
                    </w:rPr>
                    <w:t>供水系统</w:t>
                  </w:r>
                  <w:r>
                    <w:rPr>
                      <w:rFonts w:hint="eastAsia" w:cs="Times New Roman"/>
                      <w:color w:val="000000" w:themeColor="text1"/>
                      <w:szCs w:val="22"/>
                      <w:highlight w:val="none"/>
                      <w:lang w:val="en-US" w:eastAsia="zh-CN"/>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default"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工艺简述：将经过粗分拣后的建筑垃圾原料和外购水泥及粉煤灰加水进行搅拌后，通过砌块成型机振压成型，最终达到出厂售卖的标准。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b/>
                      <w:bCs/>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水稳料生产线：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val="0"/>
                      <w:bCs w:val="0"/>
                      <w:color w:val="000000" w:themeColor="text1"/>
                      <w:szCs w:val="22"/>
                      <w:highlight w:val="none"/>
                      <w:lang w:val="en-US" w:eastAsia="zh-CN"/>
                      <w14:textFill>
                        <w14:solidFill>
                          <w14:schemeClr w14:val="tx1"/>
                        </w14:solidFill>
                      </w14:textFill>
                    </w:rPr>
                    <w:t>产能：</w:t>
                  </w:r>
                  <w:r>
                    <w:rPr>
                      <w:rFonts w:hint="eastAsia" w:cs="Times New Roman"/>
                      <w:color w:val="000000" w:themeColor="text1"/>
                      <w:szCs w:val="22"/>
                      <w:highlight w:val="none"/>
                      <w:lang w:val="en-US" w:eastAsia="zh-CN"/>
                      <w14:textFill>
                        <w14:solidFill>
                          <w14:schemeClr w14:val="tx1"/>
                        </w14:solidFill>
                      </w14:textFill>
                    </w:rPr>
                    <w:t>本项目设计能力14.5万吨。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主要设施：搅拌机、</w:t>
                  </w:r>
                  <w:r>
                    <w:rPr>
                      <w:rFonts w:hint="eastAsia"/>
                      <w:color w:val="000000" w:themeColor="text1"/>
                      <w:szCs w:val="22"/>
                      <w:highlight w:val="none"/>
                      <w14:textFill>
                        <w14:solidFill>
                          <w14:schemeClr w14:val="tx1"/>
                        </w14:solidFill>
                      </w14:textFill>
                    </w:rPr>
                    <w:t>称量皮带机</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骨料输送机</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供水系统</w:t>
                  </w:r>
                  <w:r>
                    <w:rPr>
                      <w:rFonts w:hint="eastAsia" w:cs="Times New Roman"/>
                      <w:color w:val="000000" w:themeColor="text1"/>
                      <w:szCs w:val="22"/>
                      <w:highlight w:val="none"/>
                      <w:lang w:val="en-US" w:eastAsia="zh-CN"/>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工艺简述：将上游较为清洁的不同级别建筑垃圾再生骨料和外购水泥及粉煤灰加水进行搅拌后，通过叉车送至车间养护场地，最终达到出厂售卖的标准</w:t>
                  </w:r>
                  <w:r>
                    <w:rPr>
                      <w:rFonts w:hint="eastAsia"/>
                      <w:szCs w:val="22"/>
                      <w:lang w:val="en-US" w:eastAsia="zh-CN"/>
                    </w:rPr>
                    <w:t>通过罐车外运出售</w:t>
                  </w:r>
                  <w:r>
                    <w:rPr>
                      <w:rFonts w:hint="eastAsia" w:cs="Times New Roman"/>
                      <w:color w:val="000000" w:themeColor="text1"/>
                      <w:szCs w:val="22"/>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卸料仓</w:t>
                  </w:r>
                  <w:r>
                    <w:rPr>
                      <w:rFonts w:hint="eastAsia"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经粗分拣过后的建筑装饰垃圾暂存于卸料仓内，用于后续分质处理，采用编制覆盖和洒水的方式进行抑尘处理。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粉料筒仓罐</w:t>
                  </w:r>
                  <w:r>
                    <w:rPr>
                      <w:rFonts w:hint="eastAsia"/>
                      <w:szCs w:val="22"/>
                      <w:lang w:eastAsia="zh-CN"/>
                    </w:rPr>
                    <w:t>：</w:t>
                  </w:r>
                  <w:r>
                    <w:rPr>
                      <w:rFonts w:hint="eastAsia" w:cs="Times New Roman"/>
                      <w:color w:val="000000" w:themeColor="text1"/>
                      <w:kern w:val="2"/>
                      <w:sz w:val="21"/>
                      <w:szCs w:val="21"/>
                      <w:highlight w:val="none"/>
                      <w:lang w:val="en-US" w:eastAsia="zh-CN" w:bidi="ar-SA"/>
                      <w14:textFill>
                        <w14:solidFill>
                          <w14:schemeClr w14:val="tx1"/>
                        </w14:solidFill>
                      </w14:textFill>
                    </w:rPr>
                    <w:t>通过外购的粉料（水泥或粉煤灰）分别暂存于不同粉料筒仓罐内。</w:t>
                  </w:r>
                  <w:r>
                    <w:rPr>
                      <w:rFonts w:hint="eastAsia" w:ascii="宋体" w:hAnsi="宋体" w:eastAsia="宋体" w:cs="宋体"/>
                      <w:color w:val="000000"/>
                      <w:kern w:val="2"/>
                      <w:sz w:val="21"/>
                      <w:szCs w:val="21"/>
                    </w:rPr>
                    <w:t>再生混凝土制品生产线和水稳料生产线分别配套</w:t>
                  </w:r>
                  <w:r>
                    <w:rPr>
                      <w:rFonts w:hint="default" w:ascii="Times New Roman" w:hAnsi="Times New Roman" w:eastAsia="宋体" w:cs="Times New Roman"/>
                      <w:color w:val="000000"/>
                      <w:kern w:val="2"/>
                      <w:sz w:val="21"/>
                      <w:szCs w:val="21"/>
                    </w:rPr>
                    <w:t>2</w:t>
                  </w:r>
                  <w:r>
                    <w:rPr>
                      <w:rFonts w:hint="eastAsia" w:ascii="宋体" w:hAnsi="宋体" w:eastAsia="宋体" w:cs="宋体"/>
                      <w:color w:val="000000"/>
                      <w:kern w:val="2"/>
                      <w:sz w:val="21"/>
                      <w:szCs w:val="21"/>
                    </w:rPr>
                    <w:t>座粉料筒仓罐。其中再生混凝土制品生产线配套储量</w:t>
                  </w:r>
                  <w:r>
                    <w:rPr>
                      <w:rFonts w:hint="default" w:ascii="Times New Roman" w:hAnsi="Times New Roman" w:eastAsia="宋体" w:cs="Times New Roman"/>
                      <w:color w:val="000000"/>
                      <w:kern w:val="2"/>
                      <w:sz w:val="21"/>
                      <w:szCs w:val="21"/>
                    </w:rPr>
                    <w:t>60</w:t>
                  </w:r>
                  <w:r>
                    <w:rPr>
                      <w:rFonts w:hint="eastAsia" w:ascii="宋体" w:hAnsi="宋体" w:eastAsia="宋体" w:cs="宋体"/>
                      <w:color w:val="000000"/>
                      <w:kern w:val="2"/>
                      <w:sz w:val="21"/>
                      <w:szCs w:val="21"/>
                    </w:rPr>
                    <w:t>吨粉料筒仓罐，水稳料生产线</w:t>
                  </w:r>
                  <w:r>
                    <w:rPr>
                      <w:rFonts w:hint="eastAsia" w:cs="Times New Roman"/>
                      <w:color w:val="000000" w:themeColor="text1"/>
                      <w:kern w:val="2"/>
                      <w:sz w:val="21"/>
                      <w:szCs w:val="21"/>
                      <w:highlight w:val="none"/>
                      <w:lang w:val="en-US" w:eastAsia="zh-CN" w:bidi="ar-SA"/>
                      <w14:textFill>
                        <w14:solidFill>
                          <w14:schemeClr w14:val="tx1"/>
                        </w14:solidFill>
                      </w14:textFill>
                    </w:rPr>
                    <w:t>配套</w:t>
                  </w:r>
                  <w:r>
                    <w:rPr>
                      <w:rFonts w:hint="eastAsia" w:ascii="宋体" w:hAnsi="宋体" w:eastAsia="宋体" w:cs="宋体"/>
                      <w:color w:val="000000"/>
                      <w:kern w:val="2"/>
                      <w:sz w:val="21"/>
                      <w:szCs w:val="21"/>
                    </w:rPr>
                    <w:t>储量</w:t>
                  </w:r>
                  <w:r>
                    <w:rPr>
                      <w:rFonts w:hint="default" w:ascii="Times New Roman" w:hAnsi="Times New Roman" w:eastAsia="宋体" w:cs="Times New Roman"/>
                      <w:color w:val="000000"/>
                      <w:kern w:val="2"/>
                      <w:sz w:val="21"/>
                      <w:szCs w:val="21"/>
                    </w:rPr>
                    <w:t>100</w:t>
                  </w:r>
                  <w:r>
                    <w:rPr>
                      <w:rFonts w:hint="eastAsia" w:ascii="宋体" w:hAnsi="宋体" w:eastAsia="宋体" w:cs="宋体"/>
                      <w:color w:val="000000"/>
                      <w:kern w:val="2"/>
                      <w:sz w:val="21"/>
                      <w:szCs w:val="21"/>
                    </w:rPr>
                    <w:t>吨粉料筒仓罐</w:t>
                  </w:r>
                  <w:r>
                    <w:rPr>
                      <w:rFonts w:hint="eastAsia"/>
                      <w:color w:val="000000" w:themeColor="text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混合骨料暂存间</w:t>
                  </w:r>
                  <w:r>
                    <w:rPr>
                      <w:rFonts w:hint="eastAsia"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1F，</w:t>
                  </w:r>
                  <w:r>
                    <w:rPr>
                      <w:rFonts w:hint="eastAsia" w:cs="Times New Roman"/>
                      <w:color w:val="000000" w:themeColor="text1"/>
                      <w:szCs w:val="21"/>
                      <w:highlight w:val="none"/>
                      <w:lang w:val="en-US" w:eastAsia="zh-CN"/>
                      <w14:textFill>
                        <w14:solidFill>
                          <w14:schemeClr w14:val="tx1"/>
                        </w14:solidFill>
                      </w14:textFill>
                    </w:rPr>
                    <w:t>成品彩钢房。较为清洁的建筑垃圾再生骨料经筛分后分别贮存于各混合骨料暂存间内。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401"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r>
                    <w:rPr>
                      <w:rFonts w:hint="default" w:ascii="Times New Roman" w:hAnsi="Times New Roman" w:cs="Times New Roman"/>
                      <w:b/>
                      <w:bCs/>
                      <w:color w:val="000000" w:themeColor="text1"/>
                      <w:kern w:val="2"/>
                      <w:sz w:val="21"/>
                      <w:szCs w:val="20"/>
                      <w:highlight w:val="none"/>
                      <w:lang w:val="en-US" w:eastAsia="zh-CN" w:bidi="ar"/>
                      <w14:textFill>
                        <w14:solidFill>
                          <w14:schemeClr w14:val="tx1"/>
                        </w14:solidFill>
                      </w14:textFill>
                    </w:rPr>
                    <w:t>辅助工程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管理用房</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1F，混凝土框架，建筑面积472.00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主要功能为生活及办公</w:t>
                  </w:r>
                  <w:r>
                    <w:rPr>
                      <w:rFonts w:hint="eastAsia" w:cs="Times New Roman"/>
                      <w:color w:val="000000" w:themeColor="text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532"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2"/>
                      <w:highlight w:val="none"/>
                      <w:lang w:val="en-US" w:eastAsia="zh-CN" w:bidi="ar-SA"/>
                      <w14:textFill>
                        <w14:solidFill>
                          <w14:schemeClr w14:val="tx1"/>
                        </w14:solidFill>
                      </w14:textFill>
                    </w:rPr>
                    <w:t>成品辅助用房</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color w:val="FF0000"/>
                      <w:kern w:val="2"/>
                      <w:sz w:val="21"/>
                      <w:szCs w:val="21"/>
                      <w:highlight w:val="none"/>
                      <w:lang w:val="en-US" w:eastAsia="zh-CN" w:bidi="ar-SA"/>
                    </w:rPr>
                  </w:pPr>
                  <w:r>
                    <w:rPr>
                      <w:rFonts w:hint="eastAsia" w:cs="Times New Roman"/>
                      <w:color w:val="000000" w:themeColor="text1"/>
                      <w:szCs w:val="21"/>
                      <w:highlight w:val="none"/>
                      <w:lang w:val="en-US" w:eastAsia="zh-CN"/>
                      <w14:textFill>
                        <w14:solidFill>
                          <w14:schemeClr w14:val="tx1"/>
                        </w14:solidFill>
                      </w14:textFill>
                    </w:rPr>
                    <w:t>1F，成品彩钢房，建筑面积43.20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主要功能为生产线控制室及临时休息室</w:t>
                  </w: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4"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FF0000"/>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储运工程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原料</w:t>
                  </w:r>
                  <w:r>
                    <w:rPr>
                      <w:rFonts w:hint="eastAsia" w:cs="Times New Roman"/>
                      <w:color w:val="000000" w:themeColor="text1"/>
                      <w:szCs w:val="21"/>
                      <w:highlight w:val="none"/>
                      <w:lang w:val="en-US" w:eastAsia="zh-CN"/>
                      <w14:textFill>
                        <w14:solidFill>
                          <w14:schemeClr w14:val="tx1"/>
                        </w14:solidFill>
                      </w14:textFill>
                    </w:rPr>
                    <w:t>堆场</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室外露天</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，地面混凝土硬化</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szCs w:val="22"/>
                      <w:lang w:val="en-US" w:eastAsia="zh-CN"/>
                    </w:rPr>
                    <w:t>面积约3000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kern w:val="2"/>
                      <w:sz w:val="21"/>
                      <w:szCs w:val="21"/>
                      <w:highlight w:val="none"/>
                      <w:lang w:val="en-US" w:eastAsia="zh-CN" w:bidi="ar-SA"/>
                      <w14:textFill>
                        <w14:solidFill>
                          <w14:schemeClr w14:val="tx1"/>
                        </w14:solidFill>
                      </w14:textFill>
                    </w:rPr>
                    <w:t>，有效储量约15000t。</w:t>
                  </w:r>
                  <w:r>
                    <w:rPr>
                      <w:rFonts w:hint="eastAsia"/>
                      <w:color w:val="000000" w:themeColor="text1"/>
                      <w:szCs w:val="21"/>
                      <w:highlight w:val="none"/>
                      <w14:textFill>
                        <w14:solidFill>
                          <w14:schemeClr w14:val="tx1"/>
                        </w14:solidFill>
                      </w14:textFill>
                    </w:rPr>
                    <w:t xml:space="preserve"> </w:t>
                  </w:r>
                  <w:r>
                    <w:rPr>
                      <w:rFonts w:hint="eastAsia"/>
                      <w:color w:val="000000" w:themeColor="text1"/>
                      <w:szCs w:val="21"/>
                      <w:highlight w:val="none"/>
                      <w:lang w:val="en-US" w:eastAsia="zh-CN"/>
                      <w14:textFill>
                        <w14:solidFill>
                          <w14:schemeClr w14:val="tx1"/>
                        </w14:solidFill>
                      </w14:textFill>
                    </w:rPr>
                    <w:t>采用</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堆放区地坪标高应高于周围场地至少0.15米，四周应设置排水沟，满足场地雨水导排要求。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78"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再生产品堆场</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室外露天</w:t>
                  </w:r>
                  <w:r>
                    <w:rPr>
                      <w:rFonts w:hint="default" w:ascii="Times New Roman" w:hAnsi="Times New Roman" w:cs="Times New Roman"/>
                      <w:color w:val="000000" w:themeColor="text1"/>
                      <w:szCs w:val="21"/>
                      <w:highlight w:val="none"/>
                      <w:lang w:val="en-US" w:eastAsia="zh-CN"/>
                      <w14:textFill>
                        <w14:solidFill>
                          <w14:schemeClr w14:val="tx1"/>
                        </w14:solidFill>
                      </w14:textFill>
                    </w:rPr>
                    <w:t>，地面混凝土硬化</w:t>
                  </w:r>
                  <w:r>
                    <w:rPr>
                      <w:rFonts w:hint="eastAsia" w:cs="Times New Roman"/>
                      <w:color w:val="000000" w:themeColor="text1"/>
                      <w:szCs w:val="21"/>
                      <w:highlight w:val="none"/>
                      <w:lang w:val="en-US" w:eastAsia="zh-CN"/>
                      <w14:textFill>
                        <w14:solidFill>
                          <w14:schemeClr w14:val="tx1"/>
                        </w14:solidFill>
                      </w14:textFill>
                    </w:rPr>
                    <w:t>，</w:t>
                  </w:r>
                  <w:r>
                    <w:rPr>
                      <w:rFonts w:hint="eastAsia"/>
                      <w:szCs w:val="22"/>
                      <w:lang w:val="en-US" w:eastAsia="zh-CN"/>
                    </w:rPr>
                    <w:t>面积约1000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储量根据厂区生产情况</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采用</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堆放区地坪标高应高于周围场地至少0.15米，四周应设置排水沟，满足场地雨水导排要求。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公用工程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FF0000"/>
                      <w:kern w:val="2"/>
                      <w:sz w:val="21"/>
                      <w:szCs w:val="22"/>
                      <w:highlight w:val="none"/>
                      <w:lang w:val="en-US" w:eastAsia="zh-CN" w:bidi="ar-SA"/>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给水</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本项目用水由项目区北侧一公里处的De300市政给水管网供水，从供水点引入一根De160pE管至本项目区内，提供本项目的生产、生活和消防用水。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FF0000"/>
                      <w:kern w:val="2"/>
                      <w:sz w:val="21"/>
                      <w:szCs w:val="22"/>
                      <w:highlight w:val="none"/>
                      <w:lang w:val="en-US" w:eastAsia="zh-CN" w:bidi="ar-SA"/>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本项目生产、生活</w:t>
                  </w:r>
                  <w:r>
                    <w:rPr>
                      <w:rFonts w:hint="default" w:ascii="Times New Roman" w:hAnsi="Times New Roman" w:cs="Times New Roman"/>
                      <w:color w:val="000000" w:themeColor="text1"/>
                      <w:szCs w:val="22"/>
                      <w:highlight w:val="none"/>
                      <w:lang w:val="en-US" w:eastAsia="zh-CN"/>
                      <w14:textFill>
                        <w14:solidFill>
                          <w14:schemeClr w14:val="tx1"/>
                        </w14:solidFill>
                      </w14:textFill>
                    </w:rPr>
                    <w:t>总用水量为</w:t>
                  </w:r>
                  <w:r>
                    <w:rPr>
                      <w:rFonts w:hint="eastAsia" w:cs="Times New Roman"/>
                      <w:color w:val="000000" w:themeColor="text1"/>
                      <w:szCs w:val="22"/>
                      <w:highlight w:val="none"/>
                      <w:lang w:val="en-US" w:eastAsia="zh-CN"/>
                      <w14:textFill>
                        <w14:solidFill>
                          <w14:schemeClr w14:val="tx1"/>
                        </w14:solidFill>
                      </w14:textFill>
                    </w:rPr>
                    <w:t>187.95</w:t>
                  </w:r>
                  <w:r>
                    <w:rPr>
                      <w:rFonts w:hint="default" w:ascii="Times New Roman" w:hAnsi="Times New Roman" w:cs="Times New Roman"/>
                      <w:color w:val="000000" w:themeColor="text1"/>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Cs w:val="22"/>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2"/>
                      <w:highlight w:val="none"/>
                      <w:lang w:val="en-US" w:eastAsia="zh-CN"/>
                      <w14:textFill>
                        <w14:solidFill>
                          <w14:schemeClr w14:val="tx1"/>
                        </w14:solidFill>
                      </w14:textFill>
                    </w:rPr>
                    <w:t>/d</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室外消防</w:t>
                  </w:r>
                  <w:r>
                    <w:rPr>
                      <w:rFonts w:hint="eastAsia"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用水设置消防水龙和室外消火栓系统，</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设计</w:t>
                  </w:r>
                  <w:r>
                    <w:rPr>
                      <w:rFonts w:hint="eastAsia"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用水量为20L/S</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排水</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生产废水：产生量为16.69</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在原料堆场区设置30m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生产废水收集沉淀池，经沉淀后，上清液循环使用，不外排</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snapToGrid w:val="0"/>
                      <w:color w:val="000000" w:themeColor="text1"/>
                      <w:szCs w:val="22"/>
                      <w:highlight w:val="none"/>
                      <w:lang w:bidi="ar"/>
                      <w14:textFill>
                        <w14:solidFill>
                          <w14:schemeClr w14:val="tx1"/>
                        </w14:solidFill>
                      </w14:textFill>
                    </w:rPr>
                    <w:t>车辆冲洗排水：</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产生量为0.63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snapToGrid w:val="0"/>
                      <w:color w:val="000000" w:themeColor="text1"/>
                      <w:szCs w:val="22"/>
                      <w:highlight w:val="none"/>
                      <w:lang w:bidi="ar"/>
                      <w14:textFill>
                        <w14:solidFill>
                          <w14:schemeClr w14:val="tx1"/>
                        </w14:solidFill>
                      </w14:textFill>
                    </w:rPr>
                    <w:t>外排至管网，经化粪池处理后，由专业人员定期清理外运至彭阳县第二污水处理厂</w:t>
                  </w:r>
                  <w:r>
                    <w:rPr>
                      <w:rFonts w:hint="eastAsia" w:ascii="Times New Roman" w:hAnsi="Times New Roman" w:eastAsia="宋体" w:cs="Times New Roman"/>
                      <w:b w:val="0"/>
                      <w:bCs w:val="0"/>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生活污水：产生量为</w:t>
                  </w:r>
                  <w:r>
                    <w:rPr>
                      <w:rFonts w:hint="eastAsia" w:eastAsia="仿宋_GB2312" w:cs="Times New Roman"/>
                      <w:b w:val="0"/>
                      <w:bCs w:val="0"/>
                      <w:color w:val="000000" w:themeColor="text1"/>
                      <w:kern w:val="16"/>
                      <w:sz w:val="21"/>
                      <w:szCs w:val="21"/>
                      <w:highlight w:val="none"/>
                      <w:lang w:val="en-US" w:eastAsia="zh-CN" w:bidi="ar"/>
                      <w14:textFill>
                        <w14:solidFill>
                          <w14:schemeClr w14:val="tx1"/>
                        </w14:solidFill>
                      </w14:textFill>
                    </w:rPr>
                    <w:t>2.86</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共设有2座化粪池，管理用房生活污水经管道排至室外20m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化粪池，生产区卫生间污水经管道排至卫生间下方设置的12m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化粪池，由专业人员定期清理外运至彭阳县第二污水处理厂。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雨水：设计重现期5年，屋面雨水均采用重力流排水系统，经雨水管排至室外散水，建筑物室外地面、道路雨水由场地竖向找坡排入室外雨水明沟，最后由设置在场区四周护坡内的导流槽排入周围的泄水沟内。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FF0000"/>
                      <w:kern w:val="2"/>
                      <w:sz w:val="21"/>
                      <w:szCs w:val="20"/>
                      <w:highlight w:val="none"/>
                      <w:lang w:val="en-US" w:eastAsia="zh-CN" w:bidi="ar"/>
                    </w:rPr>
                  </w:pPr>
                  <w:r>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t>供热</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snapToGrid w:val="0"/>
                      <w:color w:val="FF0000"/>
                      <w:kern w:val="2"/>
                      <w:sz w:val="21"/>
                      <w:szCs w:val="20"/>
                      <w:highlight w:val="none"/>
                      <w:lang w:val="en-US" w:eastAsia="zh-CN" w:bidi="ar"/>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本项目管理用房室内采用散热器供暖，供回水温度50℃/40℃的热水。由室外设置的空气源热泵做为热源供暖。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t>供</w:t>
                  </w:r>
                  <w:r>
                    <w:rPr>
                      <w:rFonts w:hint="default" w:ascii="Times New Roman" w:hAnsi="Times New Roman" w:cs="Times New Roman"/>
                      <w:color w:val="000000" w:themeColor="text1"/>
                      <w:szCs w:val="22"/>
                      <w:highlight w:val="none"/>
                      <w:lang w:eastAsia="zh-CN"/>
                      <w14:textFill>
                        <w14:solidFill>
                          <w14:schemeClr w14:val="tx1"/>
                        </w14:solidFill>
                      </w14:textFill>
                    </w:rPr>
                    <w:t>电</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项目配套建设10kV电网线路引至项目</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厂区</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环保工程</w:t>
                  </w: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t>废气</w:t>
                  </w: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t>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建筑、装饰垃圾再生线产生的废气主要来源于建筑垃圾原料运输卸料阶段、破碎环节、筛分环节、风选环节以及建筑垃圾再生骨料装卸阶段。本项目再生混凝土制品生产线产生的废气主要来源于建筑垃圾原料运输装卸阶段、水泥输送阶段以及搅拌机搅拌环节。本项目水稳料生产线产生的废气主要来源于混合骨料上料阶段、水泥输送阶段以及搅拌机搅拌环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szCs w:val="22"/>
                    </w:rPr>
                  </w:pPr>
                  <w:r>
                    <w:rPr>
                      <w:rFonts w:hint="eastAsia" w:cs="Times New Roman"/>
                      <w:color w:val="000000" w:themeColor="text1"/>
                      <w:sz w:val="21"/>
                      <w:szCs w:val="21"/>
                      <w:lang w:val="en-US" w:eastAsia="zh-CN"/>
                      <w14:textFill>
                        <w14:solidFill>
                          <w14:schemeClr w14:val="tx1"/>
                        </w14:solidFill>
                      </w14:textFill>
                    </w:rPr>
                    <w:t>建筑垃圾原料运输卸料阶段</w:t>
                  </w:r>
                </w:p>
              </w:tc>
              <w:tc>
                <w:tcPr>
                  <w:tcW w:w="4408" w:type="dxa"/>
                  <w:gridSpan w:val="2"/>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eastAsia="宋体"/>
                      <w:szCs w:val="22"/>
                      <w:lang w:val="en-US" w:eastAsia="zh-CN"/>
                    </w:rPr>
                  </w:pPr>
                  <w:r>
                    <w:rPr>
                      <w:rFonts w:hint="eastAsia"/>
                      <w:szCs w:val="22"/>
                    </w:rPr>
                    <w:t>建筑</w:t>
                  </w:r>
                  <w:r>
                    <w:rPr>
                      <w:rFonts w:hint="eastAsia"/>
                      <w:szCs w:val="22"/>
                      <w:lang w:val="en-US" w:eastAsia="zh-CN"/>
                    </w:rPr>
                    <w:t>垃圾原料</w:t>
                  </w:r>
                  <w:r>
                    <w:rPr>
                      <w:rFonts w:hint="eastAsia"/>
                      <w:szCs w:val="22"/>
                    </w:rPr>
                    <w:t>卸料环节位于</w:t>
                  </w:r>
                  <w:r>
                    <w:rPr>
                      <w:rFonts w:hint="eastAsia"/>
                      <w:szCs w:val="22"/>
                      <w:lang w:val="en-US" w:eastAsia="zh-CN"/>
                    </w:rPr>
                    <w:t>室外裸露原料堆场上</w:t>
                  </w:r>
                  <w:r>
                    <w:rPr>
                      <w:rFonts w:hint="eastAsia"/>
                      <w:szCs w:val="22"/>
                    </w:rPr>
                    <w:t>，</w:t>
                  </w:r>
                  <w:r>
                    <w:rPr>
                      <w:rFonts w:hint="eastAsia"/>
                      <w:szCs w:val="22"/>
                      <w:lang w:val="en-US" w:eastAsia="zh-CN"/>
                    </w:rPr>
                    <w:t>后转移至卸料仓</w:t>
                  </w:r>
                  <w:r>
                    <w:rPr>
                      <w:rFonts w:hint="eastAsia"/>
                      <w:szCs w:val="22"/>
                      <w:lang w:eastAsia="zh-CN"/>
                    </w:rPr>
                    <w:t>。</w:t>
                  </w:r>
                  <w:r>
                    <w:rPr>
                      <w:rFonts w:hint="eastAsia"/>
                      <w:szCs w:val="22"/>
                      <w:lang w:val="en-US" w:eastAsia="zh-CN"/>
                    </w:rPr>
                    <w:t>卸料仓</w:t>
                  </w:r>
                  <w:r>
                    <w:rPr>
                      <w:rFonts w:hint="eastAsia" w:cs="Times New Roman"/>
                      <w:color w:val="000000" w:themeColor="text1"/>
                      <w:kern w:val="2"/>
                      <w:sz w:val="21"/>
                      <w:szCs w:val="21"/>
                      <w:highlight w:val="none"/>
                      <w:lang w:val="en-US" w:eastAsia="zh-CN" w:bidi="ar-SA"/>
                      <w14:textFill>
                        <w14:solidFill>
                          <w14:schemeClr w14:val="tx1"/>
                        </w14:solidFill>
                      </w14:textFill>
                    </w:rPr>
                    <w:t>采用编制覆盖和洒水的方式进行抑尘处理。</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厂区进场</w:t>
                  </w:r>
                  <w:r>
                    <w:rPr>
                      <w:rFonts w:hint="eastAsia"/>
                      <w:color w:val="000000" w:themeColor="text1"/>
                      <w:szCs w:val="21"/>
                      <w:lang w:val="en-US" w:eastAsia="zh-CN"/>
                      <w14:textFill>
                        <w14:solidFill>
                          <w14:schemeClr w14:val="tx1"/>
                        </w14:solidFill>
                      </w14:textFill>
                    </w:rPr>
                    <w:t>道路两旁设置</w:t>
                  </w:r>
                  <w:r>
                    <w:rPr>
                      <w:rFonts w:hint="default"/>
                      <w:szCs w:val="22"/>
                    </w:rPr>
                    <w:t>雾炮环保系统降尘</w:t>
                  </w:r>
                  <w:r>
                    <w:rPr>
                      <w:rFonts w:hint="eastAsia"/>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建筑垃圾再生骨料装卸阶段</w:t>
                  </w:r>
                </w:p>
              </w:tc>
              <w:tc>
                <w:tcPr>
                  <w:tcW w:w="4408" w:type="dxa"/>
                  <w:gridSpan w:val="2"/>
                  <w:tcBorders>
                    <w:tl2br w:val="nil"/>
                    <w:tr2bl w:val="nil"/>
                  </w:tcBorders>
                  <w:shd w:val="clear" w:color="auto" w:fill="auto"/>
                  <w:noWrap/>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kern w:val="2"/>
                      <w:sz w:val="21"/>
                      <w:szCs w:val="22"/>
                      <w:lang w:val="en-US" w:eastAsia="zh-CN" w:bidi="ar-SA"/>
                    </w:rPr>
                  </w:pPr>
                  <w:r>
                    <w:rPr>
                      <w:rFonts w:hint="eastAsia"/>
                      <w:szCs w:val="22"/>
                      <w:lang w:val="en-US" w:eastAsia="zh-CN"/>
                    </w:rPr>
                    <w:t>经风选过后较为清洁的建筑垃圾再生骨料</w:t>
                  </w:r>
                  <w:r>
                    <w:rPr>
                      <w:rFonts w:hint="eastAsia" w:cs="Times New Roman"/>
                      <w:color w:val="000000" w:themeColor="text1"/>
                      <w:szCs w:val="21"/>
                      <w:highlight w:val="none"/>
                      <w:lang w:val="en-US" w:eastAsia="zh-CN"/>
                      <w14:textFill>
                        <w14:solidFill>
                          <w14:schemeClr w14:val="tx1"/>
                        </w14:solidFill>
                      </w14:textFill>
                    </w:rPr>
                    <w:t>经筛分后分别贮存于各混合骨料暂存间内</w:t>
                  </w:r>
                  <w:r>
                    <w:rPr>
                      <w:rFonts w:hint="eastAsia"/>
                      <w:szCs w:val="22"/>
                      <w:lang w:val="en-US" w:eastAsia="zh-CN"/>
                    </w:rPr>
                    <w:t>，采用编制覆盖和洒水的方式抑尘，需要时拉运至再生产品堆场。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w:t>
                  </w:r>
                </w:p>
              </w:tc>
              <w:tc>
                <w:tcPr>
                  <w:tcW w:w="4408" w:type="dxa"/>
                  <w:gridSpan w:val="2"/>
                  <w:tcBorders>
                    <w:tl2br w:val="nil"/>
                    <w:tr2bl w:val="nil"/>
                  </w:tcBorders>
                  <w:shd w:val="clear" w:color="auto" w:fill="auto"/>
                  <w:noWrap/>
                  <w:tcMar>
                    <w:left w:w="57" w:type="dxa"/>
                    <w:right w:w="57" w:type="dxa"/>
                  </w:tcMar>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firstLine="420" w:firstLineChars="200"/>
                    <w:rPr>
                      <w:szCs w:val="22"/>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未收集到的粉尘通过加强厂房封闭，</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颚式破碎破碎环节</w:t>
                  </w:r>
                </w:p>
              </w:tc>
              <w:tc>
                <w:tcPr>
                  <w:tcW w:w="1850"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ascii="Times New Roman" w:hAnsi="Times New Roman" w:eastAsia="宋体" w:cs="Times New Roman"/>
                      <w:kern w:val="2"/>
                      <w:sz w:val="21"/>
                      <w:szCs w:val="22"/>
                      <w:lang w:val="en-US" w:eastAsia="zh-CN" w:bidi="ar-SA"/>
                    </w:rPr>
                  </w:pPr>
                  <w:r>
                    <w:rPr>
                      <w:rFonts w:hint="eastAsia"/>
                      <w:szCs w:val="22"/>
                    </w:rPr>
                    <w:t>设置1</w:t>
                  </w:r>
                  <w:r>
                    <w:rPr>
                      <w:rFonts w:hint="eastAsia"/>
                      <w:szCs w:val="22"/>
                      <w:lang w:val="en-US" w:eastAsia="zh-CN"/>
                    </w:rPr>
                    <w:t>套</w:t>
                  </w:r>
                  <w:r>
                    <w:rPr>
                      <w:rFonts w:hint="eastAsia"/>
                      <w:szCs w:val="22"/>
                    </w:rPr>
                    <w:t>集气罩</w:t>
                  </w:r>
                </w:p>
              </w:tc>
              <w:tc>
                <w:tcPr>
                  <w:tcW w:w="2558"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r>
                    <w:rPr>
                      <w:rFonts w:hint="eastAsia"/>
                      <w:szCs w:val="22"/>
                    </w:rPr>
                    <w:t>通过“负压收集+1套布袋除尘器+</w:t>
                  </w:r>
                  <w:r>
                    <w:rPr>
                      <w:rFonts w:hint="eastAsia"/>
                      <w:szCs w:val="22"/>
                      <w:lang w:val="en-US" w:eastAsia="zh-CN"/>
                    </w:rPr>
                    <w:t>15</w:t>
                  </w:r>
                  <w:r>
                    <w:rPr>
                      <w:rFonts w:hint="eastAsia"/>
                      <w:szCs w:val="22"/>
                    </w:rPr>
                    <w:t>m高排气筒（DA001）”</w:t>
                  </w:r>
                  <w:r>
                    <w:rPr>
                      <w:rFonts w:hint="eastAsia"/>
                      <w:szCs w:val="22"/>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风选机风选</w:t>
                  </w:r>
                  <w:r>
                    <w:rPr>
                      <w:rFonts w:hint="eastAsia"/>
                      <w:color w:val="000000" w:themeColor="text1"/>
                      <w:szCs w:val="21"/>
                      <w:lang w:val="en-US" w:eastAsia="zh-CN"/>
                      <w14:textFill>
                        <w14:solidFill>
                          <w14:schemeClr w14:val="tx1"/>
                        </w14:solidFill>
                      </w14:textFill>
                    </w:rPr>
                    <w:t>环节</w:t>
                  </w:r>
                </w:p>
              </w:tc>
              <w:tc>
                <w:tcPr>
                  <w:tcW w:w="1850"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eastAsia" w:ascii="Times New Roman" w:hAnsi="Times New Roman" w:eastAsia="宋体" w:cs="Times New Roman"/>
                      <w:kern w:val="2"/>
                      <w:sz w:val="21"/>
                      <w:szCs w:val="22"/>
                      <w:lang w:val="en-US" w:eastAsia="zh-CN" w:bidi="ar-SA"/>
                    </w:rPr>
                  </w:pPr>
                  <w:r>
                    <w:rPr>
                      <w:rFonts w:hint="eastAsia"/>
                      <w:szCs w:val="22"/>
                    </w:rPr>
                    <w:t>设置1</w:t>
                  </w:r>
                  <w:r>
                    <w:rPr>
                      <w:rFonts w:hint="eastAsia"/>
                      <w:szCs w:val="22"/>
                      <w:lang w:val="en-US" w:eastAsia="zh-CN"/>
                    </w:rPr>
                    <w:t>套</w:t>
                  </w:r>
                  <w:r>
                    <w:rPr>
                      <w:rFonts w:hint="eastAsia"/>
                      <w:szCs w:val="22"/>
                    </w:rPr>
                    <w:t>集气罩</w:t>
                  </w:r>
                </w:p>
              </w:tc>
              <w:tc>
                <w:tcPr>
                  <w:tcW w:w="2558"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r>
                    <w:rPr>
                      <w:rFonts w:hint="eastAsia"/>
                      <w:szCs w:val="22"/>
                    </w:rPr>
                    <w:t>通过“负压收集+1套布袋除尘器+</w:t>
                  </w:r>
                  <w:r>
                    <w:rPr>
                      <w:rFonts w:hint="eastAsia"/>
                      <w:szCs w:val="22"/>
                      <w:lang w:val="en-US" w:eastAsia="zh-CN"/>
                    </w:rPr>
                    <w:t>15</w:t>
                  </w:r>
                  <w:r>
                    <w:rPr>
                      <w:rFonts w:hint="eastAsia"/>
                      <w:szCs w:val="22"/>
                    </w:rPr>
                    <w:t>m高排气筒（DA00</w:t>
                  </w:r>
                  <w:r>
                    <w:rPr>
                      <w:rFonts w:hint="eastAsia"/>
                      <w:szCs w:val="22"/>
                      <w:lang w:val="en-US" w:eastAsia="zh-CN"/>
                    </w:rPr>
                    <w:t>2</w:t>
                  </w:r>
                  <w:r>
                    <w:rPr>
                      <w:rFonts w:hint="eastAsia"/>
                      <w:szCs w:val="22"/>
                    </w:rPr>
                    <w:t>）”</w:t>
                  </w:r>
                  <w:r>
                    <w:rPr>
                      <w:rFonts w:hint="eastAsia"/>
                      <w:szCs w:val="22"/>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4408" w:type="dxa"/>
                  <w:gridSpan w:val="2"/>
                  <w:vMerge w:val="restart"/>
                  <w:tcBorders>
                    <w:tl2br w:val="nil"/>
                    <w:tr2bl w:val="nil"/>
                  </w:tcBorders>
                  <w:shd w:val="clear" w:color="auto" w:fill="auto"/>
                  <w:noWrap/>
                  <w:tcMar>
                    <w:left w:w="57" w:type="dxa"/>
                    <w:right w:w="57" w:type="dxa"/>
                  </w:tcMar>
                  <w:vAlign w:val="center"/>
                </w:tcPr>
                <w:p>
                  <w:pPr>
                    <w:pStyle w:val="36"/>
                    <w:keepNext w:val="0"/>
                    <w:keepLines w:val="0"/>
                    <w:suppressLineNumbers w:val="0"/>
                    <w:spacing w:before="0" w:beforeAutospacing="0" w:afterAutospacing="0" w:line="240" w:lineRule="auto"/>
                    <w:ind w:left="0" w:right="0" w:firstLine="420" w:firstLineChars="200"/>
                    <w:rPr>
                      <w:szCs w:val="22"/>
                    </w:rPr>
                  </w:pPr>
                  <w:r>
                    <w:rPr>
                      <w:rFonts w:hint="eastAsia"/>
                      <w:b w:val="0"/>
                      <w:bCs w:val="0"/>
                      <w:szCs w:val="22"/>
                    </w:rPr>
                    <w:t>每个粉料筒仓罐排气孔处均安装有布袋除尘器</w:t>
                  </w:r>
                  <w:r>
                    <w:rPr>
                      <w:rFonts w:hint="eastAsia"/>
                      <w:b w:val="0"/>
                      <w:bCs w:val="0"/>
                      <w:szCs w:val="22"/>
                      <w:lang w:eastAsia="zh-CN"/>
                    </w:rPr>
                    <w:t>，</w:t>
                  </w:r>
                  <w:r>
                    <w:rPr>
                      <w:rFonts w:hint="eastAsia"/>
                      <w:b w:val="0"/>
                      <w:bCs w:val="0"/>
                      <w:szCs w:val="22"/>
                    </w:rPr>
                    <w:t>在往粉料筒仓罐中输送时，产生的粉尘经粉料筒仓罐罐顶的布袋除尘器处理</w:t>
                  </w:r>
                  <w:r>
                    <w:rPr>
                      <w:rFonts w:hint="eastAsia"/>
                      <w:b w:val="0"/>
                      <w:bCs w:val="0"/>
                      <w:szCs w:val="22"/>
                      <w:lang w:val="en-US" w:eastAsia="zh-CN"/>
                    </w:rPr>
                    <w:t>后，</w:t>
                  </w:r>
                  <w:r>
                    <w:rPr>
                      <w:rFonts w:hint="eastAsia" w:ascii="Times New Roman" w:hAnsi="Times New Roman" w:eastAsia="宋体" w:cs="Times New Roman"/>
                      <w:b w:val="0"/>
                      <w:bCs w:val="0"/>
                      <w:snapToGrid/>
                      <w:kern w:val="2"/>
                      <w:sz w:val="21"/>
                      <w:szCs w:val="22"/>
                    </w:rPr>
                    <w:t>通过</w:t>
                  </w:r>
                  <w:r>
                    <w:rPr>
                      <w:rFonts w:hint="eastAsia" w:eastAsia="宋体" w:cs="Times New Roman"/>
                      <w:b w:val="0"/>
                      <w:bCs w:val="0"/>
                      <w:kern w:val="2"/>
                      <w:sz w:val="21"/>
                      <w:szCs w:val="22"/>
                      <w:lang w:val="en-US" w:eastAsia="zh-CN" w:bidi="ar-SA"/>
                    </w:rPr>
                    <w:t>粉料筒仓罐</w:t>
                  </w:r>
                  <w:r>
                    <w:rPr>
                      <w:rFonts w:hint="eastAsia" w:ascii="Times New Roman" w:hAnsi="Times New Roman" w:eastAsia="宋体" w:cs="Times New Roman"/>
                      <w:b w:val="0"/>
                      <w:bCs w:val="0"/>
                      <w:snapToGrid/>
                      <w:kern w:val="2"/>
                      <w:sz w:val="21"/>
                      <w:szCs w:val="22"/>
                    </w:rPr>
                    <w:t>呼吸口排出，属于无组织排放。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4408"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再生混凝土制品生产线搅拌阶段</w:t>
                  </w:r>
                </w:p>
              </w:tc>
              <w:tc>
                <w:tcPr>
                  <w:tcW w:w="4408" w:type="dxa"/>
                  <w:gridSpan w:val="2"/>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eastAsia="宋体"/>
                      <w:szCs w:val="22"/>
                      <w:lang w:eastAsia="zh-CN"/>
                    </w:rPr>
                  </w:pPr>
                  <w:r>
                    <w:rPr>
                      <w:rFonts w:hint="eastAsia" w:cs="Times New Roman"/>
                      <w:b w:val="0"/>
                      <w:bCs w:val="0"/>
                      <w:kern w:val="2"/>
                      <w:sz w:val="21"/>
                      <w:szCs w:val="22"/>
                      <w:lang w:val="en-US" w:eastAsia="zh-CN" w:bidi="ar-SA"/>
                    </w:rPr>
                    <w:t>本项目采用全密闭搅拌，每台</w:t>
                  </w:r>
                  <w:r>
                    <w:rPr>
                      <w:rFonts w:hint="eastAsia"/>
                      <w:szCs w:val="22"/>
                    </w:rPr>
                    <w:t>搅拌机</w:t>
                  </w:r>
                  <w:r>
                    <w:rPr>
                      <w:rFonts w:hint="eastAsia"/>
                      <w:szCs w:val="22"/>
                      <w:lang w:val="en-US" w:eastAsia="zh-CN"/>
                    </w:rPr>
                    <w:t>分别</w:t>
                  </w:r>
                  <w:r>
                    <w:rPr>
                      <w:rFonts w:hint="eastAsia"/>
                      <w:szCs w:val="22"/>
                    </w:rPr>
                    <w:t>配置脉冲布袋除尘器，搅拌过程中在搅拌装置处设置管道，通过管道将粉尘引入配套的1套脉冲布袋除尘器（除尘效率99.7%）内进行除尘处理</w:t>
                  </w:r>
                  <w:r>
                    <w:rPr>
                      <w:rFonts w:hint="eastAsia"/>
                      <w:szCs w:val="22"/>
                      <w:lang w:eastAsia="zh-CN"/>
                    </w:rPr>
                    <w:t>，</w:t>
                  </w:r>
                  <w:r>
                    <w:rPr>
                      <w:rFonts w:hint="eastAsia"/>
                      <w:szCs w:val="22"/>
                    </w:rPr>
                    <w:t>搅拌机产生的</w:t>
                  </w:r>
                  <w:r>
                    <w:rPr>
                      <w:rFonts w:hint="eastAsia"/>
                      <w:szCs w:val="22"/>
                      <w:lang w:val="en-US" w:eastAsia="zh-CN"/>
                    </w:rPr>
                    <w:t>落料</w:t>
                  </w:r>
                  <w:r>
                    <w:rPr>
                      <w:rFonts w:hint="eastAsia"/>
                      <w:szCs w:val="22"/>
                    </w:rPr>
                    <w:t>粉尘属于无组织排放。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水稳料生产线搅拌阶段</w:t>
                  </w:r>
                </w:p>
              </w:tc>
              <w:tc>
                <w:tcPr>
                  <w:tcW w:w="4408"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废水治理措施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t>生产废水：</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在原料堆场区设置</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1座</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30</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生产废水收集沉淀池，经沉淀后，上清液循环使用，在上清液位处设置2台潜水泵（Q=10m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/h H=10m 一用一备）提供生产用水。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t>生活污水：</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共设有2座化粪池，管理用房生活污水经管道排至室外20</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化粪池，生产区卫生间污水经管道排至卫生间下方设置的12</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化粪池，由专业人员定期清理外运</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至彭阳县第二污水处理厂。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噪声</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噪声主要为工艺设备运行时产生的噪声。本项目选用低噪声设备，噪声设备均安装</w:t>
                  </w:r>
                  <w:r>
                    <w:rPr>
                      <w:rFonts w:hint="eastAsia" w:cs="Times New Roman"/>
                      <w:color w:val="000000" w:themeColor="text1"/>
                      <w:szCs w:val="22"/>
                      <w:highlight w:val="none"/>
                      <w:lang w:val="en-US" w:eastAsia="zh-CN"/>
                      <w14:textFill>
                        <w14:solidFill>
                          <w14:schemeClr w14:val="tx1"/>
                        </w14:solidFill>
                      </w14:textFill>
                    </w:rPr>
                    <w:t>减振</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基础，风机、破碎机、处理生产设备采取厂房隔声、安装消声器等措施</w:t>
                  </w:r>
                  <w:r>
                    <w:rPr>
                      <w:rFonts w:hint="eastAsia" w:cs="Times New Roman"/>
                      <w:color w:val="000000" w:themeColor="text1"/>
                      <w:szCs w:val="22"/>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固体废物</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措施</w:t>
                  </w: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生活垃圾</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本项目生活垃圾</w:t>
                  </w:r>
                  <w:r>
                    <w:rPr>
                      <w:rFonts w:hint="eastAsia" w:cs="Times New Roman"/>
                      <w:color w:val="000000" w:themeColor="text1"/>
                      <w:sz w:val="21"/>
                      <w:szCs w:val="21"/>
                      <w:lang w:val="en-US" w:eastAsia="zh-CN"/>
                      <w14:textFill>
                        <w14:solidFill>
                          <w14:schemeClr w14:val="tx1"/>
                        </w14:solidFill>
                      </w14:textFill>
                    </w:rPr>
                    <w:t>利用现有</w:t>
                  </w:r>
                  <w:r>
                    <w:rPr>
                      <w:rFonts w:hint="default" w:cs="Times New Roman"/>
                      <w:color w:val="000000" w:themeColor="text1"/>
                      <w:sz w:val="21"/>
                      <w:szCs w:val="21"/>
                      <w:lang w:val="en-US" w:eastAsia="zh-CN"/>
                      <w14:textFill>
                        <w14:solidFill>
                          <w14:schemeClr w14:val="tx1"/>
                        </w14:solidFill>
                      </w14:textFill>
                    </w:rPr>
                    <w:t>厂区垃圾箱收集，生活垃圾集中收集后交由环卫部门统一处置。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废润滑油</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olor w:val="000000" w:themeColor="text1"/>
                      <w:szCs w:val="22"/>
                      <w:highlight w:val="none"/>
                      <w14:textFill>
                        <w14:solidFill>
                          <w14:schemeClr w14:val="tx1"/>
                        </w14:solidFill>
                      </w14:textFill>
                    </w:rPr>
                    <w:t>危险废物收集后按危险废物相关规定进行暂存（生产车间内设置危险废物贮存点，5m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），定期由有资质单位处置。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674"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建筑固废中其他组成</w:t>
                  </w:r>
                  <w:r>
                    <w:rPr>
                      <w:rFonts w:hint="eastAsia" w:cs="Times New Roman"/>
                      <w:color w:val="000000" w:themeColor="text1"/>
                      <w:szCs w:val="22"/>
                      <w:highlight w:val="none"/>
                      <w:lang w:val="en-US" w:eastAsia="zh-CN"/>
                      <w14:textFill>
                        <w14:solidFill>
                          <w14:schemeClr w14:val="tx1"/>
                        </w14:solidFill>
                      </w14:textFill>
                    </w:rPr>
                    <w:t>分</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2"/>
                      <w:highlight w:val="none"/>
                      <w:lang w:val="en-US" w:eastAsia="zh-CN" w:bidi="ar-SA"/>
                      <w14:textFill>
                        <w14:solidFill>
                          <w14:schemeClr w14:val="tx1"/>
                        </w14:solidFill>
                      </w14:textFill>
                    </w:rPr>
                    <w:t>沥青</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玻璃</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金属</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塑料</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竹木料</w:t>
                  </w:r>
                  <w:r>
                    <w:rPr>
                      <w:rFonts w:hint="eastAsia" w:cs="Times New Roman"/>
                      <w:color w:val="000000" w:themeColor="text1"/>
                      <w:szCs w:val="22"/>
                      <w:highlight w:val="none"/>
                      <w:lang w:val="en-US" w:eastAsia="zh-CN"/>
                      <w14:textFill>
                        <w14:solidFill>
                          <w14:schemeClr w14:val="tx1"/>
                        </w14:solidFill>
                      </w14:textFill>
                    </w:rPr>
                    <w:t>等</w:t>
                  </w:r>
                  <w:r>
                    <w:rPr>
                      <w:rFonts w:hint="eastAsia"/>
                      <w:color w:val="000000" w:themeColor="text1"/>
                      <w:szCs w:val="22"/>
                      <w:highlight w:val="none"/>
                      <w14:textFill>
                        <w14:solidFill>
                          <w14:schemeClr w14:val="tx1"/>
                        </w14:solidFill>
                      </w14:textFill>
                    </w:rPr>
                    <w:t>统一收集</w:t>
                  </w:r>
                  <w:r>
                    <w:rPr>
                      <w:rFonts w:hint="eastAsia"/>
                      <w:color w:val="000000" w:themeColor="text1"/>
                      <w:szCs w:val="22"/>
                      <w:highlight w:val="none"/>
                      <w:lang w:val="en-US" w:eastAsia="zh-CN"/>
                      <w14:textFill>
                        <w14:solidFill>
                          <w14:schemeClr w14:val="tx1"/>
                        </w14:solidFill>
                      </w14:textFill>
                    </w:rPr>
                    <w:t>外售利用。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058"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s="Times New Roman"/>
                      <w:color w:val="000000" w:themeColor="text1"/>
                      <w:szCs w:val="22"/>
                      <w:highlight w:val="none"/>
                      <w:lang w:val="en-US" w:eastAsia="zh-CN"/>
                      <w14:textFill>
                        <w14:solidFill>
                          <w14:schemeClr w14:val="tx1"/>
                        </w14:solidFill>
                      </w14:textFill>
                    </w:rPr>
                    <w:t>建筑固废中的品质较差骨料和渣土类</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重型振动给料机和除土振动筛产生的渣土统一收集到渣土仓内，</w:t>
                  </w:r>
                  <w:r>
                    <w:rPr>
                      <w:rFonts w:hint="eastAsia"/>
                      <w:color w:val="000000" w:themeColor="text1"/>
                      <w:szCs w:val="22"/>
                      <w:highlight w:val="none"/>
                      <w:lang w:val="en-US" w:eastAsia="zh-CN"/>
                      <w14:textFill>
                        <w14:solidFill>
                          <w14:schemeClr w14:val="tx1"/>
                        </w14:solidFill>
                      </w14:textFill>
                    </w:rPr>
                    <w:t>优先</w:t>
                  </w:r>
                  <w:r>
                    <w:rPr>
                      <w:rFonts w:hint="eastAsia"/>
                      <w:color w:val="000000" w:themeColor="text1"/>
                      <w:szCs w:val="22"/>
                      <w:highlight w:val="none"/>
                      <w14:textFill>
                        <w14:solidFill>
                          <w14:schemeClr w14:val="tx1"/>
                        </w14:solidFill>
                      </w14:textFill>
                    </w:rPr>
                    <w:t>用于回填工程，如拆除工程场地平整，垃圾填埋场的封场填埋等</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在符合环保要求的专用堆填场规范堆放，不得接收工业固废、生活垃圾或有毒有害物质‌</w:t>
                  </w:r>
                  <w:r>
                    <w:rPr>
                      <w:rFonts w:hint="eastAsia"/>
                      <w:color w:val="000000" w:themeColor="text1"/>
                      <w:szCs w:val="22"/>
                      <w:highlight w:val="none"/>
                      <w:lang w:eastAsia="zh-CN"/>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其他可利用的骨料回用于生产线。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生产线废水沉淀泥浆</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定期收集，可作为道路用再生骨料水稳料掺和使用。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各类型收尘器集灰系统</w:t>
                  </w:r>
                  <w:r>
                    <w:rPr>
                      <w:rFonts w:hint="eastAsia" w:cs="Times New Roman"/>
                      <w:color w:val="000000" w:themeColor="text1"/>
                      <w:szCs w:val="22"/>
                      <w:highlight w:val="none"/>
                      <w:lang w:val="en-US" w:eastAsia="zh-CN"/>
                      <w14:textFill>
                        <w14:solidFill>
                          <w14:schemeClr w14:val="tx1"/>
                        </w14:solidFill>
                      </w14:textFill>
                    </w:rPr>
                    <w:t>除尘器收尘粉</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一部分灰收集后回落至生产系统，另一部分灰为不影响后续工序产品质量，收集后进入储灰桶定期由人工转移至再生混凝土制品类</w:t>
                  </w:r>
                  <w:r>
                    <w:rPr>
                      <w:rFonts w:hint="eastAsia" w:cs="Times New Roman"/>
                      <w:color w:val="000000" w:themeColor="text1"/>
                      <w:szCs w:val="22"/>
                      <w:highlight w:val="none"/>
                      <w:lang w:val="en-US" w:eastAsia="zh-CN"/>
                      <w14:textFill>
                        <w14:solidFill>
                          <w14:schemeClr w14:val="tx1"/>
                        </w14:solidFill>
                      </w14:textFill>
                    </w:rPr>
                    <w:t>返回</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生产线再利用。各类粉料罐/仓收尘灰，其集灰一般直接回落至罐或仓。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eastAsia" w:cs="Times New Roman"/>
                      <w:b w:val="0"/>
                      <w:bCs w:val="0"/>
                      <w:color w:val="000000" w:themeColor="text1"/>
                      <w:kern w:val="2"/>
                      <w:sz w:val="21"/>
                      <w:szCs w:val="20"/>
                      <w:highlight w:val="none"/>
                      <w:lang w:val="en-US" w:eastAsia="zh-CN" w:bidi="ar"/>
                      <w14:textFill>
                        <w14:solidFill>
                          <w14:schemeClr w14:val="tx1"/>
                        </w14:solidFill>
                      </w14:textFill>
                    </w:rPr>
                    <w:t>防渗</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cs="Times New Roman"/>
                      <w:color w:val="000000" w:themeColor="text1"/>
                      <w:szCs w:val="22"/>
                      <w:highlight w:val="none"/>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一般污染防渗区：主要为</w:t>
                  </w:r>
                  <w:r>
                    <w:rPr>
                      <w:rFonts w:hint="default" w:ascii="Times New Roman" w:hAnsi="Times New Roman" w:cs="Times New Roman"/>
                      <w:color w:val="000000" w:themeColor="text1"/>
                      <w:szCs w:val="21"/>
                      <w:highlight w:val="none"/>
                      <w:lang w:val="en-US" w:eastAsia="zh-CN"/>
                      <w14:textFill>
                        <w14:solidFill>
                          <w14:schemeClr w14:val="tx1"/>
                        </w14:solidFill>
                      </w14:textFill>
                    </w:rPr>
                    <w:t>建筑垃圾再生利用车间</w:t>
                  </w:r>
                  <w:r>
                    <w:rPr>
                      <w:rFonts w:hint="default" w:cs="Times New Roman"/>
                      <w:color w:val="000000" w:themeColor="text1"/>
                      <w:szCs w:val="22"/>
                      <w:highlight w:val="none"/>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堆场</w:t>
                  </w:r>
                  <w:r>
                    <w:rPr>
                      <w:rFonts w:hint="default" w:cs="Times New Roman"/>
                      <w:color w:val="000000" w:themeColor="text1"/>
                      <w:szCs w:val="22"/>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混合骨料暂存间</w:t>
                  </w:r>
                  <w:r>
                    <w:rPr>
                      <w:rFonts w:hint="eastAsia" w:cs="Times New Roman"/>
                      <w:color w:val="000000" w:themeColor="text1"/>
                      <w:szCs w:val="22"/>
                      <w:highlight w:val="none"/>
                      <w:lang w:eastAsia="zh-CN"/>
                      <w14:textFill>
                        <w14:solidFill>
                          <w14:schemeClr w14:val="tx1"/>
                        </w14:solidFill>
                      </w14:textFill>
                    </w:rPr>
                    <w:t>、</w:t>
                  </w:r>
                  <w:r>
                    <w:rPr>
                      <w:rFonts w:hint="default" w:cs="Times New Roman"/>
                      <w:color w:val="000000" w:themeColor="text1"/>
                      <w:szCs w:val="22"/>
                      <w:highlight w:val="none"/>
                      <w14:textFill>
                        <w14:solidFill>
                          <w14:schemeClr w14:val="tx1"/>
                        </w14:solidFill>
                      </w14:textFill>
                    </w:rPr>
                    <w:t>水泥预制品成品储存及养护平台等区域，防渗设置为等效黏土防渗层Mb≥1.5m，K≤1×10-</w:t>
                  </w:r>
                  <w:r>
                    <w:rPr>
                      <w:rFonts w:hint="default" w:cs="Times New Roman"/>
                      <w:color w:val="000000" w:themeColor="text1"/>
                      <w:szCs w:val="22"/>
                      <w:highlight w:val="none"/>
                      <w:vertAlign w:val="superscript"/>
                      <w14:textFill>
                        <w14:solidFill>
                          <w14:schemeClr w14:val="tx1"/>
                        </w14:solidFill>
                      </w14:textFill>
                    </w:rPr>
                    <w:t>7</w:t>
                  </w:r>
                  <w:r>
                    <w:rPr>
                      <w:rFonts w:hint="default" w:cs="Times New Roman"/>
                      <w:color w:val="000000" w:themeColor="text1"/>
                      <w:szCs w:val="22"/>
                      <w:highlight w:val="none"/>
                      <w14:textFill>
                        <w14:solidFill>
                          <w14:schemeClr w14:val="tx1"/>
                        </w14:solidFill>
                      </w14:textFill>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cs="Times New Roman"/>
                      <w:color w:val="000000" w:themeColor="text1"/>
                      <w:szCs w:val="22"/>
                      <w:highlight w:val="none"/>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重点污染防渗区：主要</w:t>
                  </w:r>
                  <w:r>
                    <w:rPr>
                      <w:rFonts w:hint="eastAsia" w:cs="Times New Roman"/>
                      <w:color w:val="000000" w:themeColor="text1"/>
                      <w:szCs w:val="22"/>
                      <w:highlight w:val="none"/>
                      <w:lang w:val="en-US" w:eastAsia="zh-CN"/>
                      <w14:textFill>
                        <w14:solidFill>
                          <w14:schemeClr w14:val="tx1"/>
                        </w14:solidFill>
                      </w14:textFill>
                    </w:rPr>
                    <w:t>包括</w:t>
                  </w:r>
                  <w:r>
                    <w:rPr>
                      <w:rFonts w:hint="default" w:cs="Times New Roman"/>
                      <w:color w:val="000000" w:themeColor="text1"/>
                      <w:szCs w:val="22"/>
                      <w:highlight w:val="none"/>
                      <w14:textFill>
                        <w14:solidFill>
                          <w14:schemeClr w14:val="tx1"/>
                        </w14:solidFill>
                      </w14:textFill>
                    </w:rPr>
                    <w:t>危险废物贮存点，设置等效黏土防渗层Mb≥6.0m，K≤1×10</w:t>
                  </w:r>
                  <w:r>
                    <w:rPr>
                      <w:rFonts w:hint="default" w:cs="Times New Roman"/>
                      <w:color w:val="000000" w:themeColor="text1"/>
                      <w:szCs w:val="22"/>
                      <w:highlight w:val="none"/>
                      <w:vertAlign w:val="superscript"/>
                      <w14:textFill>
                        <w14:solidFill>
                          <w14:schemeClr w14:val="tx1"/>
                        </w14:solidFill>
                      </w14:textFill>
                    </w:rPr>
                    <w:t>-7</w:t>
                  </w:r>
                  <w:r>
                    <w:rPr>
                      <w:rFonts w:hint="default" w:cs="Times New Roman"/>
                      <w:color w:val="000000" w:themeColor="text1"/>
                      <w:szCs w:val="22"/>
                      <w:highlight w:val="none"/>
                      <w14:textFill>
                        <w14:solidFill>
                          <w14:schemeClr w14:val="tx1"/>
                        </w14:solidFill>
                      </w14:textFill>
                    </w:rPr>
                    <w:t>cm/s</w:t>
                  </w:r>
                  <w:r>
                    <w:rPr>
                      <w:rFonts w:hint="eastAsia" w:cs="Times New Roman"/>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参照《危险废物贮存污染控制标准》（GB 18597-2023）中要求的设计防渗方案，防渗材料考虑HDPE防渗膜和水泥基渗透结晶型防渗材料，一种材料单独使用或多种材料结合使用。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厂区道路及其他区域仅需一般地面硬化，简单防渗处理。其余区域均为简单防渗区，作一般地面硬化处理即可。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运营期绿化</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color w:val="000000" w:themeColor="text1"/>
                      <w:szCs w:val="22"/>
                      <w:highlight w:val="none"/>
                      <w14:textFill>
                        <w14:solidFill>
                          <w14:schemeClr w14:val="tx1"/>
                        </w14:solidFill>
                      </w14:textFill>
                    </w:rPr>
                    <w:t>本项目管理区内绿地面积约130.00m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w:t>
                  </w:r>
                </w:p>
              </w:tc>
            </w:tr>
          </w:tbl>
          <w:p>
            <w:pPr>
              <w:pStyle w:val="3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rightChars="0"/>
              <w:jc w:val="both"/>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3.主要产品及产能</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⑴产品产能</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本项目主要产品及产能见表2-</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本项目产品方案一览表</w:t>
            </w:r>
          </w:p>
          <w:tbl>
            <w:tblPr>
              <w:tblStyle w:val="37"/>
              <w:tblW w:w="83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8"/>
              <w:gridCol w:w="700"/>
              <w:gridCol w:w="1488"/>
              <w:gridCol w:w="975"/>
              <w:gridCol w:w="1187"/>
              <w:gridCol w:w="2300"/>
              <w:gridCol w:w="11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序号</w:t>
                  </w:r>
                </w:p>
              </w:tc>
              <w:tc>
                <w:tcPr>
                  <w:tcW w:w="2188"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名称</w:t>
                  </w:r>
                </w:p>
              </w:tc>
              <w:tc>
                <w:tcPr>
                  <w:tcW w:w="2162"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产能</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t>状态</w:t>
                  </w:r>
                  <w:r>
                    <w:rPr>
                      <w:rFonts w:hint="eastAsia"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t>及规格</w:t>
                  </w:r>
                </w:p>
              </w:tc>
              <w:tc>
                <w:tcPr>
                  <w:tcW w:w="110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t>贮存方式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00"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再生混凝土制品</w:t>
                  </w:r>
                </w:p>
              </w:tc>
              <w:tc>
                <w:tcPr>
                  <w:tcW w:w="148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PC仿石材市政工程铺地砖</w:t>
                  </w:r>
                </w:p>
              </w:tc>
              <w:tc>
                <w:tcPr>
                  <w:tcW w:w="9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1187"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15.5万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块</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状</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地砖规格暂定为600</w:t>
                  </w:r>
                  <w:r>
                    <w:rPr>
                      <w:rFonts w:hint="default"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300</w:t>
                  </w:r>
                  <w:r>
                    <w:rPr>
                      <w:rFonts w:hint="default"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60mm</w:t>
                  </w:r>
                </w:p>
              </w:tc>
              <w:tc>
                <w:tcPr>
                  <w:tcW w:w="1109"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堆放于再生产品堆场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700"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148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PC仿石材市政工程路缘石</w:t>
                  </w:r>
                </w:p>
              </w:tc>
              <w:tc>
                <w:tcPr>
                  <w:tcW w:w="9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1187"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块</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状</w:t>
                  </w:r>
                  <w:r>
                    <w:rPr>
                      <w:rFonts w:hint="eastAsia" w:cs="Times New Roman"/>
                      <w:color w:val="000000" w:themeColor="text1"/>
                      <w:kern w:val="0"/>
                      <w:sz w:val="21"/>
                      <w:szCs w:val="21"/>
                      <w:highlight w:val="none"/>
                      <w:lang w:eastAsia="zh-CN" w:bidi="ar"/>
                      <w14:textFill>
                        <w14:solidFill>
                          <w14:schemeClr w14:val="tx1"/>
                        </w14:solidFill>
                      </w14:textFill>
                    </w:rPr>
                    <w:t>，路缘石规格暂定为1000×300×150mm</w:t>
                  </w:r>
                </w:p>
              </w:tc>
              <w:tc>
                <w:tcPr>
                  <w:tcW w:w="1109"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Cs w:val="21"/>
                      <w:highlight w:val="none"/>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2188"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水泥稳定再生骨料无机混合料</w:t>
                  </w:r>
                </w:p>
              </w:tc>
              <w:tc>
                <w:tcPr>
                  <w:tcW w:w="2162"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14.5万</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t/a</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7d抗压强度达到3.5MPa以上</w:t>
                  </w:r>
                </w:p>
              </w:tc>
              <w:tc>
                <w:tcPr>
                  <w:tcW w:w="110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堆放于再生产品堆场</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⑵产品指标</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本项目</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产品</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应符合相关产品质量标准</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表面应标有再生利用标志</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。具体</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产品</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情况如下：</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①PC仿石材市政工程铺地砖</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此类PC仿石材市政工程产品，以其丰富的色彩、图案、卓越的结构性能、便捷的施工、广泛的用途和经济的价格，在现代地面工程中起着越来越重要的作用，日益成为市政地面工程中替代大理石的最重要的材料。地砖规格暂定为600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60mm，建筑垃圾用量在50%左右，目前在国内通过产品种类的不同分为芝麻灰、芝麻白、芝麻黑以及黄锈石等颜色，大量替代石材铺装，强度达到CC40MPa，建筑垃圾做底料，面料采用石英砂。</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②PC仿石材路缘石</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此产品特点同海绵城市PC仿石材市政工程铺地砖，路缘石规格暂定为1000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150mm。</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③水泥稳定再生骨料无机混合料</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水泥稳定再生骨料无机混合料7d抗压强度达到3.5MPa以上。含水率根据现场情况决定。</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4.主要生产设施及参数</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本项目主要生产设施及参数情况见表2-</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本项目主要设备一览表</w:t>
            </w:r>
          </w:p>
          <w:tbl>
            <w:tblPr>
              <w:tblStyle w:val="38"/>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338"/>
              <w:gridCol w:w="2475"/>
              <w:gridCol w:w="1365"/>
              <w:gridCol w:w="2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338"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bookmarkStart w:id="4" w:name="_Toc21287"/>
                  <w:r>
                    <w:rPr>
                      <w:rFonts w:hint="eastAsia" w:cs="Times New Roman"/>
                      <w:b/>
                      <w:bCs/>
                      <w:color w:val="000000" w:themeColor="text1"/>
                      <w:sz w:val="21"/>
                      <w:szCs w:val="21"/>
                      <w:highlight w:val="none"/>
                      <w:vertAlign w:val="baseline"/>
                      <w:lang w:val="en-US" w:eastAsia="zh-CN"/>
                      <w14:textFill>
                        <w14:solidFill>
                          <w14:schemeClr w14:val="tx1"/>
                        </w14:solidFill>
                      </w14:textFill>
                    </w:rPr>
                    <w:t>系统</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名称</w:t>
                  </w:r>
                  <w:bookmarkEnd w:id="4"/>
                </w:p>
              </w:tc>
              <w:tc>
                <w:tcPr>
                  <w:tcW w:w="247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bookmarkStart w:id="5" w:name="_Toc84"/>
                  <w:r>
                    <w:rPr>
                      <w:rFonts w:hint="eastAsia" w:cs="Times New Roman"/>
                      <w:b/>
                      <w:bCs/>
                      <w:color w:val="000000" w:themeColor="text1"/>
                      <w:sz w:val="21"/>
                      <w:szCs w:val="21"/>
                      <w:highlight w:val="none"/>
                      <w:vertAlign w:val="baseline"/>
                      <w:lang w:val="en-US" w:eastAsia="zh-CN"/>
                      <w14:textFill>
                        <w14:solidFill>
                          <w14:schemeClr w14:val="tx1"/>
                        </w14:solidFill>
                      </w14:textFill>
                    </w:rPr>
                    <w:t>主要组成</w:t>
                  </w:r>
                  <w:bookmarkEnd w:id="5"/>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数量</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建筑垃圾再生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产线</w:t>
                  </w: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履带移动式重型筛分机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用于筛分渣土，以</w:t>
                  </w:r>
                </w:p>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及后期成品筛分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履带移动反击式破碎机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履带移动式成品筛分机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成品再生骨料筛分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振动给料机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鄂式破碎机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建筑垃圾粗破碎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人工分拣平台</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上下两层，配分选间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除土筛分机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固定式风选机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除尘器系统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雾炮环保系统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活性干雾机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皮带式磁选机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除铁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移动式皮带输送机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输送骨料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固定式皮带输送机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输送骨料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洗车平台</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再生混凝土制品生产</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线</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底料三仓配料机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底料骨料储存配料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底料搅拌系统</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底料骨料搅拌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面料三仓配料机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面料骨料储存配料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面料立轴搅拌系统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面料骨料搅拌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面料输送皮带</w:t>
                  </w:r>
                </w:p>
              </w:tc>
              <w:tc>
                <w:tcPr>
                  <w:tcW w:w="1365" w:type="dxa"/>
                  <w:tcBorders>
                    <w:tl2br w:val="nil"/>
                    <w:tr2bl w:val="nil"/>
                  </w:tcBorders>
                  <w:shd w:val="clear" w:color="auto" w:fill="auto"/>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送板机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制品成型机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湿产品输送装置</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叠板机、自动供板机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托板</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收转打包系统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配置成型系统使用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水稳料生产</w:t>
                  </w:r>
                  <w:r>
                    <w:rPr>
                      <w:rFonts w:hint="eastAsia" w:cs="Times New Roman"/>
                      <w:color w:val="000000" w:themeColor="text1"/>
                      <w:kern w:val="0"/>
                      <w:sz w:val="21"/>
                      <w:szCs w:val="21"/>
                      <w:highlight w:val="none"/>
                      <w:lang w:val="en-US" w:eastAsia="zh-CN" w:bidi="ar"/>
                      <w14:textFill>
                        <w14:solidFill>
                          <w14:schemeClr w14:val="tx1"/>
                        </w14:solidFill>
                      </w14:textFill>
                    </w:rPr>
                    <w:t>线</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配料仓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骨料卸料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称量皮带机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骨料输送机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骨料输送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供水系统</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胶凝材料暂存仓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搅拌主机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混合料搅拌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成品料输送皮带</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成品料输送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成品过渡仓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成品料暂存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气动系统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压缩空气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工程机械</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30/50</w:t>
                  </w:r>
                  <w:r>
                    <w:rPr>
                      <w:rFonts w:hint="eastAsia" w:ascii="宋体" w:hAnsi="宋体" w:eastAsia="宋体" w:cs="宋体"/>
                      <w:color w:val="000000"/>
                      <w:kern w:val="0"/>
                      <w:sz w:val="21"/>
                      <w:szCs w:val="21"/>
                      <w:lang w:val="en-US" w:eastAsia="zh-CN" w:bidi="ar"/>
                    </w:rPr>
                    <w:t>装载机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骨料转运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3/5</w:t>
                  </w:r>
                  <w:r>
                    <w:rPr>
                      <w:rFonts w:hint="eastAsia" w:ascii="宋体" w:hAnsi="宋体" w:eastAsia="宋体" w:cs="宋体"/>
                      <w:color w:val="000000"/>
                      <w:kern w:val="0"/>
                      <w:sz w:val="21"/>
                      <w:szCs w:val="21"/>
                      <w:lang w:val="en-US" w:eastAsia="zh-CN" w:bidi="ar"/>
                    </w:rPr>
                    <w:t>叉车</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制品转运</w:t>
                  </w:r>
                </w:p>
              </w:tc>
            </w:tr>
          </w:tbl>
          <w:p>
            <w:pPr>
              <w:pStyle w:val="3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rightChars="0"/>
              <w:jc w:val="left"/>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5.主要原辅材料</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⑴原辅材料用量</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本项目原辅料为建筑</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装饰</w:t>
            </w:r>
            <w:r>
              <w:rPr>
                <w:rFonts w:hint="default" w:ascii="Times New Roman" w:hAnsi="Times New Roman" w:eastAsia="仿宋_GB2312"/>
                <w:color w:val="000000" w:themeColor="text1"/>
                <w:kern w:val="16"/>
                <w:highlight w:val="none"/>
                <w:lang w:bidi="ar"/>
                <w14:textFill>
                  <w14:solidFill>
                    <w14:schemeClr w14:val="tx1"/>
                  </w14:solidFill>
                </w14:textFill>
              </w:rPr>
              <w:t>垃圾、</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粉煤灰</w:t>
            </w:r>
            <w:r>
              <w:rPr>
                <w:rFonts w:hint="default" w:ascii="Times New Roman" w:hAnsi="Times New Roman" w:eastAsia="仿宋_GB2312"/>
                <w:color w:val="000000" w:themeColor="text1"/>
                <w:kern w:val="16"/>
                <w:highlight w:val="none"/>
                <w:lang w:bidi="ar"/>
                <w14:textFill>
                  <w14:solidFill>
                    <w14:schemeClr w14:val="tx1"/>
                  </w14:solidFill>
                </w14:textFill>
              </w:rPr>
              <w:t>、水泥，均外购，采用汽车运输方式运入。项目原辅材料消耗情况见表2-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4</w:t>
            </w:r>
            <w:r>
              <w:rPr>
                <w:rFonts w:hint="default"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本项目主要</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原辅材料一览表</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9"/>
              <w:gridCol w:w="838"/>
              <w:gridCol w:w="1175"/>
              <w:gridCol w:w="2625"/>
              <w:gridCol w:w="17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原辅材料名称</w:t>
                  </w:r>
                </w:p>
              </w:tc>
              <w:tc>
                <w:tcPr>
                  <w:tcW w:w="83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单位</w:t>
                  </w:r>
                </w:p>
              </w:tc>
              <w:tc>
                <w:tcPr>
                  <w:tcW w:w="11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年耗量</w:t>
                  </w:r>
                </w:p>
              </w:tc>
              <w:tc>
                <w:tcPr>
                  <w:tcW w:w="262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储存方式</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建筑、装饰垃圾</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150000</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露天式原料堆场</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外购，汽车运输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再生骨料</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70500</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color w:val="000000" w:themeColor="text1"/>
                      <w:szCs w:val="21"/>
                      <w:highlight w:val="none"/>
                      <w14:textFill>
                        <w14:solidFill>
                          <w14:schemeClr w14:val="tx1"/>
                        </w14:solidFill>
                      </w14:textFill>
                    </w:rPr>
                    <w:t>混合骨料暂存间</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天然骨料</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87476</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混合骨料暂存间</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10434.02</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再生混凝土制品生产线和水稳料生产线分别配套</w:t>
                  </w:r>
                  <w:r>
                    <w:rPr>
                      <w:rFonts w:hint="eastAsia"/>
                      <w:color w:val="000000" w:themeColor="text1"/>
                      <w:szCs w:val="21"/>
                      <w:highlight w:val="none"/>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座</w:t>
                  </w:r>
                  <w:r>
                    <w:rPr>
                      <w:rFonts w:hint="eastAsia"/>
                      <w:color w:val="000000" w:themeColor="text1"/>
                      <w:szCs w:val="21"/>
                      <w:highlight w:val="none"/>
                      <w14:textFill>
                        <w14:solidFill>
                          <w14:schemeClr w14:val="tx1"/>
                        </w14:solidFill>
                      </w14:textFill>
                    </w:rPr>
                    <w:t>粉料筒仓罐</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其中</w:t>
                  </w:r>
                  <w:r>
                    <w:rPr>
                      <w:rFonts w:hint="eastAsia" w:cs="Times New Roman"/>
                      <w:color w:val="000000" w:themeColor="text1"/>
                      <w:kern w:val="2"/>
                      <w:sz w:val="21"/>
                      <w:szCs w:val="21"/>
                      <w:highlight w:val="none"/>
                      <w:lang w:val="en-US" w:eastAsia="zh-CN" w:bidi="ar-SA"/>
                      <w14:textFill>
                        <w14:solidFill>
                          <w14:schemeClr w14:val="tx1"/>
                        </w14:solidFill>
                      </w14:textFill>
                    </w:rPr>
                    <w:t>再生混凝土制品生产线配套</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储量</w:t>
                  </w:r>
                  <w:r>
                    <w:rPr>
                      <w:rFonts w:hint="eastAsia" w:cs="Times New Roman"/>
                      <w:color w:val="000000" w:themeColor="text1"/>
                      <w:kern w:val="2"/>
                      <w:sz w:val="21"/>
                      <w:szCs w:val="21"/>
                      <w:highlight w:val="none"/>
                      <w:lang w:val="en-US" w:eastAsia="zh-CN" w:bidi="ar-SA"/>
                      <w14:textFill>
                        <w14:solidFill>
                          <w14:schemeClr w14:val="tx1"/>
                        </w14:solidFill>
                      </w14:textFill>
                    </w:rPr>
                    <w:t>60</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吨粉料筒仓罐</w:t>
                  </w:r>
                  <w:r>
                    <w:rPr>
                      <w:rFonts w:hint="eastAsia" w:cs="Times New Roman"/>
                      <w:color w:val="000000" w:themeColor="text1"/>
                      <w:kern w:val="2"/>
                      <w:sz w:val="21"/>
                      <w:szCs w:val="21"/>
                      <w:highlight w:val="none"/>
                      <w:lang w:val="en-US" w:eastAsia="zh-CN" w:bidi="ar-SA"/>
                      <w14:textFill>
                        <w14:solidFill>
                          <w14:schemeClr w14:val="tx1"/>
                        </w14:solidFill>
                      </w14:textFill>
                    </w:rPr>
                    <w:t>，水稳料生产线配套</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储量</w:t>
                  </w:r>
                  <w:r>
                    <w:rPr>
                      <w:rFonts w:hint="eastAsia" w:cs="Times New Roman"/>
                      <w:color w:val="000000" w:themeColor="text1"/>
                      <w:kern w:val="2"/>
                      <w:sz w:val="21"/>
                      <w:szCs w:val="21"/>
                      <w:highlight w:val="none"/>
                      <w:lang w:val="en-US" w:eastAsia="zh-CN" w:bidi="ar-SA"/>
                      <w14:textFill>
                        <w14:solidFill>
                          <w14:schemeClr w14:val="tx1"/>
                        </w14:solidFill>
                      </w14:textFill>
                    </w:rPr>
                    <w:t>100</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吨粉料筒仓罐</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2131.41</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11373.57</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市政给水管网供水</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原辅材料理化性质</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①水泥</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水泥品种是以水泥的性能为依据划分的，我国常用的水泥都是硅酸盐系列水泥，主要是通过调整硅酸盐水泥熟料，合理掺入不同品种、不同数量的混合材料而划分的。硅酸盐水泥熟料中主要矿物有硅酸三钙、硅酸二钙、铝酸三钙和铁铝酸四钙四种。水泥的性质主要由熟料的矿物组成和矿物结构、混合材料的质量和数量、石膏掺量、粉磨细度等决定的。所以不同生产厂和不同生产方式的水泥，其性质是不同的。</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w:t>
            </w:r>
            <w:r>
              <w:rPr>
                <w:rFonts w:hint="default" w:ascii="Times New Roman" w:hAnsi="Times New Roman" w:eastAsia="仿宋_GB2312"/>
                <w:color w:val="000000" w:themeColor="text1"/>
                <w:kern w:val="16"/>
                <w:highlight w:val="none"/>
                <w:lang w:bidi="ar"/>
                <w14:textFill>
                  <w14:solidFill>
                    <w14:schemeClr w14:val="tx1"/>
                  </w14:solidFill>
                </w14:textFill>
              </w:rPr>
              <w:t>粉煤灰</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粉煤灰：是从煤燃烧后的烟气中收捕下来的细灰，主要组成为：SiO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、Al</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、FeO、Fe</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、CaO、TiO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等。</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⑶原辅材料用量</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①</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建筑垃圾再生线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5</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建筑垃圾再生线物料平衡表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225"/>
              <w:gridCol w:w="1388"/>
              <w:gridCol w:w="1350"/>
              <w:gridCol w:w="29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660"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5712" w:type="dxa"/>
                  <w:gridSpan w:val="3"/>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建筑垃圾</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150000</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骨料</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70500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用于下游生产线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渣土</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57300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统一收集到渣土仓内，主要用于回填工程，如拆除工程场地平整，垃圾填埋场的封场填埋等</w:t>
                  </w:r>
                  <w:r>
                    <w:rPr>
                      <w:rFonts w:hint="eastAsia"/>
                      <w:color w:val="000000" w:themeColor="text1"/>
                      <w:szCs w:val="21"/>
                      <w:highlight w:val="none"/>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建筑固废中的品质较差骨料</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22189.25</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回用于生产线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1350"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1.02</w:t>
                  </w:r>
                </w:p>
              </w:tc>
              <w:tc>
                <w:tcPr>
                  <w:tcW w:w="2974"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布袋除尘器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1350"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9.73</w:t>
                  </w:r>
                </w:p>
              </w:tc>
              <w:tc>
                <w:tcPr>
                  <w:tcW w:w="2974"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活性干雾机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150000</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150000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再生混凝土制品生产线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6、2-7</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PC仿石材铺地砖生产线物料平衡表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978.62</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PC仿石材铺地砖</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8万m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（约11040t）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1160.67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1824.28</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1188.39</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2875.00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2125.00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888.</w:t>
                  </w:r>
                  <w:r>
                    <w:rPr>
                      <w:rFonts w:hint="eastAsia"/>
                      <w:color w:val="000000"/>
                      <w:sz w:val="21"/>
                      <w:szCs w:val="21"/>
                      <w:lang w:val="en-US" w:eastAsia="zh-CN"/>
                    </w:rPr>
                    <w:t>11</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11040.07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11040.07</w:t>
                  </w:r>
                </w:p>
              </w:tc>
            </w:tr>
          </w:tbl>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PC仿石材路缘石生产线物料平衡表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2455.40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PC仿石材路缘石</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7.5万m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（约25875t）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970.74</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4906.80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3209.53</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7000.00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5250.00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2082.</w:t>
                  </w:r>
                  <w:r>
                    <w:rPr>
                      <w:rFonts w:hint="eastAsia"/>
                      <w:color w:val="000000"/>
                      <w:sz w:val="21"/>
                      <w:szCs w:val="21"/>
                      <w:lang w:val="en-US" w:eastAsia="zh-CN"/>
                    </w:rPr>
                    <w:t>60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25875.07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tabs>
                      <w:tab w:val="left" w:pos="535"/>
                      <w:tab w:val="center" w:pos="1090"/>
                    </w:tabs>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25875.07</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③</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水稳料生产线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8</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水稳料生产线</w:t>
            </w:r>
            <w:r>
              <w:rPr>
                <w:rFonts w:hint="default" w:ascii="Times New Roman" w:hAnsi="Times New Roman"/>
                <w:b/>
                <w:bCs/>
                <w:color w:val="000000" w:themeColor="text1"/>
                <w:kern w:val="2"/>
                <w:szCs w:val="22"/>
                <w:highlight w:val="none"/>
                <w:lang w:bidi="ar"/>
                <w14:textFill>
                  <w14:solidFill>
                    <w14:schemeClr w14:val="tx1"/>
                  </w14:solidFill>
                </w14:textFill>
              </w:rPr>
              <w:t>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水稳料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47073.5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29273.5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32575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20675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8403</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145001.04</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145001.04</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来源、种类控制及入场要求</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本项目服务范围为彭阳县城区及下辖古城镇、白阳镇、红河镇、城阳乡、新集乡和草庙乡（以下简称“三镇三乡”）。</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本项目处理对象为县域内产生的建筑垃圾</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主要来源：⑴建筑施工垃圾。主要是施工过程中剩余的混凝土和建筑碎料。剩余混凝土是施工过程中没有用完而多余出来的混凝土，也包括因天气变化等原因而暂停施工未及时使用的混凝土；建筑碎料包括凿除、抹灰等产生的旧混凝土、砂浆等矿物材料。占本项目建筑垃圾原料来源比例约20%。</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建筑物拆除垃圾。主要包括拆除后的混凝土板、石头、砂浆。建筑物拆除垃圾在建筑垃圾中所占的比例最大，也是本项目生产再生骨料的主要来源占原料比例约70%。</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⑶</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道路开挖垃圾。由于道路的损坏需要翻修，因而将原有沥青或混凝土路面材料除去，在此过程中开挖的沥青混凝土或素混凝土碎块。该部分垃圾总和占本项目建筑垃圾原料来源约10%。</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建筑、装饰垃圾</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原料进厂时严格把控，不得将</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其他</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工业废料</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和危险废物</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混入，固堆场不考虑重金属和有害物质渗漏</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w:t>
            </w:r>
            <w:r>
              <w:rPr>
                <w:rFonts w:hint="eastAsia" w:eastAsia="仿宋_GB2312"/>
                <w:color w:val="000000" w:themeColor="text1"/>
                <w:kern w:val="16"/>
                <w:sz w:val="24"/>
                <w:szCs w:val="24"/>
                <w:highlight w:val="none"/>
                <w:lang w:bidi="ar"/>
                <w14:textFill>
                  <w14:solidFill>
                    <w14:schemeClr w14:val="tx1"/>
                  </w14:solidFill>
                </w14:textFill>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进场前应先进行预处理分拣，尽量减少最终无用的渣土量</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为考虑原料堆场雨天污染其他区域，将原料堆场区设置专用排水沟，最低点设置雨水沉淀池，另在建筑垃圾再生利用车间西侧，搅拌机旁边设置埋地成品冲洗沉淀池。本项目室外原料堆场平时用防尘网罩盖，避免扬尘飞起。建设单位应根据生产要求、按计划收购、分期分批入库，严格控制贮存量</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原料的回收、</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利用</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、运输和贮存应符合《</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污染控制技术规范》（HJ</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1462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-20</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26</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）的要求，对环境和人体健康不会造成危害。</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6.占地面积及占地类型</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生产区用地面积29414.42平方米（44.13亩），管理区用地面积1722.15平方米（2.58亩），生产区整块用地现状呈南高北低，东高西低的状态，用地西侧为山沟，用地东侧为标高高于项目用地的山坡。生产区原场地标高在1645.95~1665.49m之间，以被基本场平，场平后的标高在1650.062~1648.63m之间。本项目管理区地势相对平坦，原场地标高在1676.73~1675.92m之间。</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厂区外部市政道路由管理区西北侧绕行至生产区东北侧，管理区及生产区主入口均设在西北侧，外部市政道路宽6米。用地周边500米范围内均为山地（山坡及山沟），四邻暂无建（构）筑物。场地周边500米范围内无环境敏感区(水源地等）。</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7</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.劳动定员及工作制度</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本项目劳动定员为30人，其中管理及后勤人员6人，生产部门24人。每天1班制，</w:t>
            </w:r>
            <w:r>
              <w:rPr>
                <w:rFonts w:hint="default" w:ascii="Times New Roman" w:hAnsi="Times New Roman" w:eastAsia="仿宋_GB2312"/>
                <w:color w:val="000000" w:themeColor="text1"/>
                <w:kern w:val="16"/>
                <w:highlight w:val="none"/>
                <w:lang w:val="en-US" w:eastAsia="zh-CN" w:bidi="ar"/>
                <w14:textFill>
                  <w14:solidFill>
                    <w14:schemeClr w14:val="tx1"/>
                  </w14:solidFill>
                </w14:textFill>
              </w:rPr>
              <w:t>按照</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年工作天数</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210</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d，实行一班工作制，每天工作8h。</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8</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.厂区总平面布置</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及合理性分析</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⑴厂区总平面布置</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本项目生产线布置在厂区</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建筑垃圾再生利用车间</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内</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，建筑垃圾再生利用车间位于厂区西北侧，生产车间沿用地长轴方向呈南北向布局</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。且因为生产区东、南、西面均有护坡，因此将车间尽量居中布置，南端、北端形成的空地作为原料堆场及再生产品堆场。</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管理用房位于建筑垃圾再生利用车间东南侧，</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管理用房的的布局也依地形建设，整体呈“一”字形沿用地长轴方向布置。</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成品辅助用房位于建筑垃圾再生利用车间东北角。</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本项目厂区总平面布置见</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附</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图2-1</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厂区</w:t>
            </w:r>
            <w:r>
              <w:rPr>
                <w:rFonts w:hint="default" w:ascii="Times New Roman" w:hAnsi="Times New Roman" w:eastAsia="仿宋_GB2312"/>
                <w:color w:val="000000" w:themeColor="text1"/>
                <w:kern w:val="16"/>
                <w:highlight w:val="none"/>
                <w:lang w:val="en-US" w:eastAsia="zh-CN" w:bidi="ar"/>
                <w14:textFill>
                  <w14:solidFill>
                    <w14:schemeClr w14:val="tx1"/>
                  </w14:solidFill>
                </w14:textFill>
              </w:rPr>
              <w:t>总平面布置合理性分析</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olor w:val="000000" w:themeColor="text1"/>
                <w:kern w:val="16"/>
                <w:highlight w:val="none"/>
                <w:lang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本项目位于固原市彭阳县新集乡与白阳镇交界处，彭沟公路西侧，距彭阳县城4公里。项目周围市政道路交错，交通便利</w:t>
            </w:r>
            <w:r>
              <w:rPr>
                <w:rFonts w:hint="eastAsia" w:ascii="Times New Roman" w:hAnsi="Times New Roman" w:eastAsia="仿宋_GB2312"/>
                <w:color w:val="000000" w:themeColor="text1"/>
                <w:kern w:val="16"/>
                <w:highlight w:val="none"/>
                <w:lang w:eastAsia="zh-CN" w:bidi="ar"/>
                <w14:textFill>
                  <w14:solidFill>
                    <w14:schemeClr w14:val="tx1"/>
                  </w14:solidFill>
                </w14:textFill>
              </w:rPr>
              <w:t>，具</w:t>
            </w:r>
            <w:r>
              <w:rPr>
                <w:rFonts w:hint="default" w:ascii="Times New Roman" w:hAnsi="Times New Roman" w:eastAsia="仿宋_GB2312"/>
                <w:color w:val="000000" w:themeColor="text1"/>
                <w:kern w:val="16"/>
                <w:highlight w:val="none"/>
                <w:lang w:bidi="ar"/>
                <w14:textFill>
                  <w14:solidFill>
                    <w14:schemeClr w14:val="tx1"/>
                  </w14:solidFill>
                </w14:textFill>
              </w:rPr>
              <w:t>有较好建设实施条件</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项目周边具有便捷交通设施，道路畅通，场区平面布置紧凑合理，根据主体工程施工实际现场情况，项目采用机械和人工配合进行工程施工，开挖土方委托有资质的单位拉至指定地点，管线开挖土方临时堆放在管沟一侧，待管线敷设完成后，及时回填。在开挖过程中，不适宜或机器施工扰动过大的采用人工操作，减少地表扰动强度。项目施工材料堆放在项目区南侧区域，位于项目规划建设用地红线范围内，项目施工道路主干道利用现有市政道路，新增入厂施工道路，项目施工营地布置在场地北侧，位于项目规划建设用地红线范围内，总体减少占地，有利于控制水土流失的影响。项目建设过程中，结合施工时序，有序开挖进行施工，纵向布置充分结合原地貌标高及周边地形考虑，在满足雨水排放的条件下，控制设计标高，减少土石方量。</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综上所述，本工程建设方案及布局总体合理</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9</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.水平衡分析</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⑴给水</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本项目用水由项目区北侧一公里处的</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De300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市政给水管网供水，从供水点引入一根</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De160pE</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管至本项目区内，提供本项目内的生产、生活和室外消防的用水，接入水量可满足使用。</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总用水量为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187.95</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生产用水：本项目生产用水主要有</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eastAsia="仿宋_GB2312"/>
                <w:color w:val="000000" w:themeColor="text1"/>
                <w:kern w:val="16"/>
                <w:sz w:val="24"/>
                <w:szCs w:val="24"/>
                <w:highlight w:val="none"/>
                <w:lang w:bidi="ar"/>
                <w14:textFill>
                  <w14:solidFill>
                    <w14:schemeClr w14:val="tx1"/>
                  </w14:solidFill>
                </w14:textFill>
              </w:rPr>
              <w:t>厂房抑尘用水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和</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生产工艺用水。经计算，生产用水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共184.32</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为控制道路运输扬尘</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厂区门口至厂房门口运输道路两旁设置4台雾炮环保系统，对进出车辆进行喷洒清洗以及道路进行抑尘，项目厂区道路面积为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3461</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，本次参考</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《关于印发宁夏回族自治区有关行业用水定额（修订）》的通知》（宁水节供发〔2025〕11号）</w:t>
            </w:r>
            <w:r>
              <w:rPr>
                <w:rFonts w:hint="default" w:ascii="Times New Roman" w:hAnsi="Times New Roman" w:eastAsia="仿宋_GB2312"/>
                <w:color w:val="000000" w:themeColor="text1"/>
                <w:kern w:val="16"/>
                <w:highlight w:val="none"/>
                <w:lang w:bidi="ar"/>
                <w14:textFill>
                  <w14:solidFill>
                    <w14:schemeClr w14:val="tx1"/>
                  </w14:solidFill>
                </w14:textFill>
              </w:rPr>
              <w:t>文件“N782环境卫生管理中场地、道路喷洒用水定额3月中旬-4月中旬：0.5</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4月下旬-10月上旬：2.0</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10月中旬-11月中旬：0.5</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则</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量为1.74</w:t>
            </w:r>
            <w:r>
              <w:rPr>
                <w:rFonts w:hint="default" w:ascii="Times New Roman" w:hAnsi="Times New Roman" w:eastAsia="仿宋_GB2312"/>
                <w:color w:val="000000" w:themeColor="text1"/>
                <w:kern w:val="16"/>
                <w:sz w:val="24"/>
                <w:szCs w:val="24"/>
                <w:highlight w:val="none"/>
                <w:lang w:bidi="ar"/>
                <w14:textFill>
                  <w14:solidFill>
                    <w14:schemeClr w14:val="tx1"/>
                  </w14:solidFill>
                </w14:textFill>
              </w:rPr>
              <w:t>m</w:t>
            </w:r>
            <w:r>
              <w:rPr>
                <w:rFonts w:hint="default" w:ascii="Times New Roman" w:hAnsi="Times New Roman"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w:t>
            </w:r>
            <w:r>
              <w:rPr>
                <w:rFonts w:hint="default" w:ascii="Times New Roman" w:hAnsi="Times New Roman" w:eastAsia="仿宋_GB2312"/>
                <w:color w:val="000000" w:themeColor="text1"/>
                <w:kern w:val="16"/>
                <w:sz w:val="24"/>
                <w:szCs w:val="24"/>
                <w:highlight w:val="none"/>
                <w:lang w:bidi="ar"/>
                <w14:textFill>
                  <w14:solidFill>
                    <w14:schemeClr w14:val="tx1"/>
                  </w14:solidFill>
                </w14:textFill>
              </w:rPr>
              <w:t>d</w:t>
            </w:r>
            <w:r>
              <w:rPr>
                <w:rFonts w:hint="default"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项目年生产</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210</w:t>
            </w:r>
            <w:r>
              <w:rPr>
                <w:rFonts w:hint="default" w:ascii="Times New Roman" w:hAnsi="Times New Roman" w:eastAsia="仿宋_GB2312"/>
                <w:color w:val="000000" w:themeColor="text1"/>
                <w:kern w:val="16"/>
                <w:highlight w:val="none"/>
                <w:lang w:bidi="ar"/>
                <w14:textFill>
                  <w14:solidFill>
                    <w14:schemeClr w14:val="tx1"/>
                  </w14:solidFill>
                </w14:textFill>
              </w:rPr>
              <w:t>d，则道路喷洒水量为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364.41</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仿宋_GB2312"/>
                <w:color w:val="000000" w:themeColor="text1"/>
                <w:kern w:val="16"/>
                <w:sz w:val="24"/>
                <w:szCs w:val="24"/>
                <w:highlight w:val="none"/>
                <w:lang w:bidi="ar"/>
                <w14:textFill>
                  <w14:solidFill>
                    <w14:schemeClr w14:val="tx1"/>
                  </w14:solidFill>
                </w14:textFill>
              </w:rPr>
            </w:pP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2）</w:t>
            </w:r>
            <w:r>
              <w:rPr>
                <w:rFonts w:hint="eastAsia" w:eastAsia="仿宋_GB2312"/>
                <w:color w:val="000000" w:themeColor="text1"/>
                <w:kern w:val="16"/>
                <w:sz w:val="24"/>
                <w:szCs w:val="24"/>
                <w:highlight w:val="none"/>
                <w:lang w:bidi="ar"/>
                <w14:textFill>
                  <w14:solidFill>
                    <w14:schemeClr w14:val="tx1"/>
                  </w14:solidFill>
                </w14:textFill>
              </w:rPr>
              <w:t>厂房抑尘用水：</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eastAsia="仿宋_GB2312"/>
                <w:color w:val="000000" w:themeColor="text1"/>
                <w:kern w:val="16"/>
                <w:sz w:val="24"/>
                <w:szCs w:val="24"/>
                <w:highlight w:val="none"/>
                <w:lang w:bidi="ar"/>
                <w14:textFill>
                  <w14:solidFill>
                    <w14:schemeClr w14:val="tx1"/>
                  </w14:solidFill>
                </w14:textFill>
              </w:rPr>
              <w:t>本项目</w:t>
            </w:r>
            <w:r>
              <w:rPr>
                <w:rFonts w:hint="eastAsia" w:eastAsia="仿宋_GB2312"/>
                <w:color w:val="000000" w:themeColor="text1"/>
                <w:kern w:val="16"/>
                <w:sz w:val="24"/>
                <w:szCs w:val="24"/>
                <w:highlight w:val="none"/>
                <w:lang w:val="en-US" w:eastAsia="zh-CN" w:bidi="ar"/>
                <w14:textFill>
                  <w14:solidFill>
                    <w14:schemeClr w14:val="tx1"/>
                  </w14:solidFill>
                </w14:textFill>
              </w:rPr>
              <w:t>在</w:t>
            </w:r>
            <w:r>
              <w:rPr>
                <w:rFonts w:hint="eastAsia" w:eastAsia="仿宋_GB2312"/>
                <w:color w:val="000000" w:themeColor="text1"/>
                <w:kern w:val="16"/>
                <w:sz w:val="24"/>
                <w:szCs w:val="24"/>
                <w:highlight w:val="none"/>
                <w:lang w:bidi="ar"/>
                <w14:textFill>
                  <w14:solidFill>
                    <w14:schemeClr w14:val="tx1"/>
                  </w14:solidFill>
                </w14:textFill>
              </w:rPr>
              <w:t>厂房</w:t>
            </w:r>
            <w:r>
              <w:rPr>
                <w:rFonts w:hint="eastAsia" w:eastAsia="仿宋_GB2312"/>
                <w:color w:val="000000" w:themeColor="text1"/>
                <w:kern w:val="16"/>
                <w:sz w:val="24"/>
                <w:szCs w:val="24"/>
                <w:highlight w:val="none"/>
                <w:lang w:val="en-US" w:eastAsia="zh-CN" w:bidi="ar"/>
                <w14:textFill>
                  <w14:solidFill>
                    <w14:schemeClr w14:val="tx1"/>
                  </w14:solidFill>
                </w14:textFill>
              </w:rPr>
              <w:t>内</w:t>
            </w:r>
            <w:r>
              <w:rPr>
                <w:rFonts w:hint="eastAsia" w:eastAsia="仿宋_GB2312"/>
                <w:color w:val="000000" w:themeColor="text1"/>
                <w:kern w:val="16"/>
                <w:sz w:val="24"/>
                <w:szCs w:val="24"/>
                <w:highlight w:val="none"/>
                <w:lang w:bidi="ar"/>
                <w14:textFill>
                  <w14:solidFill>
                    <w14:schemeClr w14:val="tx1"/>
                  </w14:solidFill>
                </w14:textFill>
              </w:rPr>
              <w:t>设置</w:t>
            </w:r>
            <w:r>
              <w:rPr>
                <w:rFonts w:hint="eastAsia" w:eastAsia="仿宋_GB2312"/>
                <w:color w:val="000000" w:themeColor="text1"/>
                <w:kern w:val="16"/>
                <w:sz w:val="24"/>
                <w:szCs w:val="24"/>
                <w:highlight w:val="none"/>
                <w:lang w:val="en-US" w:eastAsia="zh-CN" w:bidi="ar"/>
                <w14:textFill>
                  <w14:solidFill>
                    <w14:schemeClr w14:val="tx1"/>
                  </w14:solidFill>
                </w14:textFill>
              </w:rPr>
              <w:t>4台活性干雾机，主要应用于建筑垃圾再生线生产过程中产生的粉尘</w:t>
            </w:r>
            <w:r>
              <w:rPr>
                <w:rFonts w:hint="eastAsia" w:eastAsia="仿宋_GB2312"/>
                <w:color w:val="000000" w:themeColor="text1"/>
                <w:kern w:val="16"/>
                <w:sz w:val="24"/>
                <w:szCs w:val="24"/>
                <w:highlight w:val="none"/>
                <w:lang w:bidi="ar"/>
                <w14:textFill>
                  <w14:solidFill>
                    <w14:schemeClr w14:val="tx1"/>
                  </w14:solidFill>
                </w14:textFill>
              </w:rPr>
              <w:t>，通过产生与粉尘颗粒大小相近的微米级水雾，实现对粉尘的捕捉、粘结和沉降，增加局部空间的湿度，使粉尘粒子由于重力作用而落下</w:t>
            </w:r>
            <w:r>
              <w:rPr>
                <w:rFonts w:hint="eastAsia" w:eastAsia="仿宋_GB2312"/>
                <w:color w:val="000000" w:themeColor="text1"/>
                <w:kern w:val="16"/>
                <w:sz w:val="24"/>
                <w:szCs w:val="24"/>
                <w:highlight w:val="none"/>
                <w:lang w:val="en-US" w:eastAsia="zh-CN" w:bidi="ar"/>
                <w14:textFill>
                  <w14:solidFill>
                    <w14:schemeClr w14:val="tx1"/>
                  </w14:solidFill>
                </w14:textFill>
              </w:rPr>
              <w:t>以达到降尘的目的</w:t>
            </w:r>
            <w:r>
              <w:rPr>
                <w:rFonts w:hint="eastAsia" w:eastAsia="仿宋_GB2312"/>
                <w:color w:val="000000" w:themeColor="text1"/>
                <w:kern w:val="16"/>
                <w:sz w:val="24"/>
                <w:szCs w:val="24"/>
                <w:highlight w:val="none"/>
                <w:lang w:bidi="ar"/>
                <w14:textFill>
                  <w14:solidFill>
                    <w14:schemeClr w14:val="tx1"/>
                  </w14:solidFill>
                </w14:textFill>
              </w:rPr>
              <w:t>。每个喷嘴喷水量按1</w:t>
            </w:r>
            <w:r>
              <w:rPr>
                <w:rFonts w:hint="eastAsia" w:eastAsia="仿宋_GB2312"/>
                <w:color w:val="000000" w:themeColor="text1"/>
                <w:kern w:val="16"/>
                <w:sz w:val="24"/>
                <w:szCs w:val="24"/>
                <w:highlight w:val="none"/>
                <w:lang w:val="en-US" w:eastAsia="zh-CN" w:bidi="ar"/>
                <w14:textFill>
                  <w14:solidFill>
                    <w14:schemeClr w14:val="tx1"/>
                  </w14:solidFill>
                </w14:textFill>
              </w:rPr>
              <w:t>1</w:t>
            </w:r>
            <w:r>
              <w:rPr>
                <w:rFonts w:hint="eastAsia" w:eastAsia="仿宋_GB2312"/>
                <w:color w:val="000000" w:themeColor="text1"/>
                <w:kern w:val="16"/>
                <w:sz w:val="24"/>
                <w:szCs w:val="24"/>
                <w:highlight w:val="none"/>
                <w:lang w:bidi="ar"/>
                <w14:textFill>
                  <w14:solidFill>
                    <w14:schemeClr w14:val="tx1"/>
                  </w14:solidFill>
                </w14:textFill>
              </w:rPr>
              <w:t>L/h计，每隔3min一喷，喷水时间为1</w:t>
            </w:r>
            <w:r>
              <w:rPr>
                <w:rFonts w:hint="eastAsia" w:eastAsia="仿宋_GB2312"/>
                <w:color w:val="000000" w:themeColor="text1"/>
                <w:kern w:val="16"/>
                <w:sz w:val="24"/>
                <w:szCs w:val="24"/>
                <w:highlight w:val="none"/>
                <w:lang w:val="en-US" w:eastAsia="zh-CN" w:bidi="ar"/>
                <w14:textFill>
                  <w14:solidFill>
                    <w14:schemeClr w14:val="tx1"/>
                  </w14:solidFill>
                </w14:textFill>
              </w:rPr>
              <w:t>35</w:t>
            </w:r>
            <w:r>
              <w:rPr>
                <w:rFonts w:hint="eastAsia" w:eastAsia="仿宋_GB2312"/>
                <w:color w:val="000000" w:themeColor="text1"/>
                <w:kern w:val="16"/>
                <w:sz w:val="24"/>
                <w:szCs w:val="24"/>
                <w:highlight w:val="none"/>
                <w:lang w:bidi="ar"/>
                <w14:textFill>
                  <w14:solidFill>
                    <w14:schemeClr w14:val="tx1"/>
                  </w14:solidFill>
                </w14:textFill>
              </w:rPr>
              <w:t>0h/a，则喷雾抑尘用水量14.</w:t>
            </w:r>
            <w:r>
              <w:rPr>
                <w:rFonts w:hint="eastAsia" w:eastAsia="仿宋_GB2312"/>
                <w:color w:val="000000" w:themeColor="text1"/>
                <w:kern w:val="16"/>
                <w:sz w:val="24"/>
                <w:szCs w:val="24"/>
                <w:highlight w:val="none"/>
                <w:lang w:val="en-US" w:eastAsia="zh-CN" w:bidi="ar"/>
                <w14:textFill>
                  <w14:solidFill>
                    <w14:schemeClr w14:val="tx1"/>
                  </w14:solidFill>
                </w14:textFill>
              </w:rPr>
              <w:t>85</w:t>
            </w:r>
            <w:r>
              <w:rPr>
                <w:rFonts w:hint="eastAsia" w:eastAsia="仿宋_GB2312"/>
                <w:color w:val="000000" w:themeColor="text1"/>
                <w:kern w:val="16"/>
                <w:sz w:val="24"/>
                <w:szCs w:val="24"/>
                <w:highlight w:val="none"/>
                <w:lang w:bidi="ar"/>
                <w14:textFill>
                  <w14:solidFill>
                    <w14:schemeClr w14:val="tx1"/>
                  </w14:solidFill>
                </w14:textFill>
              </w:rPr>
              <w:t>m</w:t>
            </w:r>
            <w:r>
              <w:rPr>
                <w:rFonts w:hint="eastAsia"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/d（</w:t>
            </w:r>
            <w:r>
              <w:rPr>
                <w:rFonts w:hint="eastAsia" w:eastAsia="仿宋_GB2312"/>
                <w:color w:val="000000" w:themeColor="text1"/>
                <w:kern w:val="16"/>
                <w:sz w:val="24"/>
                <w:szCs w:val="24"/>
                <w:highlight w:val="none"/>
                <w:lang w:val="en-US" w:eastAsia="zh-CN" w:bidi="ar"/>
                <w14:textFill>
                  <w14:solidFill>
                    <w14:schemeClr w14:val="tx1"/>
                  </w14:solidFill>
                </w14:textFill>
              </w:rPr>
              <w:t>3118.5</w:t>
            </w:r>
            <w:r>
              <w:rPr>
                <w:rFonts w:hint="eastAsia" w:eastAsia="仿宋_GB2312"/>
                <w:color w:val="000000" w:themeColor="text1"/>
                <w:kern w:val="16"/>
                <w:sz w:val="24"/>
                <w:szCs w:val="24"/>
                <w:highlight w:val="none"/>
                <w:lang w:bidi="ar"/>
                <w14:textFill>
                  <w14:solidFill>
                    <w14:schemeClr w14:val="tx1"/>
                  </w14:solidFill>
                </w14:textFill>
              </w:rPr>
              <w:t>m</w:t>
            </w:r>
            <w:r>
              <w:rPr>
                <w:rFonts w:hint="eastAsia"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/a）。</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车辆冲洗用水</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28"/>
              <w:keepNext w:val="0"/>
              <w:keepLines w:val="0"/>
              <w:numPr>
                <w:ilvl w:val="0"/>
                <w:numId w:val="0"/>
              </w:numPr>
              <w:suppressLineNumbers w:val="0"/>
              <w:overflowPunct/>
              <w:spacing w:before="0" w:beforeAutospacing="0" w:after="0" w:afterAutospacing="0" w:line="360" w:lineRule="auto"/>
              <w:ind w:left="0" w:right="0" w:firstLine="480" w:firstLineChars="200"/>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本项目厂区门口设置车辆冲洗台，装载车载重按14t计，则本项目进出运输量约为1</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3车次/d，每辆车每次的冲洗水量按7L计，则项目进出车辆冲洗用水约为</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0.79</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m</w:t>
            </w:r>
            <w:r>
              <w:rPr>
                <w:rFonts w:hint="default" w:eastAsia="仿宋_GB2312" w:cs="Times New Roman"/>
                <w:color w:val="000000" w:themeColor="text1"/>
                <w:kern w:val="16"/>
                <w:sz w:val="24"/>
                <w:szCs w:val="24"/>
                <w:highlight w:val="none"/>
                <w:vertAlign w:val="superscript"/>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/d（</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165.9</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m</w:t>
            </w:r>
            <w:r>
              <w:rPr>
                <w:rFonts w:hint="default" w:eastAsia="仿宋_GB2312" w:cs="Times New Roman"/>
                <w:color w:val="000000" w:themeColor="text1"/>
                <w:kern w:val="16"/>
                <w:sz w:val="24"/>
                <w:szCs w:val="24"/>
                <w:highlight w:val="none"/>
                <w:vertAlign w:val="superscript"/>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/a）。</w:t>
            </w:r>
          </w:p>
          <w:p>
            <w:pPr>
              <w:pStyle w:val="34"/>
              <w:keepNext w:val="0"/>
              <w:keepLines w:val="0"/>
              <w:pageBreakBefore w:val="0"/>
              <w:widowControl w:val="0"/>
              <w:numPr>
                <w:ilvl w:val="0"/>
                <w:numId w:val="0"/>
              </w:numPr>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4）</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：主要为混凝土制品再生线和水稳料再生线搅拌用水。</w:t>
            </w:r>
            <w:r>
              <w:rPr>
                <w:rFonts w:hint="default" w:ascii="Times New Roman" w:hAnsi="Times New Roman" w:eastAsia="仿宋_GB2312"/>
                <w:color w:val="000000" w:themeColor="text1"/>
                <w:kern w:val="16"/>
                <w:highlight w:val="none"/>
                <w:lang w:bidi="ar"/>
                <w14:textFill>
                  <w14:solidFill>
                    <w14:schemeClr w14:val="tx1"/>
                  </w14:solidFill>
                </w14:textFill>
              </w:rPr>
              <w:t>生产</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工艺用水</w:t>
            </w:r>
            <w:r>
              <w:rPr>
                <w:rFonts w:hint="default" w:ascii="Times New Roman" w:hAnsi="Times New Roman" w:eastAsia="仿宋_GB2312"/>
                <w:color w:val="000000" w:themeColor="text1"/>
                <w:kern w:val="16"/>
                <w:highlight w:val="none"/>
                <w:lang w:bidi="ar"/>
                <w14:textFill>
                  <w14:solidFill>
                    <w14:schemeClr w14:val="tx1"/>
                  </w14:solidFill>
                </w14:textFill>
              </w:rPr>
              <w:t>经厂区沉淀池处理后，上清液循环利用</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经计算，工程最高日生产用水166.94m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/d，最大小时用水量约为21.69m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/h。</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②</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生活用水：本项目劳动定员为30人，其中管理及后勤人员6人，生产部门24人。</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本次员工生活用水参照《关于印发宁夏回族自治区有关行业用水定额（修订）》的通知》（宁水节供发〔2025〕11号）以及当地的实际情况，生活用水定额为25m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/(人·a)，则生活用水量为750m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/a（3.57</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③</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绿化用水：</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本项目</w:t>
            </w:r>
            <w:r>
              <w:rPr>
                <w:rFonts w:hint="eastAsia" w:ascii="Times New Roman" w:hAnsi="Times New Roman" w:eastAsia="仿宋_GB2312"/>
                <w:color w:val="000000" w:themeColor="text1"/>
                <w:kern w:val="16"/>
                <w:highlight w:val="none"/>
                <w:lang w:bidi="ar"/>
                <w14:textFill>
                  <w14:solidFill>
                    <w14:schemeClr w14:val="tx1"/>
                  </w14:solidFill>
                </w14:textFill>
              </w:rPr>
              <w:t>管理区内绿地面积约130.00m</w:t>
            </w:r>
            <w:r>
              <w:rPr>
                <w:rFonts w:hint="eastAsia"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eastAsia" w:ascii="Times New Roman" w:hAnsi="Times New Roman" w:eastAsia="仿宋_GB2312"/>
                <w:color w:val="000000" w:themeColor="text1"/>
                <w:kern w:val="16"/>
                <w:highlight w:val="none"/>
                <w:lang w:bidi="ar"/>
                <w14:textFill>
                  <w14:solidFill>
                    <w14:schemeClr w14:val="tx1"/>
                  </w14:solidFill>
                </w14:textFill>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参考</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《关于印发宁夏回族自治区有关行业用水定额（修订）》的通知》（宁水节供发〔2025〕11号），确定绿化用水定额按照0.1m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·a）计，厂区绿化用水量为13m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/a（0.06m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⑵排水</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eastAsia="仿宋_GB2312"/>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生活污水：本</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项目</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生活污水排水量按用水量的</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0%计，排水量为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2.86</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default" w:eastAsia="仿宋_GB2312"/>
                <w:color w:val="000000" w:themeColor="text1"/>
                <w:kern w:val="16"/>
                <w:sz w:val="24"/>
                <w:szCs w:val="24"/>
                <w:highlight w:val="none"/>
                <w:lang w:eastAsia="zh-CN" w:bidi="ar"/>
                <w14:textFill>
                  <w14:solidFill>
                    <w14:schemeClr w14:val="tx1"/>
                  </w14:solidFill>
                </w14:textFill>
              </w:rPr>
              <w:t>生活污水经化粪池处理</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highlight w:val="none"/>
                <w:lang w:val="en-US" w:eastAsia="zh-CN" w:bidi="ar"/>
                <w14:textFill>
                  <w14:solidFill>
                    <w14:schemeClr w14:val="tx1"/>
                  </w14:solidFill>
                </w14:textFill>
              </w:rPr>
              <w:t>由专业人员定期清理外运至彭阳县第二污水处理厂</w:t>
            </w:r>
            <w:r>
              <w:rPr>
                <w:rFonts w:hint="eastAsia" w:eastAsia="仿宋_GB2312" w:cs="Times New Roman"/>
                <w:color w:val="000000" w:themeColor="text1"/>
                <w:kern w:val="16"/>
                <w:sz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②生产废水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default" w:ascii="Times New Roman" w:hAnsi="Times New Roman" w:eastAsia="仿宋_GB2312"/>
                <w:color w:val="000000" w:themeColor="text1"/>
                <w:kern w:val="16"/>
                <w:highlight w:val="none"/>
                <w:lang w:bidi="ar"/>
                <w14:textFill>
                  <w14:solidFill>
                    <w14:schemeClr w14:val="tx1"/>
                  </w14:solidFill>
                </w14:textFill>
              </w:rPr>
              <w:t>本项目厂区道路抑尘用水及厂房抑尘用水自然蒸发，不外排。</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排</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水</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：本项目车辆冲洗</w:t>
            </w:r>
            <w:r>
              <w:rPr>
                <w:rFonts w:hint="eastAsia" w:eastAsia="仿宋_GB2312"/>
                <w:color w:val="000000" w:themeColor="text1"/>
                <w:kern w:val="16"/>
                <w:highlight w:val="none"/>
                <w:lang w:bidi="ar"/>
                <w14:textFill>
                  <w14:solidFill>
                    <w14:schemeClr w14:val="tx1"/>
                  </w14:solidFill>
                </w14:textFill>
              </w:rPr>
              <w:t>排</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水外排。</w:t>
            </w:r>
            <w:r>
              <w:rPr>
                <w:rFonts w:hint="eastAsia" w:eastAsia="仿宋_GB2312"/>
                <w:color w:val="000000" w:themeColor="text1"/>
                <w:kern w:val="16"/>
                <w:highlight w:val="none"/>
                <w:lang w:bidi="ar"/>
                <w14:textFill>
                  <w14:solidFill>
                    <w14:schemeClr w14:val="tx1"/>
                  </w14:solidFill>
                </w14:textFill>
              </w:rPr>
              <w:t>车辆冲洗排水以用水量的80%计，则本项目车辆冲洗排水排放量约</w:t>
            </w:r>
            <w:r>
              <w:rPr>
                <w:rFonts w:hint="default" w:ascii="Times New Roman" w:hAnsi="Times New Roman" w:eastAsia="仿宋_GB2312"/>
                <w:color w:val="000000" w:themeColor="text1"/>
                <w:kern w:val="16"/>
                <w:highlight w:val="none"/>
                <w:lang w:bidi="ar"/>
                <w14:textFill>
                  <w14:solidFill>
                    <w14:schemeClr w14:val="tx1"/>
                  </w14:solidFill>
                </w14:textFill>
              </w:rPr>
              <w:t>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0.63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132.3</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/a</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生产废水由工艺专业提供，在原料堆场区设置30m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生产废水收集沉淀池，经沉淀后，上清液循环使用，</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不外排，排水量按生产用水量的10%计。因此，生产废水总产生量约16.69m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widowControl w:val="0"/>
              <w:suppressLineNumbers w:val="0"/>
              <w:overflowPunct w:val="0"/>
              <w:autoSpaceDE/>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项目水平衡表见表2-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9</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，水平衡图见图2-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9</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本项目用水情况一览表</w:t>
            </w:r>
            <w:r>
              <w:rPr>
                <w:rFonts w:hint="default" w:ascii="Times New Roman" w:hAnsi="Times New Roman" w:cs="Times New Roman"/>
                <w:b/>
                <w:bCs/>
                <w:color w:val="000000" w:themeColor="text1"/>
                <w:kern w:val="2"/>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单位：m</w:t>
            </w:r>
            <w:r>
              <w:rPr>
                <w:rFonts w:hint="default" w:ascii="Times New Roman" w:hAnsi="Times New Roman" w:eastAsia="宋体" w:cs="Times New Roman"/>
                <w:b/>
                <w:bCs/>
                <w:color w:val="000000" w:themeColor="text1"/>
                <w:kern w:val="2"/>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/d</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48"/>
              <w:gridCol w:w="1114"/>
              <w:gridCol w:w="1114"/>
              <w:gridCol w:w="1114"/>
              <w:gridCol w:w="1114"/>
              <w:gridCol w:w="1116"/>
              <w:gridCol w:w="13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30" w:hRule="atLeast"/>
                <w:jc w:val="center"/>
              </w:trPr>
              <w:tc>
                <w:tcPr>
                  <w:tcW w:w="1448" w:type="dxa"/>
                  <w:vMerge w:val="restart"/>
                  <w:tcBorders>
                    <w:top w:val="single" w:color="000000" w:sz="12" w:space="0"/>
                    <w:left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用水项目</w:t>
                  </w:r>
                </w:p>
              </w:tc>
              <w:tc>
                <w:tcPr>
                  <w:tcW w:w="2228" w:type="dxa"/>
                  <w:gridSpan w:val="2"/>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eastAsia" w:cs="Times New Roman"/>
                      <w:b/>
                      <w:bCs w:val="0"/>
                      <w:color w:val="000000" w:themeColor="text1"/>
                      <w:kern w:val="0"/>
                      <w:sz w:val="21"/>
                      <w:szCs w:val="21"/>
                      <w:highlight w:val="none"/>
                      <w:lang w:val="en-US" w:eastAsia="zh-CN" w:bidi="ar"/>
                      <w14:textFill>
                        <w14:solidFill>
                          <w14:schemeClr w14:val="tx1"/>
                        </w14:solidFill>
                      </w14:textFill>
                    </w:rPr>
                    <w:t>输入</w:t>
                  </w: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用水</w:t>
                  </w:r>
                </w:p>
              </w:tc>
              <w:tc>
                <w:tcPr>
                  <w:tcW w:w="3344" w:type="dxa"/>
                  <w:gridSpan w:val="3"/>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eastAsia" w:cs="Times New Roman"/>
                      <w:b/>
                      <w:bCs w:val="0"/>
                      <w:color w:val="000000" w:themeColor="text1"/>
                      <w:kern w:val="0"/>
                      <w:sz w:val="21"/>
                      <w:szCs w:val="21"/>
                      <w:highlight w:val="none"/>
                      <w:lang w:val="en-US" w:eastAsia="zh-CN" w:bidi="ar"/>
                      <w14:textFill>
                        <w14:solidFill>
                          <w14:schemeClr w14:val="tx1"/>
                        </w14:solidFill>
                      </w14:textFill>
                    </w:rPr>
                    <w:t>输出</w:t>
                  </w: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排水</w:t>
                  </w:r>
                </w:p>
              </w:tc>
              <w:tc>
                <w:tcPr>
                  <w:tcW w:w="1352" w:type="dxa"/>
                  <w:vMerge w:val="restart"/>
                  <w:tcBorders>
                    <w:top w:val="single" w:color="000000" w:sz="12" w:space="0"/>
                    <w:left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1448" w:type="dxa"/>
                  <w:vMerge w:val="continue"/>
                  <w:tcBorders>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FF0000"/>
                      <w:kern w:val="2"/>
                      <w:sz w:val="21"/>
                      <w:szCs w:val="21"/>
                      <w:highlight w:val="none"/>
                      <w:lang w:val="en-US" w:eastAsia="zh-CN"/>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新鲜水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回用水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损耗</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回用水</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排水</w:t>
                  </w:r>
                  <w:r>
                    <w:rPr>
                      <w:rFonts w:hint="eastAsia" w:cs="Times New Roman"/>
                      <w:b/>
                      <w:bCs/>
                      <w:color w:val="000000" w:themeColor="text1"/>
                      <w:kern w:val="2"/>
                      <w:sz w:val="21"/>
                      <w:szCs w:val="21"/>
                      <w:highlight w:val="none"/>
                      <w:lang w:val="en-US" w:eastAsia="zh-CN"/>
                      <w14:textFill>
                        <w14:solidFill>
                          <w14:schemeClr w14:val="tx1"/>
                        </w14:solidFill>
                      </w14:textFill>
                    </w:rPr>
                    <w:t>量</w:t>
                  </w:r>
                </w:p>
              </w:tc>
              <w:tc>
                <w:tcPr>
                  <w:tcW w:w="1352" w:type="dxa"/>
                  <w:vMerge w:val="continue"/>
                  <w:tcBorders>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FF0000"/>
                      <w:kern w:val="2"/>
                      <w:sz w:val="21"/>
                      <w:szCs w:val="21"/>
                      <w:highlight w:val="none"/>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生产</w:t>
                  </w:r>
                  <w:r>
                    <w:rPr>
                      <w:rFonts w:hint="eastAsia" w:cs="Times New Roman"/>
                      <w:color w:val="000000" w:themeColor="text1"/>
                      <w:kern w:val="2"/>
                      <w:sz w:val="21"/>
                      <w:szCs w:val="21"/>
                      <w:highlight w:val="none"/>
                      <w:lang w:val="en-US" w:eastAsia="zh-CN"/>
                      <w14:textFill>
                        <w14:solidFill>
                          <w14:schemeClr w14:val="tx1"/>
                        </w14:solidFill>
                      </w14:textFill>
                    </w:rPr>
                    <w:t>用</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166.94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150.25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16.69</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highlight w:val="none"/>
                      <w:lang w:val="en-US" w:eastAsia="zh-CN"/>
                    </w:rPr>
                  </w:pPr>
                  <w:r>
                    <w:rPr>
                      <w:rFonts w:hint="eastAsia" w:cs="Times New Roman"/>
                      <w:color w:val="000000" w:themeColor="text1"/>
                      <w:kern w:val="2"/>
                      <w:sz w:val="21"/>
                      <w:szCs w:val="21"/>
                      <w:highlight w:val="none"/>
                      <w:lang w:val="en-US" w:eastAsia="zh-CN"/>
                      <w14:textFill>
                        <w14:solidFill>
                          <w14:schemeClr w14:val="tx1"/>
                        </w14:solidFill>
                      </w14:textFill>
                    </w:rPr>
                    <w:t>上清液循环使用，沉淀物和项目分离分选后的渣土</w:t>
                  </w:r>
                  <w:r>
                    <w:rPr>
                      <w:rFonts w:hint="eastAsia"/>
                      <w:color w:val="000000" w:themeColor="text1"/>
                      <w:szCs w:val="21"/>
                      <w:highlight w:val="none"/>
                      <w14:textFill>
                        <w14:solidFill>
                          <w14:schemeClr w14:val="tx1"/>
                        </w14:solidFill>
                      </w14:textFill>
                    </w:rPr>
                    <w:t>主要用于回填工程，如拆除工程场地平整，垃圾填埋场的封场填埋等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厂区道路抑尘用水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1.74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1.74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eastAsia="宋体"/>
                      <w:color w:val="000000" w:themeColor="text1"/>
                      <w:kern w:val="2"/>
                      <w:sz w:val="21"/>
                      <w:szCs w:val="21"/>
                      <w:highlight w:val="none"/>
                      <w:lang w:bidi="ar"/>
                      <w14:textFill>
                        <w14:solidFill>
                          <w14:schemeClr w14:val="tx1"/>
                        </w14:solidFill>
                      </w14:textFill>
                    </w:rPr>
                    <w:t>厂房抑尘用水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14.85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14.85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车辆冲洗用水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0.79</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0.16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0.63</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外排至管网，经化粪池处理后，由专业人员定期清</w:t>
                  </w:r>
                </w:p>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理外运至彭阳县第二污水处理厂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生活用水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3.57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0.71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2.86</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经化粪池处理后，由专业人员定期清</w:t>
                  </w:r>
                </w:p>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理外运至彭阳县第二污水处理厂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绿化用水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0.06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0.06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448" w:type="dxa"/>
                  <w:tcBorders>
                    <w:top w:val="single" w:color="000000" w:sz="4" w:space="0"/>
                    <w:left w:val="single" w:color="000000" w:sz="12"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FF0000"/>
                      <w:kern w:val="2"/>
                      <w:sz w:val="21"/>
                      <w:szCs w:val="22"/>
                      <w:highlight w:val="none"/>
                      <w:lang w:eastAsia="zh-CN"/>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总计</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187.95</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150.25</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2"/>
                      <w:highlight w:val="none"/>
                      <w:lang w:val="en-US" w:eastAsia="zh-CN"/>
                      <w14:textFill>
                        <w14:solidFill>
                          <w14:schemeClr w14:val="tx1"/>
                        </w14:solidFill>
                      </w14:textFill>
                    </w:rPr>
                    <w:t>34.21</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2"/>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2"/>
                      <w:lang w:val="en-US"/>
                    </w:rPr>
                  </w:pPr>
                  <w:r>
                    <w:rPr>
                      <w:rFonts w:hint="eastAsia" w:cs="Times New Roman"/>
                      <w:b/>
                      <w:bCs/>
                      <w:color w:val="000000" w:themeColor="text1"/>
                      <w:kern w:val="2"/>
                      <w:sz w:val="21"/>
                      <w:szCs w:val="22"/>
                      <w:highlight w:val="none"/>
                      <w:lang w:val="en-US" w:eastAsia="zh-CN"/>
                      <w14:textFill>
                        <w14:solidFill>
                          <w14:schemeClr w14:val="tx1"/>
                        </w14:solidFill>
                      </w14:textFill>
                    </w:rPr>
                    <w:t>3.49</w:t>
                  </w:r>
                </w:p>
              </w:tc>
              <w:tc>
                <w:tcPr>
                  <w:tcW w:w="1352" w:type="dxa"/>
                  <w:tcBorders>
                    <w:top w:val="single" w:color="000000" w:sz="4" w:space="0"/>
                    <w:left w:val="single" w:color="000000" w:sz="4" w:space="0"/>
                    <w:bottom w:val="single" w:color="000000" w:sz="12"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highlight w:val="none"/>
                      <w:lang w:val="en-US" w:eastAsia="zh-CN"/>
                    </w:rPr>
                  </w:pPr>
                  <w:r>
                    <w:rPr>
                      <w:rFonts w:hint="eastAsia" w:cs="Times New Roman"/>
                      <w:color w:val="000000" w:themeColor="text1"/>
                      <w:kern w:val="2"/>
                      <w:sz w:val="21"/>
                      <w:szCs w:val="21"/>
                      <w:highlight w:val="none"/>
                      <w:lang w:val="en-US" w:eastAsia="zh-CN"/>
                      <w14:textFill>
                        <w14:solidFill>
                          <w14:schemeClr w14:val="tx1"/>
                        </w14:solidFill>
                      </w14:textFill>
                    </w:rPr>
                    <w:t>/</w:t>
                  </w:r>
                </w:p>
              </w:tc>
            </w:tr>
          </w:tbl>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_GB2312" w:cs="Times New Roman"/>
                <w:b/>
                <w:bCs/>
                <w:color w:val="FF0000"/>
                <w:kern w:val="16"/>
                <w:sz w:val="24"/>
                <w:szCs w:val="24"/>
                <w:highlight w:val="none"/>
                <w:lang w:val="en-US" w:eastAsia="zh-CN" w:bidi="ar"/>
              </w:rPr>
            </w:pPr>
            <w:r>
              <w:rPr>
                <w:rFonts w:hint="default" w:ascii="Times New Roman" w:hAnsi="Times New Roman" w:eastAsia="仿宋_GB2312" w:cs="Times New Roman"/>
                <w:b/>
                <w:bCs/>
                <w:color w:val="FF0000"/>
                <w:kern w:val="16"/>
                <w:sz w:val="24"/>
                <w:szCs w:val="24"/>
                <w:highlight w:val="none"/>
                <w:lang w:val="en-US" w:eastAsia="zh-CN" w:bidi="ar"/>
              </w:rPr>
              <w:object>
                <v:shape id="_x0000_i1025" o:spt="75" type="#_x0000_t75" style="height:632.95pt;width:375.1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图2-</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本项目水平衡图（m</w:t>
            </w:r>
            <w:r>
              <w:rPr>
                <w:rFonts w:hint="default" w:ascii="Times New Roman" w:hAnsi="Times New Roman" w:eastAsia="宋体" w:cs="Times New Roman"/>
                <w:b/>
                <w:bCs/>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cs="Times New Roman"/>
                <w:b/>
                <w:bCs/>
                <w:color w:val="000000" w:themeColor="text1"/>
                <w:kern w:val="16"/>
                <w:sz w:val="24"/>
                <w:szCs w:val="24"/>
                <w:highlight w:val="none"/>
                <w:lang w:val="en-US" w:eastAsia="zh-CN" w:bidi="ar"/>
                <w14:textFill>
                  <w14:solidFill>
                    <w14:schemeClr w14:val="tx1"/>
                  </w14:solidFill>
                </w14:textFill>
              </w:rPr>
              <w:t>d</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10.环保投资</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FF0000"/>
                <w:kern w:val="2"/>
                <w:sz w:val="21"/>
                <w:szCs w:val="21"/>
                <w:highlight w:val="none"/>
                <w:lang w:val="en-US" w:eastAsia="zh-CN" w:bidi="ar"/>
              </w:rPr>
            </w:pPr>
            <w:r>
              <w:rPr>
                <w:rFonts w:hint="default" w:ascii="Times New Roman" w:hAnsi="Times New Roman" w:eastAsia="仿宋_GB2312" w:cs="Times New Roman"/>
                <w:color w:val="auto"/>
                <w:kern w:val="16"/>
                <w:sz w:val="24"/>
                <w:szCs w:val="24"/>
                <w:highlight w:val="none"/>
                <w:lang w:val="en-US" w:eastAsia="zh-CN" w:bidi="ar"/>
              </w:rPr>
              <w:t>本项目总投资</w:t>
            </w:r>
            <w:r>
              <w:rPr>
                <w:rFonts w:hint="eastAsia" w:ascii="Times New Roman" w:hAnsi="Times New Roman" w:eastAsia="仿宋_GB2312" w:cs="Times New Roman"/>
                <w:color w:val="auto"/>
                <w:kern w:val="16"/>
                <w:sz w:val="24"/>
                <w:szCs w:val="24"/>
                <w:highlight w:val="none"/>
                <w:lang w:val="en-US" w:eastAsia="zh-CN" w:bidi="ar"/>
              </w:rPr>
              <w:t>3624.39</w:t>
            </w:r>
            <w:r>
              <w:rPr>
                <w:rFonts w:hint="default" w:ascii="Times New Roman" w:hAnsi="Times New Roman" w:eastAsia="仿宋_GB2312" w:cs="Times New Roman"/>
                <w:color w:val="auto"/>
                <w:kern w:val="16"/>
                <w:sz w:val="24"/>
                <w:szCs w:val="24"/>
                <w:highlight w:val="none"/>
                <w:lang w:val="en-US" w:eastAsia="zh-CN" w:bidi="ar"/>
              </w:rPr>
              <w:t>万元，其中环保投资</w:t>
            </w:r>
            <w:r>
              <w:rPr>
                <w:rFonts w:hint="eastAsia" w:ascii="Times New Roman" w:hAnsi="Times New Roman" w:eastAsia="仿宋_GB2312" w:cs="Times New Roman"/>
                <w:color w:val="auto"/>
                <w:kern w:val="16"/>
                <w:sz w:val="24"/>
                <w:szCs w:val="24"/>
                <w:highlight w:val="none"/>
                <w:lang w:val="en-US" w:eastAsia="zh-CN" w:bidi="ar"/>
              </w:rPr>
              <w:t>143.5</w:t>
            </w:r>
            <w:r>
              <w:rPr>
                <w:rFonts w:hint="default" w:ascii="Times New Roman" w:hAnsi="Times New Roman" w:eastAsia="仿宋_GB2312" w:cs="Times New Roman"/>
                <w:color w:val="auto"/>
                <w:kern w:val="16"/>
                <w:sz w:val="24"/>
                <w:szCs w:val="24"/>
                <w:highlight w:val="none"/>
                <w:lang w:val="en-US" w:eastAsia="zh-CN" w:bidi="ar"/>
              </w:rPr>
              <w:t>万元，环保投资占总投资的</w:t>
            </w:r>
            <w:r>
              <w:rPr>
                <w:rFonts w:hint="eastAsia" w:ascii="Times New Roman" w:hAnsi="Times New Roman" w:eastAsia="仿宋_GB2312" w:cs="Times New Roman"/>
                <w:color w:val="auto"/>
                <w:kern w:val="16"/>
                <w:sz w:val="24"/>
                <w:szCs w:val="24"/>
                <w:highlight w:val="none"/>
                <w:lang w:val="en-US" w:eastAsia="zh-CN" w:bidi="ar"/>
              </w:rPr>
              <w:t>3.96</w:t>
            </w:r>
            <w:r>
              <w:rPr>
                <w:rFonts w:hint="default" w:ascii="Times New Roman" w:hAnsi="Times New Roman" w:eastAsia="仿宋_GB2312" w:cs="Times New Roman"/>
                <w:color w:val="auto"/>
                <w:kern w:val="16"/>
                <w:sz w:val="24"/>
                <w:szCs w:val="24"/>
                <w:highlight w:val="none"/>
                <w:lang w:val="en-US" w:eastAsia="zh-CN" w:bidi="ar"/>
              </w:rPr>
              <w:t>%，具体环保投资情况见表2-</w:t>
            </w:r>
            <w:r>
              <w:rPr>
                <w:rFonts w:hint="eastAsia" w:ascii="Times New Roman" w:hAnsi="Times New Roman" w:eastAsia="仿宋_GB2312" w:cs="Times New Roman"/>
                <w:color w:val="auto"/>
                <w:kern w:val="16"/>
                <w:sz w:val="24"/>
                <w:szCs w:val="24"/>
                <w:highlight w:val="none"/>
                <w:lang w:val="en-US" w:eastAsia="zh-CN" w:bidi="ar"/>
              </w:rPr>
              <w:t>10</w:t>
            </w:r>
            <w:r>
              <w:rPr>
                <w:rFonts w:hint="default" w:ascii="Times New Roman" w:hAnsi="Times New Roman" w:eastAsia="仿宋_GB2312" w:cs="Times New Roman"/>
                <w:color w:val="auto"/>
                <w:kern w:val="16"/>
                <w:sz w:val="24"/>
                <w:szCs w:val="24"/>
                <w:highlight w:val="none"/>
                <w:lang w:val="en-US" w:eastAsia="zh-CN" w:bidi="ar"/>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10</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环保投资一览表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6"/>
              <w:gridCol w:w="1155"/>
              <w:gridCol w:w="1306"/>
              <w:gridCol w:w="1150"/>
              <w:gridCol w:w="2875"/>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45" w:hRule="atLeast"/>
                <w:jc w:val="center"/>
              </w:trPr>
              <w:tc>
                <w:tcPr>
                  <w:tcW w:w="533"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时期</w:t>
                  </w: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名称</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环保设施</w:t>
                  </w:r>
                  <w:r>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t>内容</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t>金额</w:t>
                  </w:r>
                </w:p>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bookmarkStart w:id="6" w:name="_Hlk436812711"/>
                  <w:bookmarkStart w:id="7" w:name="OLE_LINK4"/>
                  <w:r>
                    <w:rPr>
                      <w:rFonts w:hint="eastAsia" w:cs="Times New Roman"/>
                      <w:b/>
                      <w:bCs/>
                      <w:color w:val="000000" w:themeColor="text1"/>
                      <w:kern w:val="2"/>
                      <w:sz w:val="21"/>
                      <w:szCs w:val="21"/>
                      <w:highlight w:val="none"/>
                      <w:lang w:val="en-US" w:eastAsia="zh-CN" w:bidi="ar"/>
                      <w14:textFill>
                        <w14:solidFill>
                          <w14:schemeClr w14:val="tx1"/>
                        </w14:solidFill>
                      </w14:textFill>
                    </w:rPr>
                    <w:t>施工期</w:t>
                  </w: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运输道路硬化、洒水抑尘、清扫运输马路</w:t>
                  </w:r>
                  <w:r>
                    <w:rPr>
                      <w:rFonts w:hint="eastAsia"/>
                      <w:szCs w:val="22"/>
                      <w:lang w:eastAsia="zh-CN"/>
                    </w:rPr>
                    <w:t>；</w:t>
                  </w:r>
                  <w:r>
                    <w:rPr>
                      <w:rFonts w:hint="eastAsia"/>
                      <w:szCs w:val="22"/>
                    </w:rPr>
                    <w:t>尽量减少回填土、粉状建筑材料露天堆放，必须露天堆放的易起尘的材料应加苫布覆盖</w:t>
                  </w:r>
                  <w:r>
                    <w:rPr>
                      <w:rFonts w:hint="eastAsia"/>
                      <w:szCs w:val="22"/>
                      <w:lang w:val="en-US" w:eastAsia="zh-CN"/>
                    </w:rPr>
                    <w:t>等措施。</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lang w:val="en-US" w:eastAsia="zh-CN"/>
                    </w:rPr>
                    <w:t>噪声治理设施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施工期选用低噪声施工设备，采取隔声、减振等措施，合理安排施工时间，施工高峰期监测施工噪声</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自建临时化粪池收集，定期用密封罐车</w:t>
                  </w:r>
                  <w:r>
                    <w:rPr>
                      <w:rFonts w:hint="eastAsia"/>
                      <w:szCs w:val="22"/>
                      <w:lang w:eastAsia="zh-CN"/>
                    </w:rPr>
                    <w:t>拉运至彭阳县第二污水处理厂。</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固废收集设施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eastAsia"/>
                      <w:szCs w:val="22"/>
                      <w:lang w:val="en-US" w:eastAsia="zh-CN"/>
                    </w:rPr>
                    <w:t>建筑垃圾综合利用，</w:t>
                  </w:r>
                  <w:r>
                    <w:rPr>
                      <w:rFonts w:hint="eastAsia"/>
                      <w:szCs w:val="22"/>
                    </w:rPr>
                    <w:t>剩余部分由转运至本项目建筑垃圾专用处置场</w:t>
                  </w:r>
                  <w:r>
                    <w:rPr>
                      <w:rFonts w:hint="eastAsia"/>
                      <w:szCs w:val="22"/>
                      <w:lang w:eastAsia="zh-CN"/>
                    </w:rPr>
                    <w:t>；</w:t>
                  </w:r>
                  <w:r>
                    <w:rPr>
                      <w:rFonts w:hint="eastAsia"/>
                      <w:szCs w:val="22"/>
                    </w:rPr>
                    <w:t>生活垃圾经临时的生活垃圾收集系统收集后，交由环卫部门处理。</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运</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营</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期</w:t>
                  </w: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废气处理设施</w:t>
                  </w:r>
                  <w:r>
                    <w:rPr>
                      <w:rFonts w:hint="eastAsia" w:cs="Times New Roman"/>
                      <w:color w:val="000000" w:themeColor="text1"/>
                      <w:sz w:val="21"/>
                      <w:szCs w:val="21"/>
                      <w:highlight w:val="none"/>
                      <w:lang w:val="en-US" w:eastAsia="zh-CN"/>
                      <w14:textFill>
                        <w14:solidFill>
                          <w14:schemeClr w14:val="tx1"/>
                        </w14:solidFill>
                      </w14:textFill>
                    </w:rPr>
                    <w:t xml:space="preserve"> </w:t>
                  </w:r>
                </w:p>
              </w:tc>
              <w:tc>
                <w:tcPr>
                  <w:tcW w:w="778"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生产废气</w:t>
                  </w: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s="Times New Roman"/>
                      <w:color w:val="000000" w:themeColor="text1"/>
                      <w:sz w:val="21"/>
                      <w:szCs w:val="21"/>
                      <w:lang w:val="en-US" w:eastAsia="zh-CN"/>
                      <w14:textFill>
                        <w14:solidFill>
                          <w14:schemeClr w14:val="tx1"/>
                        </w14:solidFill>
                      </w14:textFill>
                    </w:rPr>
                    <w:t>建筑垃圾原料运输卸料阶段</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szCs w:val="22"/>
                    </w:rPr>
                    <w:t>建筑</w:t>
                  </w:r>
                  <w:r>
                    <w:rPr>
                      <w:rFonts w:hint="eastAsia"/>
                      <w:szCs w:val="22"/>
                      <w:lang w:val="en-US" w:eastAsia="zh-CN"/>
                    </w:rPr>
                    <w:t>垃圾原料</w:t>
                  </w:r>
                  <w:r>
                    <w:rPr>
                      <w:rFonts w:hint="eastAsia"/>
                      <w:szCs w:val="22"/>
                    </w:rPr>
                    <w:t>卸料环节位于</w:t>
                  </w:r>
                  <w:r>
                    <w:rPr>
                      <w:rFonts w:hint="eastAsia"/>
                      <w:szCs w:val="22"/>
                      <w:lang w:val="en-US" w:eastAsia="zh-CN"/>
                    </w:rPr>
                    <w:t>室外裸露原料堆场上</w:t>
                  </w:r>
                  <w:r>
                    <w:rPr>
                      <w:rFonts w:hint="eastAsia"/>
                      <w:szCs w:val="22"/>
                    </w:rPr>
                    <w:t>，</w:t>
                  </w:r>
                  <w:r>
                    <w:rPr>
                      <w:rFonts w:hint="eastAsia"/>
                      <w:szCs w:val="22"/>
                      <w:lang w:val="en-US" w:eastAsia="zh-CN"/>
                    </w:rPr>
                    <w:t>后转移至卸料仓，</w:t>
                  </w:r>
                  <w:r>
                    <w:rPr>
                      <w:rFonts w:hint="eastAsia"/>
                      <w:szCs w:val="22"/>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szCs w:val="22"/>
                    </w:rPr>
                    <w:t>堆放区地坪标高应高于周围场地至少0.15米，四周应设置排水沟，满足场地雨水导排要求。</w:t>
                  </w:r>
                  <w:r>
                    <w:rPr>
                      <w:rFonts w:hint="eastAsia"/>
                      <w:szCs w:val="22"/>
                      <w:lang w:val="en-US" w:eastAsia="zh-CN"/>
                    </w:rPr>
                    <w:t>卸料仓</w:t>
                  </w:r>
                  <w:r>
                    <w:rPr>
                      <w:rFonts w:hint="eastAsia"/>
                      <w:color w:val="000000" w:themeColor="text1"/>
                      <w:szCs w:val="21"/>
                      <w:lang w:val="en-US" w:eastAsia="zh-CN"/>
                      <w14:textFill>
                        <w14:solidFill>
                          <w14:schemeClr w14:val="tx1"/>
                        </w14:solidFill>
                      </w14:textFill>
                    </w:rPr>
                    <w:t>采用</w:t>
                  </w:r>
                  <w:r>
                    <w:rPr>
                      <w:rFonts w:hint="default"/>
                      <w:color w:val="000000" w:themeColor="text1"/>
                      <w:szCs w:val="21"/>
                      <w14:textFill>
                        <w14:solidFill>
                          <w14:schemeClr w14:val="tx1"/>
                        </w14:solidFill>
                      </w14:textFill>
                    </w:rPr>
                    <w:t>防尘网罩盖，避免扬尘飞起</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道路两旁设置4台</w:t>
                  </w:r>
                  <w:r>
                    <w:rPr>
                      <w:rFonts w:hint="default"/>
                      <w:szCs w:val="22"/>
                    </w:rPr>
                    <w:t>雾炮环保系统降尘</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s="Times New Roman"/>
                      <w:color w:val="000000" w:themeColor="text1"/>
                      <w:sz w:val="21"/>
                      <w:szCs w:val="21"/>
                      <w:lang w:val="en-US" w:eastAsia="zh-CN"/>
                      <w14:textFill>
                        <w14:solidFill>
                          <w14:schemeClr w14:val="tx1"/>
                        </w14:solidFill>
                      </w14:textFill>
                    </w:rPr>
                    <w:t>建筑垃圾再生骨料装卸阶段</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leftChars="0" w:right="0" w:rightChars="0"/>
                    <w:textAlignment w:val="auto"/>
                    <w:rPr>
                      <w:rFonts w:hint="default"/>
                      <w:szCs w:val="22"/>
                      <w:lang w:val="en-US" w:eastAsia="zh-CN"/>
                    </w:rPr>
                  </w:pPr>
                  <w:r>
                    <w:rPr>
                      <w:rFonts w:hint="eastAsia"/>
                      <w:szCs w:val="22"/>
                      <w:lang w:val="en-US" w:eastAsia="zh-CN"/>
                    </w:rPr>
                    <w:t>经风选过后较为清洁的建筑垃圾再生骨料</w:t>
                  </w:r>
                  <w:r>
                    <w:rPr>
                      <w:rFonts w:hint="eastAsia" w:cs="Times New Roman"/>
                      <w:color w:val="000000" w:themeColor="text1"/>
                      <w:szCs w:val="21"/>
                      <w:highlight w:val="none"/>
                      <w:lang w:val="en-US" w:eastAsia="zh-CN"/>
                      <w14:textFill>
                        <w14:solidFill>
                          <w14:schemeClr w14:val="tx1"/>
                        </w14:solidFill>
                      </w14:textFill>
                    </w:rPr>
                    <w:t>经筛分后分别贮存于各混合骨料暂存间内</w:t>
                  </w:r>
                  <w:r>
                    <w:rPr>
                      <w:rFonts w:hint="eastAsia"/>
                      <w:szCs w:val="22"/>
                      <w:lang w:val="en-US" w:eastAsia="zh-CN"/>
                    </w:rPr>
                    <w:t>，采用编制覆盖和洒水的方式抑尘，需要时拉运至再生产品堆场。</w:t>
                  </w:r>
                </w:p>
              </w:tc>
              <w:tc>
                <w:tcPr>
                  <w:tcW w:w="60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w:t>
                  </w:r>
                </w:p>
              </w:tc>
              <w:tc>
                <w:tcPr>
                  <w:tcW w:w="1713" w:type="pct"/>
                  <w:tcBorders>
                    <w:tl2br w:val="nil"/>
                    <w:tr2bl w:val="nil"/>
                  </w:tcBorders>
                  <w:shd w:val="clear" w:color="auto" w:fill="auto"/>
                  <w:noWrap/>
                  <w:vAlign w:val="center"/>
                </w:tcPr>
                <w:p>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textAlignment w:val="auto"/>
                    <w:rPr>
                      <w:rFonts w:hint="default"/>
                      <w:szCs w:val="22"/>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未收集到的粉尘通过加强厂房封闭，厂房</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olor w:val="000000" w:themeColor="text1"/>
                      <w:szCs w:val="21"/>
                      <w:lang w:val="en-US" w:eastAsia="zh-CN"/>
                      <w14:textFill>
                        <w14:solidFill>
                          <w14:schemeClr w14:val="tx1"/>
                        </w14:solidFill>
                      </w14:textFill>
                    </w:rPr>
                    <w:t>颚式破碎机破碎环节</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eastAsia"/>
                      <w:szCs w:val="22"/>
                    </w:rPr>
                    <w:t>设置1</w:t>
                  </w:r>
                  <w:r>
                    <w:rPr>
                      <w:rFonts w:hint="eastAsia"/>
                      <w:szCs w:val="22"/>
                      <w:lang w:val="en-US" w:eastAsia="zh-CN"/>
                    </w:rPr>
                    <w:t>套</w:t>
                  </w:r>
                  <w:r>
                    <w:rPr>
                      <w:rFonts w:hint="eastAsia"/>
                      <w:szCs w:val="22"/>
                    </w:rPr>
                    <w:t>集气罩</w:t>
                  </w:r>
                  <w:r>
                    <w:rPr>
                      <w:rFonts w:hint="eastAsia"/>
                      <w:szCs w:val="22"/>
                      <w:lang w:eastAsia="zh-CN"/>
                    </w:rPr>
                    <w:t>，</w:t>
                  </w:r>
                  <w:r>
                    <w:rPr>
                      <w:rFonts w:hint="eastAsia" w:cs="Times New Roman"/>
                      <w:color w:val="000000" w:themeColor="text1"/>
                      <w:szCs w:val="22"/>
                      <w:lang w:val="en-US" w:eastAsia="zh-CN"/>
                      <w14:textFill>
                        <w14:solidFill>
                          <w14:schemeClr w14:val="tx1"/>
                        </w14:solidFill>
                      </w14:textFill>
                    </w:rPr>
                    <w:t>通过“负压收集+1套布袋除尘器+15m高排气筒（DA001）”处理</w:t>
                  </w:r>
                </w:p>
              </w:tc>
              <w:tc>
                <w:tcPr>
                  <w:tcW w:w="600"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eastAsia"/>
                      <w:szCs w:val="22"/>
                      <w:lang w:val="en-US" w:eastAsia="zh-CN"/>
                    </w:rPr>
                  </w:pPr>
                  <w:r>
                    <w:rPr>
                      <w:rFonts w:hint="eastAsia" w:cs="Times New Roman"/>
                      <w:color w:val="000000" w:themeColor="text1"/>
                      <w:sz w:val="21"/>
                      <w:szCs w:val="21"/>
                      <w:lang w:val="en-US" w:eastAsia="zh-CN"/>
                      <w14:textFill>
                        <w14:solidFill>
                          <w14:schemeClr w14:val="tx1"/>
                        </w14:solidFill>
                      </w14:textFill>
                    </w:rPr>
                    <w:t>风选机风选</w:t>
                  </w:r>
                  <w:r>
                    <w:rPr>
                      <w:rFonts w:hint="eastAsia"/>
                      <w:color w:val="000000" w:themeColor="text1"/>
                      <w:szCs w:val="21"/>
                      <w:lang w:val="en-US" w:eastAsia="zh-CN"/>
                      <w14:textFill>
                        <w14:solidFill>
                          <w14:schemeClr w14:val="tx1"/>
                        </w14:solidFill>
                      </w14:textFill>
                    </w:rPr>
                    <w:t>环节</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szCs w:val="22"/>
                    </w:rPr>
                  </w:pPr>
                  <w:r>
                    <w:rPr>
                      <w:rFonts w:hint="eastAsia"/>
                      <w:szCs w:val="22"/>
                    </w:rPr>
                    <w:t>设置1</w:t>
                  </w:r>
                  <w:r>
                    <w:rPr>
                      <w:rFonts w:hint="eastAsia"/>
                      <w:szCs w:val="22"/>
                      <w:lang w:val="en-US" w:eastAsia="zh-CN"/>
                    </w:rPr>
                    <w:t>套</w:t>
                  </w:r>
                  <w:r>
                    <w:rPr>
                      <w:rFonts w:hint="eastAsia"/>
                      <w:szCs w:val="22"/>
                    </w:rPr>
                    <w:t>集气罩</w:t>
                  </w:r>
                  <w:r>
                    <w:rPr>
                      <w:rFonts w:hint="eastAsia"/>
                      <w:szCs w:val="22"/>
                      <w:lang w:eastAsia="zh-CN"/>
                    </w:rPr>
                    <w:t>，</w:t>
                  </w:r>
                  <w:r>
                    <w:rPr>
                      <w:rFonts w:hint="eastAsia" w:cs="Times New Roman"/>
                      <w:color w:val="000000" w:themeColor="text1"/>
                      <w:szCs w:val="22"/>
                      <w:lang w:val="en-US" w:eastAsia="zh-CN"/>
                      <w14:textFill>
                        <w14:solidFill>
                          <w14:schemeClr w14:val="tx1"/>
                        </w14:solidFill>
                      </w14:textFill>
                    </w:rPr>
                    <w:t>通过“负压收集+1套布袋除尘器+15m高排气筒（DA002）”处理</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1713" w:type="pct"/>
                  <w:vMerge w:val="restart"/>
                  <w:tcBorders>
                    <w:tl2br w:val="nil"/>
                    <w:tr2bl w:val="nil"/>
                  </w:tcBorders>
                  <w:shd w:val="clear" w:color="auto" w:fill="auto"/>
                  <w:noWrap/>
                  <w:vAlign w:val="center"/>
                </w:tcPr>
                <w:p>
                  <w:pPr>
                    <w:pStyle w:val="36"/>
                    <w:keepNext w:val="0"/>
                    <w:keepLines w:val="0"/>
                    <w:suppressLineNumbers w:val="0"/>
                    <w:spacing w:before="0" w:beforeAutospacing="0" w:afterAutospacing="0" w:line="240" w:lineRule="auto"/>
                    <w:ind w:left="0" w:leftChars="0" w:right="0" w:rightChars="0" w:firstLine="0" w:firstLineChars="0"/>
                    <w:rPr>
                      <w:rFonts w:hint="eastAsia"/>
                      <w:szCs w:val="22"/>
                    </w:rPr>
                  </w:pPr>
                  <w:r>
                    <w:rPr>
                      <w:rFonts w:hint="eastAsia"/>
                      <w:b w:val="0"/>
                      <w:bCs w:val="0"/>
                      <w:szCs w:val="22"/>
                    </w:rPr>
                    <w:t>每个粉料筒仓罐排气孔处均安装有布袋除尘器</w:t>
                  </w:r>
                  <w:r>
                    <w:rPr>
                      <w:rFonts w:hint="eastAsia"/>
                      <w:b w:val="0"/>
                      <w:bCs w:val="0"/>
                      <w:szCs w:val="22"/>
                      <w:lang w:eastAsia="zh-CN"/>
                    </w:rPr>
                    <w:t>，</w:t>
                  </w:r>
                  <w:r>
                    <w:rPr>
                      <w:rFonts w:hint="eastAsia"/>
                      <w:b w:val="0"/>
                      <w:bCs w:val="0"/>
                      <w:szCs w:val="22"/>
                    </w:rPr>
                    <w:t>在往粉料筒仓罐中输送时，产生的粉尘经粉料筒仓罐罐顶的布袋除尘器处理</w:t>
                  </w:r>
                  <w:r>
                    <w:rPr>
                      <w:rFonts w:hint="eastAsia"/>
                      <w:b w:val="0"/>
                      <w:bCs w:val="0"/>
                      <w:szCs w:val="22"/>
                      <w:lang w:val="en-US" w:eastAsia="zh-CN"/>
                    </w:rPr>
                    <w:t>后，</w:t>
                  </w:r>
                  <w:r>
                    <w:rPr>
                      <w:rFonts w:hint="eastAsia" w:ascii="Times New Roman" w:hAnsi="Times New Roman" w:eastAsia="宋体" w:cs="Times New Roman"/>
                      <w:b w:val="0"/>
                      <w:bCs w:val="0"/>
                      <w:snapToGrid/>
                      <w:kern w:val="2"/>
                      <w:sz w:val="21"/>
                      <w:szCs w:val="22"/>
                    </w:rPr>
                    <w:t>通过</w:t>
                  </w:r>
                  <w:r>
                    <w:rPr>
                      <w:rFonts w:hint="eastAsia" w:eastAsia="宋体" w:cs="Times New Roman"/>
                      <w:b w:val="0"/>
                      <w:bCs w:val="0"/>
                      <w:kern w:val="2"/>
                      <w:sz w:val="21"/>
                      <w:szCs w:val="22"/>
                      <w:lang w:val="en-US" w:eastAsia="zh-CN" w:bidi="ar-SA"/>
                    </w:rPr>
                    <w:t>粉料筒仓罐</w:t>
                  </w:r>
                  <w:r>
                    <w:rPr>
                      <w:rFonts w:hint="eastAsia" w:ascii="Times New Roman" w:hAnsi="Times New Roman" w:eastAsia="宋体" w:cs="Times New Roman"/>
                      <w:b w:val="0"/>
                      <w:bCs w:val="0"/>
                      <w:snapToGrid/>
                      <w:kern w:val="2"/>
                      <w:sz w:val="21"/>
                      <w:szCs w:val="22"/>
                    </w:rPr>
                    <w:t>呼吸口排出，属于无组织排放。</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171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szCs w:val="22"/>
                    </w:rPr>
                  </w:pP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szCs w:val="22"/>
                      <w:lang w:val="en-US" w:eastAsia="zh-CN"/>
                    </w:rPr>
                  </w:pPr>
                  <w:r>
                    <w:rPr>
                      <w:rFonts w:hint="eastAsia" w:cs="Times New Roman"/>
                      <w:color w:val="000000" w:themeColor="text1"/>
                      <w:sz w:val="21"/>
                      <w:szCs w:val="21"/>
                      <w:lang w:val="en-US" w:eastAsia="zh-CN"/>
                      <w14:textFill>
                        <w14:solidFill>
                          <w14:schemeClr w14:val="tx1"/>
                        </w14:solidFill>
                      </w14:textFill>
                    </w:rPr>
                    <w:t>再生混凝土制品生产线搅拌阶段</w:t>
                  </w:r>
                </w:p>
              </w:tc>
              <w:tc>
                <w:tcPr>
                  <w:tcW w:w="1713"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firstLine="0" w:firstLineChars="0"/>
                    <w:textAlignment w:val="auto"/>
                    <w:rPr>
                      <w:rFonts w:hint="eastAsia"/>
                      <w:szCs w:val="22"/>
                    </w:rPr>
                  </w:pPr>
                  <w:r>
                    <w:rPr>
                      <w:rFonts w:hint="eastAsia" w:cs="Times New Roman"/>
                      <w:b w:val="0"/>
                      <w:bCs w:val="0"/>
                      <w:kern w:val="2"/>
                      <w:sz w:val="21"/>
                      <w:szCs w:val="22"/>
                      <w:lang w:val="en-US" w:eastAsia="zh-CN" w:bidi="ar-SA"/>
                    </w:rPr>
                    <w:t>本项目采用全密闭搅拌，每台</w:t>
                  </w:r>
                  <w:r>
                    <w:rPr>
                      <w:rFonts w:hint="eastAsia"/>
                      <w:szCs w:val="22"/>
                    </w:rPr>
                    <w:t>搅拌机</w:t>
                  </w:r>
                  <w:r>
                    <w:rPr>
                      <w:rFonts w:hint="eastAsia"/>
                      <w:szCs w:val="22"/>
                      <w:lang w:val="en-US" w:eastAsia="zh-CN"/>
                    </w:rPr>
                    <w:t>分别</w:t>
                  </w:r>
                  <w:r>
                    <w:rPr>
                      <w:rFonts w:hint="eastAsia"/>
                      <w:szCs w:val="22"/>
                    </w:rPr>
                    <w:t>配置脉冲布袋除尘器，搅拌过程中在搅拌装置处设置管道，通过管道将粉尘引入配套的1套脉冲布袋除尘器（除尘效率99.7%）内进行除尘处理</w:t>
                  </w:r>
                  <w:r>
                    <w:rPr>
                      <w:rFonts w:hint="eastAsia"/>
                      <w:szCs w:val="22"/>
                      <w:lang w:eastAsia="zh-CN"/>
                    </w:rPr>
                    <w:t>，</w:t>
                  </w:r>
                  <w:r>
                    <w:rPr>
                      <w:rFonts w:hint="eastAsia"/>
                      <w:szCs w:val="22"/>
                    </w:rPr>
                    <w:t>搅拌机产生的</w:t>
                  </w:r>
                  <w:r>
                    <w:rPr>
                      <w:rFonts w:hint="eastAsia"/>
                      <w:szCs w:val="22"/>
                      <w:lang w:val="en-US" w:eastAsia="zh-CN"/>
                    </w:rPr>
                    <w:t>落料</w:t>
                  </w:r>
                  <w:r>
                    <w:rPr>
                      <w:rFonts w:hint="eastAsia"/>
                      <w:szCs w:val="22"/>
                    </w:rPr>
                    <w:t>粉尘属于无组织排放。</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水稳料生产线搅拌阶段</w:t>
                  </w:r>
                </w:p>
              </w:tc>
              <w:tc>
                <w:tcPr>
                  <w:tcW w:w="171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szCs w:val="22"/>
                    </w:rPr>
                  </w:pP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噪声治理设施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低噪声生产设备，采取隔声、减振等综合降噪措施</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34"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firstLine="420" w:firstLineChars="20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生产废水：1座</w:t>
                  </w:r>
                  <w:r>
                    <w:rPr>
                      <w:rFonts w:hint="eastAsia" w:cs="Times New Roman"/>
                      <w:bCs/>
                      <w:color w:val="000000" w:themeColor="text1"/>
                      <w:kern w:val="2"/>
                      <w:sz w:val="21"/>
                      <w:szCs w:val="21"/>
                      <w:highlight w:val="none"/>
                      <w:lang w:val="en-US" w:eastAsia="zh-CN" w:bidi="ar"/>
                      <w14:textFill>
                        <w14:solidFill>
                          <w14:schemeClr w14:val="tx1"/>
                        </w14:solidFill>
                      </w14:textFill>
                    </w:rPr>
                    <w:t>30</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eastAsia" w:cs="Times New Roman"/>
                      <w:bCs/>
                      <w:color w:val="000000" w:themeColor="text1"/>
                      <w:kern w:val="2"/>
                      <w:sz w:val="21"/>
                      <w:szCs w:val="21"/>
                      <w:highlight w:val="none"/>
                      <w:lang w:val="en-US" w:eastAsia="zh-CN" w:bidi="ar"/>
                      <w14:textFill>
                        <w14:solidFill>
                          <w14:schemeClr w14:val="tx1"/>
                        </w14:solidFill>
                      </w14:textFill>
                    </w:rPr>
                    <w:t>生产废水收集沉淀池</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生活污水：化粪池（</w:t>
                  </w:r>
                  <w:r>
                    <w:rPr>
                      <w:rFonts w:hint="eastAsia" w:cs="Times New Roman"/>
                      <w:bCs/>
                      <w:color w:val="000000" w:themeColor="text1"/>
                      <w:kern w:val="2"/>
                      <w:sz w:val="21"/>
                      <w:szCs w:val="21"/>
                      <w:highlight w:val="none"/>
                      <w:lang w:val="en-US" w:eastAsia="zh-CN" w:bidi="ar"/>
                      <w14:textFill>
                        <w14:solidFill>
                          <w14:schemeClr w14:val="tx1"/>
                        </w14:solidFill>
                      </w14:textFill>
                    </w:rPr>
                    <w:t>2</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座</w:t>
                  </w:r>
                  <w:r>
                    <w:rPr>
                      <w:rFonts w:hint="eastAsia" w:cs="Times New Roman"/>
                      <w:bCs/>
                      <w:color w:val="000000" w:themeColor="text1"/>
                      <w:kern w:val="2"/>
                      <w:sz w:val="21"/>
                      <w:szCs w:val="21"/>
                      <w:highlight w:val="none"/>
                      <w:lang w:val="en-US" w:eastAsia="zh-CN" w:bidi="ar"/>
                      <w14:textFill>
                        <w14:solidFill>
                          <w14:schemeClr w14:val="tx1"/>
                        </w14:solidFill>
                      </w14:textFill>
                    </w:rPr>
                    <w:t>，室外20</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，室内12</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车辆冲洗用水：</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1座</w:t>
                  </w:r>
                  <w:r>
                    <w:rPr>
                      <w:rFonts w:hint="eastAsia" w:cs="Times New Roman"/>
                      <w:bCs/>
                      <w:color w:val="000000" w:themeColor="text1"/>
                      <w:kern w:val="2"/>
                      <w:sz w:val="21"/>
                      <w:szCs w:val="21"/>
                      <w:highlight w:val="none"/>
                      <w:lang w:val="en-US" w:eastAsia="zh-CN" w:bidi="ar"/>
                      <w14:textFill>
                        <w14:solidFill>
                          <w14:schemeClr w14:val="tx1"/>
                        </w14:solidFill>
                      </w14:textFill>
                    </w:rPr>
                    <w:t>车辆冲洗台</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固废收集设施</w:t>
                  </w: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生活垃圾</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default"/>
                      <w:bCs/>
                      <w:color w:val="000000" w:themeColor="text1"/>
                      <w:szCs w:val="21"/>
                      <w:highlight w:val="none"/>
                      <w:lang w:bidi="ar"/>
                      <w14:textFill>
                        <w14:solidFill>
                          <w14:schemeClr w14:val="tx1"/>
                        </w14:solidFill>
                      </w14:textFill>
                    </w:rPr>
                    <w:t>本项目生活垃圾利用厂区现有垃圾箱收集，生活垃圾集中收集后交由环卫部门统一处置。</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eastAsia="宋体"/>
                      <w:szCs w:val="22"/>
                      <w:lang w:val="en-US" w:eastAsia="zh-CN"/>
                    </w:rPr>
                  </w:pPr>
                  <w:r>
                    <w:rPr>
                      <w:rFonts w:hint="eastAsia"/>
                      <w:szCs w:val="22"/>
                      <w:lang w:val="en-US" w:eastAsia="zh-CN"/>
                    </w:rPr>
                    <w:t>废润滑油</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szCs w:val="22"/>
                    </w:rPr>
                  </w:pPr>
                  <w:r>
                    <w:rPr>
                      <w:rFonts w:hint="eastAsia"/>
                      <w:szCs w:val="22"/>
                    </w:rPr>
                    <w:t>项目设备检修维护产生的</w:t>
                  </w:r>
                  <w:r>
                    <w:rPr>
                      <w:rFonts w:hint="eastAsia"/>
                      <w:szCs w:val="22"/>
                      <w:lang w:val="en-US" w:eastAsia="zh-CN"/>
                    </w:rPr>
                    <w:t>废润滑油</w:t>
                  </w:r>
                  <w:r>
                    <w:rPr>
                      <w:rFonts w:hint="eastAsia"/>
                      <w:szCs w:val="22"/>
                    </w:rPr>
                    <w:t>为危险废物，</w:t>
                  </w:r>
                  <w:r>
                    <w:rPr>
                      <w:rFonts w:hint="eastAsia"/>
                      <w:szCs w:val="22"/>
                      <w:lang w:val="en-US" w:eastAsia="zh-CN"/>
                    </w:rPr>
                    <w:t>废润滑油</w:t>
                  </w:r>
                  <w:r>
                    <w:rPr>
                      <w:rFonts w:hint="eastAsia"/>
                      <w:szCs w:val="22"/>
                    </w:rPr>
                    <w:t>经密闭桶收集后，暂存于危废贮存点，定期交由资质单位处置。</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eastAsia" w:eastAsia="宋体"/>
                      <w:szCs w:val="22"/>
                      <w:lang w:val="en-US" w:eastAsia="zh-CN"/>
                    </w:rPr>
                  </w:pPr>
                  <w:r>
                    <w:rPr>
                      <w:rFonts w:hint="eastAsia"/>
                      <w:szCs w:val="22"/>
                    </w:rPr>
                    <w:t>建筑固废中其他组成</w:t>
                  </w:r>
                  <w:r>
                    <w:rPr>
                      <w:rFonts w:hint="eastAsia"/>
                      <w:szCs w:val="22"/>
                      <w:lang w:val="en-US" w:eastAsia="zh-CN"/>
                    </w:rPr>
                    <w:t>部分</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rFonts w:hint="eastAsia" w:eastAsia="宋体"/>
                      <w:szCs w:val="22"/>
                      <w:lang w:eastAsia="zh-CN"/>
                    </w:rPr>
                  </w:pPr>
                  <w:r>
                    <w:rPr>
                      <w:rFonts w:hint="eastAsia"/>
                      <w:szCs w:val="22"/>
                    </w:rPr>
                    <w:t>采用合理地利用方案转交给其他项目处置</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rPr>
                    <w:t>建筑固废中的品质较差骨料和渣土类</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eastAsia="宋体"/>
                      <w:szCs w:val="22"/>
                      <w:lang w:val="en-US" w:eastAsia="zh-CN"/>
                    </w:rPr>
                  </w:pPr>
                  <w:r>
                    <w:rPr>
                      <w:rFonts w:hint="eastAsia" w:cs="Times New Roman"/>
                      <w:color w:val="000000" w:themeColor="text1"/>
                      <w:szCs w:val="22"/>
                      <w:highlight w:val="none"/>
                      <w:lang w:val="en-US" w:eastAsia="zh-CN"/>
                      <w14:textFill>
                        <w14:solidFill>
                          <w14:schemeClr w14:val="tx1"/>
                        </w14:solidFill>
                      </w14:textFill>
                    </w:rPr>
                    <w:t>重型振动给料机和除土振动筛产生的渣土统一收集到渣土仓内，</w:t>
                  </w:r>
                  <w:r>
                    <w:rPr>
                      <w:rFonts w:hint="eastAsia"/>
                      <w:color w:val="000000" w:themeColor="text1"/>
                      <w:szCs w:val="22"/>
                      <w:highlight w:val="none"/>
                      <w14:textFill>
                        <w14:solidFill>
                          <w14:schemeClr w14:val="tx1"/>
                        </w14:solidFill>
                      </w14:textFill>
                    </w:rPr>
                    <w:t>主要用于回填工程，如拆除工程场地平整，垃圾填埋场的封场填埋等</w:t>
                  </w:r>
                  <w:r>
                    <w:rPr>
                      <w:rFonts w:hint="eastAsia" w:cs="Times New Roman"/>
                      <w:color w:val="000000" w:themeColor="text1"/>
                      <w:szCs w:val="22"/>
                      <w:highlight w:val="none"/>
                      <w:lang w:val="en-US" w:eastAsia="zh-CN"/>
                      <w14:textFill>
                        <w14:solidFill>
                          <w14:schemeClr w14:val="tx1"/>
                        </w14:solidFill>
                      </w14:textFill>
                    </w:rPr>
                    <w:t>；其他可利用的骨料回用于生产线。</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rPr>
                    <w:t>生产线废水沉淀泥浆</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定期收集</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可作为道路用再生骨料水稳料掺和使用</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eastAsia="宋体"/>
                      <w:szCs w:val="22"/>
                      <w:lang w:val="en-US" w:eastAsia="zh-CN"/>
                    </w:rPr>
                  </w:pPr>
                  <w:r>
                    <w:rPr>
                      <w:rFonts w:hint="eastAsia"/>
                      <w:szCs w:val="22"/>
                    </w:rPr>
                    <w:t>各类型收尘器集灰系统</w:t>
                  </w:r>
                  <w:r>
                    <w:rPr>
                      <w:rFonts w:hint="eastAsia"/>
                      <w:szCs w:val="22"/>
                      <w:lang w:val="en-US" w:eastAsia="zh-CN"/>
                    </w:rPr>
                    <w:t>产生的粉尘</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定期由人工转移至再生混凝土制品类生产线再利用</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3865" w:type="pct"/>
                  <w:gridSpan w:val="4"/>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绿化</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kern w:val="2"/>
                      <w:sz w:val="21"/>
                      <w:szCs w:val="21"/>
                      <w:highlight w:val="none"/>
                      <w:lang w:val="en-US" w:eastAsia="zh-CN" w:bidi="ar"/>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3865" w:type="pct"/>
                  <w:gridSpan w:val="4"/>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sz w:val="21"/>
                      <w:szCs w:val="22"/>
                      <w:highlight w:val="none"/>
                      <w:lang w:val="en-US" w:eastAsia="zh-CN"/>
                    </w:rPr>
                  </w:pPr>
                  <w:r>
                    <w:rPr>
                      <w:rFonts w:hint="default" w:ascii="Times New Roman" w:hAnsi="Times New Roman" w:cs="Times New Roman"/>
                      <w:b/>
                      <w:bCs/>
                      <w:color w:val="auto"/>
                      <w:sz w:val="21"/>
                      <w:szCs w:val="21"/>
                      <w:highlight w:val="none"/>
                      <w:lang w:val="en-US" w:eastAsia="zh-CN"/>
                    </w:rPr>
                    <w:t>合计</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2"/>
                      <w:highlight w:val="none"/>
                      <w:lang w:val="en-US" w:eastAsia="zh-CN" w:bidi="ar"/>
                      <w14:textFill>
                        <w14:solidFill>
                          <w14:schemeClr w14:val="tx1"/>
                        </w14:solidFill>
                      </w14:textFill>
                    </w:rPr>
                  </w:pPr>
                  <w:r>
                    <w:rPr>
                      <w:rFonts w:hint="eastAsia" w:cs="Times New Roman"/>
                      <w:b/>
                      <w:bCs/>
                      <w:color w:val="000000" w:themeColor="text1"/>
                      <w:kern w:val="2"/>
                      <w:sz w:val="21"/>
                      <w:szCs w:val="22"/>
                      <w:highlight w:val="none"/>
                      <w:lang w:val="en-US" w:eastAsia="zh-CN" w:bidi="ar"/>
                      <w14:textFill>
                        <w14:solidFill>
                          <w14:schemeClr w14:val="tx1"/>
                        </w14:solidFill>
                      </w14:textFill>
                    </w:rPr>
                    <w:t>143.5</w:t>
                  </w:r>
                </w:p>
              </w:tc>
            </w:tr>
            <w:bookmarkEnd w:id="6"/>
            <w:bookmarkEnd w:id="7"/>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cs="Times New Roman"/>
                <w:color w:val="FF0000"/>
                <w:kern w:val="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6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szCs w:val="22"/>
                <w:highlight w:val="none"/>
                <w:lang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tc>
        <w:tc>
          <w:tcPr>
            <w:tcW w:w="860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FF0000"/>
                <w:kern w:val="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3"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szCs w:val="22"/>
                <w:highlight w:val="none"/>
                <w:lang w:val="en-US" w:eastAsia="zh-CN"/>
              </w:rPr>
            </w:pPr>
            <w:r>
              <w:rPr>
                <w:rFonts w:hint="default" w:ascii="Times New Roman" w:hAnsi="Times New Roman" w:cs="Times New Roman"/>
                <w:b/>
                <w:bCs/>
                <w:color w:val="FF0000"/>
                <w:kern w:val="2"/>
                <w:sz w:val="24"/>
                <w:szCs w:val="24"/>
                <w:highlight w:val="none"/>
                <w:lang w:val="en-US" w:eastAsia="zh-CN" w:bidi="ar-SA"/>
              </w:rPr>
              <w:t xml:space="preserve"> </w:t>
            </w:r>
          </w:p>
        </w:tc>
        <w:tc>
          <w:tcPr>
            <w:tcW w:w="8602" w:type="dxa"/>
            <w:vMerge w:val="continue"/>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9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工艺流程和产排污环节</w:t>
            </w:r>
          </w:p>
        </w:tc>
        <w:tc>
          <w:tcPr>
            <w:tcW w:w="8602" w:type="dxa"/>
            <w:vMerge w:val="restart"/>
            <w:vAlign w:val="center"/>
          </w:tcPr>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b/>
                <w:bCs w:val="0"/>
                <w:color w:val="auto"/>
                <w:kern w:val="2"/>
                <w:sz w:val="24"/>
                <w:szCs w:val="20"/>
                <w:highlight w:val="none"/>
                <w:lang w:val="en-US" w:eastAsia="zh-CN" w:bidi="ar"/>
              </w:rPr>
              <w:t>1.施工期工艺流程及产排污情况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olor w:val="auto"/>
                <w:sz w:val="24"/>
                <w:szCs w:val="24"/>
                <w:highlight w:val="none"/>
              </w:rPr>
            </w:pPr>
            <w:r>
              <w:rPr>
                <w:rFonts w:hint="default" w:eastAsia="仿宋_GB2312"/>
                <w:color w:val="auto"/>
                <w:sz w:val="24"/>
                <w:szCs w:val="24"/>
                <w:highlight w:val="none"/>
              </w:rPr>
              <w:t>项目建设过程分为前期准备、建筑施工、设备调试和建成运行四个阶段。施工阶段主要为工程方案设计、基础工程施工、主体工程施工、设备安装调试、竣工验收等。建设工期拟定为12个月</w:t>
            </w:r>
            <w:r>
              <w:rPr>
                <w:rFonts w:hint="eastAsia" w:eastAsia="仿宋_GB2312"/>
                <w:color w:val="auto"/>
                <w:sz w:val="24"/>
                <w:szCs w:val="24"/>
                <w:highlight w:val="none"/>
                <w:lang w:eastAsia="zh-CN"/>
              </w:rPr>
              <w:t>。</w:t>
            </w:r>
            <w:r>
              <w:rPr>
                <w:rFonts w:hint="default" w:eastAsia="仿宋_GB2312"/>
                <w:color w:val="auto"/>
                <w:sz w:val="24"/>
                <w:szCs w:val="24"/>
                <w:highlight w:val="none"/>
              </w:rPr>
              <w:t>在建设期间各种施工活动会对环境造成一定的影响，施工期工艺流程及产污环节示意图见图2-3。</w:t>
            </w:r>
          </w:p>
          <w:p>
            <w:pPr>
              <w:pStyle w:val="34"/>
              <w:keepNext w:val="0"/>
              <w:keepLines w:val="0"/>
              <w:suppressLineNumbers w:val="0"/>
              <w:overflowPunct w:val="0"/>
              <w:adjustRightInd w:val="0"/>
              <w:spacing w:line="360" w:lineRule="auto"/>
              <w:ind w:left="0" w:right="0"/>
              <w:jc w:val="center"/>
              <w:rPr>
                <w:rFonts w:hint="default" w:ascii="Times New Roman" w:hAnsi="Times New Roman" w:eastAsia="宋体" w:cs="Times New Roman"/>
                <w:color w:val="000000" w:themeColor="text1"/>
                <w:kern w:val="16"/>
                <w:highlight w:val="none"/>
                <w:lang w:bidi="ar"/>
                <w14:textFill>
                  <w14:solidFill>
                    <w14:schemeClr w14:val="tx1"/>
                  </w14:solidFill>
                </w14:textFill>
              </w:rPr>
            </w:pPr>
            <w:r>
              <w:rPr>
                <w:rFonts w:hint="default" w:ascii="Times New Roman" w:hAnsi="Times New Roman" w:eastAsia="宋体" w:cs="Times New Roman"/>
                <w:color w:val="000000" w:themeColor="text1"/>
                <w:kern w:val="16"/>
                <w:highlight w:val="none"/>
                <w:lang w:bidi="ar"/>
                <w14:textFill>
                  <w14:solidFill>
                    <w14:schemeClr w14:val="tx1"/>
                  </w14:solidFill>
                </w14:textFill>
              </w:rPr>
              <w:object>
                <v:shape id="_x0000_i1026" o:spt="75" type="#_x0000_t75" style="height:316.25pt;width:331.1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pPr>
              <w:pStyle w:val="34"/>
              <w:keepNext w:val="0"/>
              <w:keepLines w:val="0"/>
              <w:suppressLineNumbers w:val="0"/>
              <w:overflowPunct w:val="0"/>
              <w:adjustRightInd w:val="0"/>
              <w:spacing w:line="360" w:lineRule="auto"/>
              <w:ind w:left="0" w:right="0"/>
              <w:jc w:val="center"/>
              <w:rPr>
                <w:rFonts w:hint="default" w:ascii="Times New Roman" w:hAnsi="Times New Roman" w:eastAsia="宋体" w:cs="Times New Roman"/>
                <w:b/>
                <w:bCs/>
                <w:color w:val="000000" w:themeColor="text1"/>
                <w:kern w:val="16"/>
                <w:highlight w:val="none"/>
                <w:lang w:bidi="ar"/>
                <w14:textFill>
                  <w14:solidFill>
                    <w14:schemeClr w14:val="tx1"/>
                  </w14:solidFill>
                </w14:textFill>
              </w:rPr>
            </w:pPr>
            <w:r>
              <w:rPr>
                <w:rFonts w:hint="default" w:ascii="Times New Roman" w:hAnsi="Times New Roman" w:eastAsia="宋体" w:cs="Times New Roman"/>
                <w:color w:val="000000" w:themeColor="text1"/>
                <w:kern w:val="16"/>
                <w:highlight w:val="none"/>
                <w:lang w:bidi="ar"/>
                <w14:textFill>
                  <w14:solidFill>
                    <w14:schemeClr w14:val="tx1"/>
                  </w14:solidFill>
                </w14:textFill>
              </w:rPr>
              <w:t xml:space="preserve">图2-3  </w:t>
            </w:r>
            <w:r>
              <w:rPr>
                <w:rFonts w:hint="eastAsia" w:ascii="Times New Roman" w:hAnsi="Times New Roman" w:eastAsia="宋体" w:cs="Times New Roman"/>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16"/>
                <w:highlight w:val="none"/>
                <w:lang w:bidi="ar"/>
                <w14:textFill>
                  <w14:solidFill>
                    <w14:schemeClr w14:val="tx1"/>
                  </w14:solidFill>
                </w14:textFill>
              </w:rPr>
              <w:t>施工期工艺流程及产污环节示意图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本项目施工期产污环节如下：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w:t>
            </w:r>
            <w:r>
              <w:rPr>
                <w:rFonts w:hint="eastAsia" w:eastAsia="仿宋_GB2312" w:cs="Times New Roman"/>
                <w:color w:val="auto"/>
                <w:sz w:val="24"/>
                <w:szCs w:val="24"/>
                <w:highlight w:val="none"/>
                <w:lang w:val="en-US" w:eastAsia="zh-CN"/>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项目施工期的大气环境问题主要为扬尘、施工机械及运输车辆尾气。扬尘主要产生于土石方开挖、粉状建筑材料运输、堆放等过程，包括道路运输扬尘、堆场扬尘、施工场内施工扬尘。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w:t>
            </w:r>
            <w:r>
              <w:rPr>
                <w:rFonts w:hint="eastAsia" w:eastAsia="仿宋_GB2312" w:cs="Times New Roman"/>
                <w:color w:val="auto"/>
                <w:sz w:val="24"/>
                <w:szCs w:val="24"/>
                <w:highlight w:val="none"/>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施工期产生的废水主要为建筑施工废水和施工人员日常生活污水。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w:t>
            </w:r>
            <w:r>
              <w:rPr>
                <w:rFonts w:hint="eastAsia" w:eastAsia="仿宋_GB2312" w:cs="Times New Roman"/>
                <w:color w:val="auto"/>
                <w:sz w:val="24"/>
                <w:szCs w:val="24"/>
                <w:highlight w:val="none"/>
                <w:lang w:val="en-US" w:eastAsia="zh-CN"/>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施工期的噪声主要为机械噪声、施工作业噪声和施工车辆噪声。机械噪声主要由施工机械所造成，如挖土机械、打桩机械、混凝土搅拌机、升降机等，多为点声源；施工作业噪声主要指一些零星的敲打声、装卸车辆的撞击声、吆喝声、拆装模板的撞击声等，多为瞬间噪声；施工车辆的噪声属于交通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⑷</w:t>
            </w:r>
            <w:r>
              <w:rPr>
                <w:rFonts w:hint="eastAsia" w:eastAsia="仿宋_GB2312" w:cs="Times New Roman"/>
                <w:color w:val="auto"/>
                <w:sz w:val="24"/>
                <w:szCs w:val="24"/>
                <w:highlight w:val="none"/>
                <w:lang w:val="en-US" w:eastAsia="zh-CN"/>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本项目施工期固体废物为建筑施工产生的建筑垃圾、施工人员产生的生活垃圾。</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2" w:firstLineChars="200"/>
              <w:jc w:val="both"/>
              <w:textAlignment w:val="auto"/>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2.运营期工艺流程及产排污情况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⑴建筑、装修垃圾处置总体工艺流程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本项目建筑垃圾</w:t>
            </w:r>
            <w:r>
              <w:rPr>
                <w:rFonts w:hint="eastAsia" w:eastAsia="仿宋_GB2312" w:cs="Times New Roman"/>
                <w:color w:val="000000" w:themeColor="text1"/>
                <w:sz w:val="24"/>
                <w:szCs w:val="24"/>
                <w:highlight w:val="none"/>
                <w:lang w:val="en-US" w:eastAsia="zh-CN"/>
                <w14:textFill>
                  <w14:solidFill>
                    <w14:schemeClr w14:val="tx1"/>
                  </w14:solidFill>
                </w14:textFill>
              </w:rPr>
              <w:t>再生线</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suppressLineNumbers w:val="0"/>
              <w:spacing w:before="0" w:beforeAutospacing="0" w:after="0" w:afterAutospacing="0" w:line="348" w:lineRule="auto"/>
              <w:ind w:left="0" w:right="0" w:firstLine="0" w:firstLineChars="0"/>
              <w:jc w:val="center"/>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color w:val="FF0000"/>
                <w:sz w:val="24"/>
                <w:szCs w:val="24"/>
                <w:highlight w:val="none"/>
                <w:lang w:val="en-US" w:eastAsia="zh-CN"/>
              </w:rPr>
              <w:object>
                <v:shape id="_x0000_i1027" o:spt="75" type="#_x0000_t75" style="height:638.35pt;width:305.3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cs="Times New Roman"/>
                <w:b/>
                <w:bCs w:val="0"/>
                <w:color w:val="000000" w:themeColor="text1"/>
                <w:sz w:val="24"/>
                <w:szCs w:val="20"/>
                <w:highlight w:val="none"/>
                <w:lang w:val="en-US"/>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b/>
                <w:color w:val="000000" w:themeColor="text1"/>
                <w:sz w:val="24"/>
                <w:szCs w:val="22"/>
                <w:highlight w:val="none"/>
                <w:lang w:bidi="ar"/>
                <w14:textFill>
                  <w14:solidFill>
                    <w14:schemeClr w14:val="tx1"/>
                  </w14:solidFill>
                </w14:textFill>
              </w:rPr>
              <w:t>建筑垃圾再生线</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总体工艺路线及产排污流程图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建筑、装饰垃圾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原料由封闭型环保运输车辆运至厂区原料堆场</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在堆场内由工程机械或人工将粒度较大的块状物料，大型门窗，金属制品，生活垃圾，棉被织物等进行粗分拣</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分质处理：</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渣土含量较多的建筑垃圾进入移动式重型筛分机先进行除土处理再进入一次破碎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混凝土为主的建筑垃圾进入重型振动给料机和颚式破碎机进行一次除土和一次破碎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人工分选平台：</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经过人工分拣平台除去大块轻物质，金属等杂质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随后进入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移动式反击破碎机进行二次破碎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二次除土：经二次破碎后的物料通过磁选机后，</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先进入二次除土筛降低再生骨料含泥（土）量，再进入风选机除去小块轻物质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暂存</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经过上述处理后的较为洁净的建筑垃圾再生骨料进入骨料暂存仓或进行成品分级筛分再转运至暂存仓</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下游产品生产：</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水稳料和再生混凝土制品资源化生产</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auto"/>
                <w:sz w:val="24"/>
                <w:szCs w:val="24"/>
                <w:highlight w:val="none"/>
                <w:lang w:val="en-US" w:eastAsia="zh-CN"/>
              </w:rPr>
              <w:t>⑵</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再生混凝土制品生产线总体工艺流程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本项目再生混凝土制品生产线总体工艺路线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28"/>
              <w:keepNext w:val="0"/>
              <w:keepLines w:val="0"/>
              <w:suppressLineNumbers w:val="0"/>
              <w:spacing w:before="0" w:beforeAutospacing="0" w:after="0" w:afterAutospacing="0"/>
              <w:ind w:left="0" w:right="0"/>
              <w:rPr>
                <w:rFonts w:hint="default"/>
                <w:lang w:val="en-US" w:eastAsia="zh-CN"/>
              </w:rPr>
            </w:pPr>
            <w:r>
              <w:rPr>
                <w:rFonts w:hint="default"/>
                <w:lang w:val="en-US" w:eastAsia="zh-CN"/>
              </w:rPr>
              <w:object>
                <v:shape id="_x0000_i1028" o:spt="75" type="#_x0000_t75" style="height:638.35pt;width:418.8pt;" o:ole="t" filled="f" o:preferrelative="t" stroked="f" coordsize="21600,21600">
                  <v:path/>
                  <v:fill on="f" focussize="0,0"/>
                  <v:stroke on="f"/>
                  <v:imagedata r:id="rId21" o:title=""/>
                  <o:lock v:ext="edit" aspectratio="f"/>
                  <w10:wrap type="none"/>
                  <w10:anchorlock/>
                </v:shape>
                <o:OLEObject Type="Embed" ProgID="Visio.Drawing.15" ShapeID="_x0000_i1028" DrawAspect="Content" ObjectID="_1468075728" r:id="rId20">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5</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再生混凝土制品生产线总体工艺路线及产排污流程</w:t>
            </w:r>
            <w:r>
              <w:rPr>
                <w:rFonts w:hint="eastAsia" w:cs="Times New Roman"/>
                <w:b/>
                <w:bCs w:val="0"/>
                <w:color w:val="000000" w:themeColor="text1"/>
                <w:kern w:val="2"/>
                <w:sz w:val="24"/>
                <w:szCs w:val="20"/>
                <w:highlight w:val="none"/>
                <w:lang w:val="en-US" w:eastAsia="zh-CN" w:bidi="ar"/>
                <w14:textFill>
                  <w14:solidFill>
                    <w14:schemeClr w14:val="tx1"/>
                  </w14:solidFill>
                </w14:textFill>
              </w:rPr>
              <w:t>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keepNext w:val="0"/>
              <w:keepLines w:val="0"/>
              <w:suppressLineNumbers w:val="0"/>
              <w:adjustRightInd w:val="0"/>
              <w:snapToGrid w:val="0"/>
              <w:spacing w:before="0" w:beforeAutospacing="0" w:after="0" w:afterAutospacing="0" w:line="336" w:lineRule="auto"/>
              <w:ind w:left="0" w:right="0" w:firstLine="480" w:firstLineChars="200"/>
              <w:rPr>
                <w:rFonts w:hint="default"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1）储存在粉料筒仓罐里的粉料（水泥或粉煤灰）通过管式螺旋输送机将水泥或粉煤灰输送至搅拌机内。</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在集料的堆棚里用装载机将原材料骨料（如：建筑垃圾再生骨料，砂子，石子、炉渣、矿渣等）运输至混凝土制品车间的三级配料仓，通过计量，送到强制式搅拌机的提升斗里加入水，提升至搅拌机里进行搅拌。</w:t>
            </w:r>
          </w:p>
          <w:p>
            <w:pPr>
              <w:pStyle w:val="28"/>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3）搅拌好的混合料用皮带输送机送至混凝土砌块成型机的储料斗里，再通过送料小车把混合料送至模腔内，通过振压成型（生产市政道路广场砖需要进行二次布面料）</w:t>
            </w:r>
            <w:r>
              <w:rPr>
                <w:rFonts w:hint="eastAsia" w:eastAsia="仿宋_GB2312" w:cs="Times New Roman"/>
                <w:color w:val="auto"/>
                <w:kern w:val="2"/>
                <w:sz w:val="24"/>
                <w:szCs w:val="24"/>
                <w:highlight w:val="none"/>
                <w:lang w:val="en-US" w:eastAsia="zh-CN" w:bidi="ar-SA"/>
              </w:rPr>
              <w:t>。</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4）成型好的湿砖坯（砖在托板上）用湿产品输送机输送至叠板机（标砖可一次性叠5-6层、可按厂地面积设计单垛或多垛设置）。</w:t>
            </w:r>
          </w:p>
          <w:p>
            <w:pPr>
              <w:pStyle w:val="28"/>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5）然后用叉车（或手动液压小推车）将叠板机上的砖（带板）送至车间内养护场地，经过8-12小时室内养护，砖坯达到一定强度后再用叉车送到堆场进行养护（采用简单的自然养护即可，需定时浇水），按国际标准养护28天后产品经过检验合格后出厂，售卖。</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6）养护堆场中人工砖板分离后的托板用叉车运回车间，由自动供板机（或人工送板）将砖机托板通过送板机送到主机振动台上（模具下面）等待接送成型好的湿产品砖。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auto"/>
                <w:kern w:val="2"/>
                <w:sz w:val="24"/>
                <w:szCs w:val="24"/>
                <w:highlight w:val="none"/>
                <w:lang w:val="en-US" w:eastAsia="zh-CN" w:bidi="ar-SA"/>
              </w:rPr>
              <w:t>⑶</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水泥稳定再生骨料无机混合料生产线总体工艺流程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本项目水泥稳定再生骨料无机混合料生产线总体工艺路线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object>
                <v:shape id="_x0000_i1029" o:spt="75" type="#_x0000_t75" style="height:431.25pt;width:419.05pt;" o:ole="t" filled="f" o:preferrelative="t" stroked="f" coordsize="21600,21600">
                  <v:path/>
                  <v:fill on="f" focussize="0,0"/>
                  <v:stroke on="f"/>
                  <v:imagedata r:id="rId23" o:title=""/>
                  <o:lock v:ext="edit" aspectratio="f"/>
                  <w10:wrap type="none"/>
                  <w10:anchorlock/>
                </v:shape>
                <o:OLEObject Type="Embed" ProgID="Visio.Drawing.15" ShapeID="_x0000_i1029" DrawAspect="Content" ObjectID="_1468075729" r:id="rId22">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6</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水泥稳定再生骨料无机混合料生产线总体工艺路线及产排污流程</w:t>
            </w:r>
            <w:r>
              <w:rPr>
                <w:rFonts w:hint="eastAsia" w:cs="Times New Roman"/>
                <w:b/>
                <w:bCs w:val="0"/>
                <w:color w:val="000000" w:themeColor="text1"/>
                <w:kern w:val="2"/>
                <w:sz w:val="24"/>
                <w:szCs w:val="20"/>
                <w:highlight w:val="none"/>
                <w:lang w:val="en-US" w:eastAsia="zh-CN" w:bidi="ar"/>
                <w14:textFill>
                  <w14:solidFill>
                    <w14:schemeClr w14:val="tx1"/>
                  </w14:solidFill>
                </w14:textFill>
              </w:rPr>
              <w:t>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pStyle w:val="28"/>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eastAsia" w:eastAsia="仿宋_GB2312" w:cs="Times New Roman"/>
                <w:color w:val="auto"/>
                <w:sz w:val="24"/>
                <w:szCs w:val="24"/>
                <w:highlight w:val="none"/>
                <w:lang w:val="en-US" w:eastAsia="zh-CN"/>
              </w:rPr>
              <w:t>1）原料准备</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本项目水泥按需购买，由车辆运送至车间粉料筒仓罐内暂存，天然细骨料、天然粗骨料、再生细骨料、再生粗骨料分类暂存于混合骨料暂存间中。</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2)投料</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水泥、骨料</w:t>
            </w:r>
            <w:r>
              <w:rPr>
                <w:rFonts w:hint="eastAsia" w:ascii="Times New Roman" w:hAnsi="Times New Roman" w:eastAsia="仿宋_GB2312" w:cs="Times New Roman"/>
                <w:color w:val="auto"/>
                <w:kern w:val="2"/>
                <w:sz w:val="24"/>
                <w:szCs w:val="24"/>
                <w:highlight w:val="none"/>
                <w:lang w:val="en-US" w:eastAsia="zh-CN" w:bidi="ar-SA"/>
              </w:rPr>
              <w:t>存放于相应料仓中，经计量后</w:t>
            </w:r>
            <w:r>
              <w:rPr>
                <w:rFonts w:hint="eastAsia" w:eastAsia="仿宋_GB2312" w:cs="Times New Roman"/>
                <w:color w:val="auto"/>
                <w:kern w:val="2"/>
                <w:sz w:val="24"/>
                <w:szCs w:val="24"/>
                <w:highlight w:val="none"/>
                <w:lang w:val="en-US" w:eastAsia="zh-CN" w:bidi="ar-SA"/>
              </w:rPr>
              <w:t>骨料</w:t>
            </w:r>
            <w:r>
              <w:rPr>
                <w:rFonts w:hint="eastAsia" w:ascii="Times New Roman" w:hAnsi="Times New Roman" w:eastAsia="仿宋_GB2312" w:cs="Times New Roman"/>
                <w:color w:val="auto"/>
                <w:kern w:val="2"/>
                <w:sz w:val="24"/>
                <w:szCs w:val="24"/>
                <w:highlight w:val="none"/>
                <w:lang w:val="en-US" w:eastAsia="zh-CN" w:bidi="ar-SA"/>
              </w:rPr>
              <w:t>运输至混凝土制品车间的三级配料仓，通过计量，送到强制式搅拌机的提升斗里，提升至搅拌机里进行搅拌。水泥通过</w:t>
            </w:r>
            <w:r>
              <w:rPr>
                <w:rFonts w:hint="eastAsia" w:eastAsia="仿宋_GB2312" w:cs="Times New Roman"/>
                <w:color w:val="auto"/>
                <w:kern w:val="2"/>
                <w:sz w:val="24"/>
                <w:szCs w:val="24"/>
                <w:highlight w:val="none"/>
                <w:lang w:val="en-US" w:eastAsia="zh-CN" w:bidi="ar-SA"/>
              </w:rPr>
              <w:t>管式</w:t>
            </w:r>
            <w:r>
              <w:rPr>
                <w:rFonts w:hint="eastAsia" w:ascii="Times New Roman" w:hAnsi="Times New Roman" w:eastAsia="仿宋_GB2312" w:cs="Times New Roman"/>
                <w:color w:val="auto"/>
                <w:kern w:val="2"/>
                <w:sz w:val="24"/>
                <w:szCs w:val="24"/>
                <w:highlight w:val="none"/>
                <w:lang w:val="en-US" w:eastAsia="zh-CN" w:bidi="ar-SA"/>
              </w:rPr>
              <w:t>螺旋输送机输送至搅拌机内；水由水泵抽入供给，所有原辅料称量后一起送至搅拌机内。</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3）配料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生产过程由电脑控制，按照水泥稳定再生骨料无机混合料所需的原料配比，对原材料进行正确称量。技术人员在计算机的帮助下，按先进、合理、经济的配方进行配料。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4）搅拌、卸料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投入搅拌机中的原料经过充分的搅拌，使水泥和砂石的亲和力达到最大。搅拌到程序设定时间，主机自动开门卸料。整个生产过程由计算机控制，生产出的水泥稳定再生骨料无机混合料贮存在再生产</w:t>
            </w:r>
            <w:r>
              <w:rPr>
                <w:rFonts w:hint="eastAsia" w:eastAsia="仿宋_GB2312" w:cs="Times New Roman"/>
                <w:color w:val="auto"/>
                <w:kern w:val="2"/>
                <w:sz w:val="24"/>
                <w:szCs w:val="24"/>
                <w:highlight w:val="none"/>
                <w:lang w:val="en-US" w:eastAsia="zh-CN" w:bidi="ar-SA"/>
              </w:rPr>
              <w:t>堆场</w:t>
            </w:r>
            <w:r>
              <w:rPr>
                <w:rFonts w:hint="eastAsia" w:ascii="Times New Roman" w:hAnsi="Times New Roman" w:eastAsia="仿宋_GB2312" w:cs="Times New Roman"/>
                <w:color w:val="auto"/>
                <w:kern w:val="2"/>
                <w:sz w:val="24"/>
                <w:szCs w:val="24"/>
                <w:highlight w:val="none"/>
                <w:lang w:val="en-US" w:eastAsia="zh-CN" w:bidi="ar-SA"/>
              </w:rPr>
              <w:t>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kern w:val="2"/>
                <w:sz w:val="24"/>
                <w:szCs w:val="24"/>
                <w:highlight w:val="none"/>
                <w:lang w:val="en-US" w:eastAsia="zh-CN" w:bidi="ar-SA"/>
              </w:rPr>
              <w:t>⑷</w:t>
            </w:r>
            <w:r>
              <w:rPr>
                <w:rFonts w:hint="default" w:ascii="Times New Roman" w:hAnsi="Times New Roman" w:eastAsia="仿宋_GB2312" w:cs="Times New Roman"/>
                <w:color w:val="auto"/>
                <w:sz w:val="24"/>
                <w:szCs w:val="24"/>
                <w:highlight w:val="none"/>
                <w:lang w:val="en-US" w:eastAsia="zh-CN"/>
              </w:rPr>
              <w:t>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val="en-US" w:eastAsia="zh-CN"/>
              </w:rPr>
              <w:t>废水：本项目废水主要包括</w:t>
            </w:r>
            <w:r>
              <w:rPr>
                <w:rFonts w:hint="eastAsia" w:eastAsia="仿宋_GB2312" w:cs="Times New Roman"/>
                <w:color w:val="auto"/>
                <w:sz w:val="24"/>
                <w:szCs w:val="24"/>
                <w:highlight w:val="none"/>
                <w:lang w:val="en-US" w:eastAsia="zh-CN"/>
              </w:rPr>
              <w:t>生产废水、厂区道路抑尘废水、厂房抑尘废水、车辆冲洗废水</w:t>
            </w:r>
            <w:r>
              <w:rPr>
                <w:rFonts w:hint="default" w:ascii="Times New Roman" w:hAnsi="Times New Roman" w:eastAsia="仿宋_GB2312" w:cs="Times New Roman"/>
                <w:color w:val="auto"/>
                <w:sz w:val="24"/>
                <w:szCs w:val="24"/>
                <w:highlight w:val="none"/>
                <w:lang w:val="en-US" w:eastAsia="zh-CN"/>
              </w:rPr>
              <w:t>、生活污水</w:t>
            </w:r>
            <w:r>
              <w:rPr>
                <w:rFonts w:hint="eastAsia" w:eastAsia="仿宋_GB2312" w:cs="Times New Roman"/>
                <w:color w:val="auto"/>
                <w:sz w:val="24"/>
                <w:szCs w:val="24"/>
                <w:highlight w:val="none"/>
                <w:lang w:val="en-US" w:eastAsia="zh-CN"/>
              </w:rPr>
              <w:t>和绿化用水</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废气：本项目废气主要包括建筑垃圾运输、破碎、筛分、转运</w:t>
            </w:r>
            <w:r>
              <w:rPr>
                <w:rFonts w:hint="eastAsia" w:ascii="Times New Roman" w:hAnsi="Times New Roman" w:eastAsia="仿宋_GB2312" w:cs="Times New Roman"/>
                <w:color w:val="auto"/>
                <w:sz w:val="24"/>
                <w:szCs w:val="24"/>
                <w:highlight w:val="none"/>
                <w:lang w:val="en-US" w:eastAsia="zh-CN"/>
              </w:rPr>
              <w:t>以及搅拌</w:t>
            </w:r>
            <w:r>
              <w:rPr>
                <w:rFonts w:hint="default" w:ascii="Times New Roman" w:hAnsi="Times New Roman" w:eastAsia="仿宋_GB2312" w:cs="Times New Roman"/>
                <w:color w:val="auto"/>
                <w:sz w:val="24"/>
                <w:szCs w:val="24"/>
                <w:highlight w:val="none"/>
                <w:lang w:val="en-US" w:eastAsia="zh-CN"/>
              </w:rPr>
              <w:t>过程中产生的粉尘等。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zh-CN"/>
              </w:rPr>
              <w:t>噪声：本项目噪声主要为工艺设备运行时产生的噪声。</w:t>
            </w:r>
          </w:p>
          <w:p>
            <w:pPr>
              <w:keepNext w:val="0"/>
              <w:keepLines w:val="0"/>
              <w:suppressLineNumbers w:val="0"/>
              <w:adjustRightInd w:val="0"/>
              <w:snapToGrid w:val="0"/>
              <w:spacing w:before="0" w:beforeAutospacing="0" w:after="0" w:afterAutospacing="0" w:line="336" w:lineRule="auto"/>
              <w:ind w:left="0" w:right="0" w:firstLine="480" w:firstLineChars="200"/>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eastAsia="zh-CN"/>
              </w:rPr>
              <w:t>固体废物：</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建筑固废中其他组成：项目设计中主要利用建筑固废中混凝土、砂石等组分，其他组分如沥青、玻璃、金属、塑料、竹木料等；建筑固废中的品质较差骨料和渣土类；生产线废水沉淀泥浆；各类型收尘器集灰系统产生的灰和其他各类废料；生活垃圾；废润滑油等危险废物。</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snapToGrid/>
                <w:color w:val="auto"/>
                <w:sz w:val="24"/>
                <w:szCs w:val="24"/>
                <w:highlight w:val="none"/>
              </w:rPr>
            </w:pPr>
            <w:r>
              <w:rPr>
                <w:rFonts w:hint="eastAsia" w:eastAsia="仿宋_GB2312" w:cs="Times New Roman"/>
                <w:bCs w:val="0"/>
                <w:snapToGrid/>
                <w:color w:val="auto"/>
                <w:sz w:val="24"/>
                <w:szCs w:val="24"/>
                <w:highlight w:val="none"/>
              </w:rPr>
              <w:t>本项目产污环节汇总见下表。</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
                <w:bCs/>
                <w:snapToGrid/>
                <w:color w:val="auto"/>
                <w:sz w:val="24"/>
                <w:szCs w:val="22"/>
                <w:highlight w:val="none"/>
                <w:lang w:bidi="ar"/>
              </w:rPr>
            </w:pPr>
            <w:r>
              <w:rPr>
                <w:rFonts w:ascii="Times New Roman" w:hAnsi="Times New Roman" w:eastAsia="宋体" w:cs="Times New Roman"/>
                <w:snapToGrid/>
                <w:color w:val="auto"/>
                <w:sz w:val="21"/>
                <w:szCs w:val="21"/>
                <w:highlight w:val="none"/>
                <w:lang w:bidi="ar"/>
              </w:rPr>
              <w:t>表2-</w:t>
            </w:r>
            <w:r>
              <w:rPr>
                <w:rFonts w:hint="eastAsia" w:ascii="Times New Roman" w:hAnsi="Times New Roman" w:eastAsia="宋体" w:cs="Times New Roman"/>
                <w:snapToGrid/>
                <w:color w:val="auto"/>
                <w:sz w:val="21"/>
                <w:szCs w:val="21"/>
                <w:highlight w:val="none"/>
                <w:lang w:eastAsia="zh-CN" w:bidi="ar"/>
              </w:rPr>
              <w:t>1</w:t>
            </w:r>
            <w:r>
              <w:rPr>
                <w:rFonts w:hint="eastAsia" w:ascii="Times New Roman" w:hAnsi="Times New Roman" w:eastAsia="宋体" w:cs="Times New Roman"/>
                <w:snapToGrid/>
                <w:color w:val="auto"/>
                <w:sz w:val="21"/>
                <w:szCs w:val="21"/>
                <w:highlight w:val="none"/>
                <w:lang w:val="en-US" w:eastAsia="zh-CN" w:bidi="ar"/>
              </w:rPr>
              <w:t>1</w:t>
            </w:r>
            <w:r>
              <w:rPr>
                <w:rFonts w:hint="eastAsia" w:eastAsia="黑体" w:cs="Times New Roman"/>
                <w:snapToGrid/>
                <w:sz w:val="24"/>
                <w:szCs w:val="24"/>
              </w:rPr>
              <w:t xml:space="preserve">  </w:t>
            </w:r>
            <w:r>
              <w:rPr>
                <w:rFonts w:hint="eastAsia" w:eastAsia="黑体" w:cs="Times New Roman"/>
                <w:snapToGrid/>
                <w:sz w:val="24"/>
                <w:szCs w:val="24"/>
                <w:lang w:val="en-US" w:eastAsia="zh-CN"/>
              </w:rPr>
              <w:t xml:space="preserve"> </w:t>
            </w:r>
            <w:r>
              <w:rPr>
                <w:rFonts w:hint="default" w:ascii="Times New Roman" w:hAnsi="Times New Roman" w:eastAsia="宋体" w:cs="Times New Roman"/>
                <w:b/>
                <w:bCs/>
                <w:snapToGrid/>
                <w:color w:val="auto"/>
                <w:sz w:val="24"/>
                <w:szCs w:val="22"/>
                <w:highlight w:val="none"/>
                <w:lang w:bidi="ar"/>
              </w:rPr>
              <w:t>污染物</w:t>
            </w:r>
            <w:r>
              <w:rPr>
                <w:rFonts w:ascii="Times New Roman" w:hAnsi="Times New Roman" w:eastAsia="宋体" w:cs="Times New Roman"/>
                <w:b/>
                <w:bCs/>
                <w:snapToGrid/>
                <w:color w:val="auto"/>
                <w:sz w:val="24"/>
                <w:szCs w:val="22"/>
                <w:highlight w:val="none"/>
                <w:lang w:bidi="ar"/>
              </w:rPr>
              <w:t>汇总表</w:t>
            </w:r>
          </w:p>
          <w:tbl>
            <w:tblPr>
              <w:tblStyle w:val="38"/>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933"/>
              <w:gridCol w:w="2489"/>
              <w:gridCol w:w="163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类别</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污染源名称</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产污环节编号</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污染物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废气</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cs="Times New Roman" w:eastAsiaTheme="minorEastAsia"/>
                      <w:snapToGrid/>
                      <w:szCs w:val="20"/>
                    </w:rPr>
                    <w:t>车辆运输粉尘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G1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eastAsiaTheme="minorEastAsia"/>
                      <w:szCs w:val="20"/>
                    </w:rPr>
                    <w:t>建筑垃圾原料堆场</w:t>
                  </w:r>
                  <w:r>
                    <w:rPr>
                      <w:rFonts w:hint="eastAsia" w:cs="Times New Roman" w:eastAsiaTheme="minorEastAsia"/>
                      <w:snapToGrid/>
                      <w:kern w:val="2"/>
                      <w:szCs w:val="20"/>
                    </w:rPr>
                    <w:t>装卸粉尘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G2</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szCs w:val="20"/>
                    </w:rPr>
                  </w:pPr>
                  <w:r>
                    <w:rPr>
                      <w:rFonts w:hint="eastAsia" w:eastAsiaTheme="minorEastAsia"/>
                      <w:szCs w:val="20"/>
                    </w:rPr>
                    <w:t>再生产品堆场装卸粉尘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default" w:cs="Times New Roman" w:eastAsiaTheme="minorEastAsia"/>
                      <w:snapToGrid/>
                      <w:szCs w:val="20"/>
                    </w:rPr>
                    <w:t>G</w:t>
                  </w:r>
                  <w:r>
                    <w:rPr>
                      <w:rFonts w:hint="eastAsia" w:cs="Times New Roman" w:eastAsiaTheme="minorEastAsia"/>
                      <w:snapToGrid/>
                      <w:szCs w:val="20"/>
                      <w:lang w:val="en-US" w:eastAsia="zh-CN"/>
                    </w:rPr>
                    <w:t>3</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lang w:val="en-US" w:eastAsia="zh-CN"/>
                    </w:rPr>
                    <w:t>粉料筒仓罐</w:t>
                  </w:r>
                  <w:r>
                    <w:rPr>
                      <w:rFonts w:hint="eastAsia" w:cs="Times New Roman" w:eastAsiaTheme="minorEastAsia"/>
                      <w:snapToGrid/>
                      <w:szCs w:val="20"/>
                    </w:rPr>
                    <w:t>输送储存粉尘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G</w:t>
                  </w:r>
                  <w:r>
                    <w:rPr>
                      <w:rFonts w:hint="eastAsia" w:cs="Times New Roman" w:eastAsiaTheme="minorEastAsia"/>
                      <w:snapToGrid/>
                      <w:szCs w:val="20"/>
                      <w:lang w:val="en-US" w:eastAsia="zh-CN"/>
                    </w:rPr>
                    <w:t>4</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rPr>
                    <w:t>搅拌机</w:t>
                  </w:r>
                  <w:r>
                    <w:rPr>
                      <w:rFonts w:hint="eastAsia" w:eastAsiaTheme="minorEastAsia"/>
                      <w:szCs w:val="20"/>
                    </w:rPr>
                    <w:t>逸散</w:t>
                  </w:r>
                  <w:r>
                    <w:rPr>
                      <w:rFonts w:hint="eastAsia" w:cs="Times New Roman" w:eastAsiaTheme="minorEastAsia"/>
                      <w:snapToGrid/>
                      <w:szCs w:val="20"/>
                    </w:rPr>
                    <w:t>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eastAsia" w:cs="Times New Roman" w:eastAsiaTheme="minorEastAsia"/>
                      <w:snapToGrid/>
                      <w:szCs w:val="20"/>
                    </w:rPr>
                    <w:t>G</w:t>
                  </w:r>
                  <w:r>
                    <w:rPr>
                      <w:rFonts w:hint="eastAsia" w:cs="Times New Roman" w:eastAsiaTheme="minorEastAsia"/>
                      <w:snapToGrid/>
                      <w:szCs w:val="20"/>
                      <w:lang w:val="en-US" w:eastAsia="zh-CN"/>
                    </w:rPr>
                    <w:t>5</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lang w:val="en-US" w:eastAsia="zh-CN"/>
                    </w:rPr>
                    <w:t>颚式破碎机</w:t>
                  </w:r>
                  <w:r>
                    <w:rPr>
                      <w:rFonts w:hint="eastAsia" w:cs="Times New Roman" w:eastAsiaTheme="minorEastAsia"/>
                      <w:snapToGrid/>
                      <w:szCs w:val="20"/>
                    </w:rPr>
                    <w:t>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eastAsia" w:cs="Times New Roman" w:eastAsiaTheme="minorEastAsia"/>
                      <w:snapToGrid/>
                      <w:szCs w:val="20"/>
                    </w:rPr>
                    <w:t>G</w:t>
                  </w:r>
                  <w:r>
                    <w:rPr>
                      <w:rFonts w:hint="eastAsia" w:cs="Times New Roman" w:eastAsiaTheme="minorEastAsia"/>
                      <w:snapToGrid/>
                      <w:szCs w:val="20"/>
                      <w:lang w:val="en-US" w:eastAsia="zh-CN"/>
                    </w:rPr>
                    <w:t>6</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eastAsia" w:eastAsiaTheme="minorEastAsia"/>
                      <w:szCs w:val="20"/>
                    </w:rPr>
                    <w:t>风选机风选阶段粉尘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eastAsia" w:cs="Times New Roman" w:eastAsiaTheme="minorEastAsia"/>
                      <w:snapToGrid/>
                      <w:szCs w:val="20"/>
                    </w:rPr>
                    <w:t>G</w:t>
                  </w:r>
                  <w:r>
                    <w:rPr>
                      <w:rFonts w:hint="eastAsia" w:cs="Times New Roman" w:eastAsiaTheme="minorEastAsia"/>
                      <w:snapToGrid/>
                      <w:szCs w:val="20"/>
                      <w:lang w:val="en-US" w:eastAsia="zh-CN"/>
                    </w:rPr>
                    <w:t>7</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废水</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车辆冲洗废水</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SS</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固废</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eastAsiaTheme="minorEastAsia"/>
                      <w:szCs w:val="20"/>
                    </w:rPr>
                    <w:t>建筑固废中其他组成</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S1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建筑固废中的品质较差骨料和渣土类</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S2</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生产线废水沉淀泥浆</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3</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各类型收尘器集灰系统</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4</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生活垃圾</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5</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废润滑油等</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6</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噪声</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lang w:val="en-US" w:eastAsia="zh-CN"/>
                    </w:rPr>
                    <w:t>各</w:t>
                  </w:r>
                  <w:r>
                    <w:rPr>
                      <w:rFonts w:hint="eastAsia" w:eastAsiaTheme="minorEastAsia"/>
                      <w:szCs w:val="20"/>
                    </w:rPr>
                    <w:t>设备运行噪声</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N1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噪声</w:t>
                  </w:r>
                </w:p>
              </w:tc>
            </w:tr>
          </w:tbl>
          <w:p>
            <w:pPr>
              <w:keepNext w:val="0"/>
              <w:keepLines w:val="0"/>
              <w:suppressLineNumbers w:val="0"/>
              <w:adjustRightInd w:val="0"/>
              <w:snapToGrid w:val="0"/>
              <w:spacing w:before="0" w:beforeAutospacing="0" w:after="0" w:afterAutospacing="0" w:line="336" w:lineRule="auto"/>
              <w:ind w:left="0" w:right="0" w:firstLine="480" w:firstLineChars="200"/>
              <w:rPr>
                <w:rFonts w:hint="default" w:eastAsia="仿宋_GB2312"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0"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工艺流程和产排污环节</w:t>
            </w:r>
          </w:p>
        </w:tc>
        <w:tc>
          <w:tcPr>
            <w:tcW w:w="8602" w:type="dxa"/>
            <w:vMerge w:val="continue"/>
            <w:vAlign w:val="center"/>
          </w:tcPr>
          <w:p>
            <w:pPr>
              <w:keepNext w:val="0"/>
              <w:keepLines w:val="0"/>
              <w:pageBreakBefore w:val="0"/>
              <w:suppressLineNumbers w:val="0"/>
              <w:tabs>
                <w:tab w:val="right" w:pos="0"/>
              </w:tabs>
              <w:kinsoku/>
              <w:wordWrap/>
              <w:topLinePunct w:val="0"/>
              <w:bidi w:val="0"/>
              <w:adjustRightInd w:val="0"/>
              <w:snapToGrid w:val="0"/>
              <w:spacing w:before="0" w:beforeAutospacing="0" w:after="0" w:afterAutospacing="0" w:line="360" w:lineRule="auto"/>
              <w:ind w:left="0" w:right="0"/>
              <w:rPr>
                <w:rFonts w:hint="default" w:ascii="Times New Roman" w:hAnsi="Times New Roman" w:eastAsia="宋体" w:cs="Times New Roman"/>
                <w:b/>
                <w:bCs/>
                <w:color w:val="FF0000"/>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76" w:hRule="atLeast"/>
          <w:jc w:val="center"/>
        </w:trPr>
        <w:tc>
          <w:tcPr>
            <w:tcW w:w="752"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与项目有关的原有环境污染问题</w:t>
            </w: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tc>
        <w:tc>
          <w:tcPr>
            <w:tcW w:w="8602" w:type="dxa"/>
            <w:vAlign w:val="center"/>
          </w:tcPr>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bCs/>
                <w:color w:val="FF0000"/>
                <w:highlight w:val="none"/>
                <w:lang w:val="en-US" w:eastAsia="zh-CN"/>
              </w:rPr>
            </w:pPr>
            <w:r>
              <w:rPr>
                <w:rFonts w:hint="eastAsia" w:cs="Times New Roman"/>
                <w:b w:val="0"/>
                <w:bCs w:val="0"/>
                <w:color w:val="auto"/>
                <w:highlight w:val="none"/>
                <w:lang w:val="en-US" w:eastAsia="zh-CN"/>
              </w:rPr>
              <w:t>本项目为新建项目，不属于改建、扩建及技改项目，厂区所处位置为空地，无与本项目有关的原有污染源。</w:t>
            </w:r>
          </w:p>
        </w:tc>
      </w:tr>
    </w:tbl>
    <w:p>
      <w:pPr>
        <w:pStyle w:val="4"/>
        <w:pageBreakBefore w:val="0"/>
        <w:kinsoku/>
        <w:wordWrap/>
        <w:topLinePunct w:val="0"/>
        <w:bidi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三、区域环境质量现状、环境保护目标及评价标准</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6"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区域环境质量现状</w:t>
            </w:r>
          </w:p>
        </w:tc>
        <w:tc>
          <w:tcPr>
            <w:tcW w:w="8635" w:type="dxa"/>
            <w:vMerge w:val="restart"/>
            <w:tcBorders>
              <w:tl2br w:val="nil"/>
              <w:tr2bl w:val="nil"/>
            </w:tcBorders>
            <w:vAlign w:val="center"/>
          </w:tcPr>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rPr>
                <w:rFonts w:hint="default" w:ascii="Times New Roman" w:hAnsi="Times New Roman" w:eastAsia="仿宋_GB2312" w:cs="Times New Roman"/>
                <w:color w:val="auto"/>
                <w:szCs w:val="22"/>
                <w:highlight w:val="none"/>
                <w:lang w:eastAsia="zh-CN"/>
              </w:rPr>
            </w:pPr>
            <w:r>
              <w:rPr>
                <w:rFonts w:hint="default" w:ascii="Times New Roman" w:hAnsi="Times New Roman" w:eastAsia="仿宋_GB2312" w:cs="Times New Roman"/>
                <w:color w:val="auto"/>
                <w:szCs w:val="22"/>
                <w:highlight w:val="none"/>
              </w:rPr>
              <w:t>1.</w:t>
            </w:r>
            <w:r>
              <w:rPr>
                <w:rFonts w:hint="default" w:ascii="Times New Roman" w:hAnsi="Times New Roman" w:eastAsia="仿宋_GB2312" w:cs="Times New Roman"/>
                <w:color w:val="auto"/>
                <w:szCs w:val="22"/>
                <w:highlight w:val="none"/>
                <w:lang w:eastAsia="zh-CN"/>
              </w:rPr>
              <w:t>大气环境</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⑴</w:t>
            </w:r>
            <w:r>
              <w:rPr>
                <w:rFonts w:hint="eastAsia" w:cs="Times New Roman"/>
                <w:color w:val="auto"/>
                <w:kern w:val="16"/>
                <w:sz w:val="24"/>
                <w:szCs w:val="24"/>
                <w:highlight w:val="none"/>
                <w:lang w:val="en-US" w:eastAsia="zh-CN" w:bidi="ar-SA"/>
              </w:rPr>
              <w:t>基本污染物</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cs="Times New Roman"/>
                <w:color w:val="FF0000"/>
                <w:highlight w:val="none"/>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auto"/>
                <w:highlight w:val="none"/>
              </w:rPr>
              <w:t>根据项目所在行政区划位置，项目区域</w:t>
            </w:r>
            <w:r>
              <w:rPr>
                <w:rFonts w:hint="default" w:ascii="Times New Roman" w:hAnsi="Times New Roman" w:cs="Times New Roman"/>
                <w:color w:val="auto"/>
                <w:highlight w:val="none"/>
                <w:lang w:eastAsia="zh-CN"/>
              </w:rPr>
              <w:t>常规污染物</w:t>
            </w:r>
            <w:r>
              <w:rPr>
                <w:rFonts w:hint="default" w:ascii="Times New Roman" w:hAnsi="Times New Roman" w:cs="Times New Roman"/>
                <w:color w:val="auto"/>
                <w:highlight w:val="none"/>
              </w:rPr>
              <w:t>环境空气质量现状引用</w:t>
            </w:r>
            <w:r>
              <w:rPr>
                <w:rFonts w:hint="default" w:ascii="Times New Roman" w:hAnsi="Times New Roman" w:eastAsia="仿宋_GB2312" w:cs="Times New Roman"/>
                <w:color w:val="auto"/>
                <w:sz w:val="24"/>
                <w:szCs w:val="22"/>
                <w:highlight w:val="none"/>
                <w:lang w:val="en-US" w:eastAsia="zh-CN"/>
              </w:rPr>
              <w:t>宁夏回族自治区生态环境厅公开发布的《202</w:t>
            </w:r>
            <w:r>
              <w:rPr>
                <w:rFonts w:hint="default" w:ascii="Times New Roman" w:hAnsi="Times New Roman" w:cs="Times New Roman"/>
                <w:color w:val="auto"/>
                <w:sz w:val="24"/>
                <w:szCs w:val="22"/>
                <w:highlight w:val="none"/>
                <w:lang w:val="en-US" w:eastAsia="zh-CN"/>
              </w:rPr>
              <w:t>4</w:t>
            </w:r>
            <w:r>
              <w:rPr>
                <w:rFonts w:hint="default" w:ascii="Times New Roman" w:hAnsi="Times New Roman" w:eastAsia="仿宋_GB2312" w:cs="Times New Roman"/>
                <w:color w:val="auto"/>
                <w:sz w:val="24"/>
                <w:szCs w:val="22"/>
                <w:highlight w:val="none"/>
                <w:lang w:val="en-US" w:eastAsia="zh-CN"/>
              </w:rPr>
              <w:t>年宁夏生态环境质量状况》中</w:t>
            </w:r>
            <w:r>
              <w:rPr>
                <w:rFonts w:hint="eastAsia" w:cs="Times New Roman"/>
                <w:color w:val="auto"/>
                <w:sz w:val="24"/>
                <w:szCs w:val="22"/>
                <w:highlight w:val="none"/>
                <w:lang w:val="en-US" w:eastAsia="zh-CN"/>
              </w:rPr>
              <w:t>固原</w:t>
            </w:r>
            <w:r>
              <w:rPr>
                <w:rFonts w:hint="default" w:ascii="Times New Roman" w:hAnsi="Times New Roman" w:eastAsia="仿宋_GB2312" w:cs="Times New Roman"/>
                <w:color w:val="auto"/>
                <w:sz w:val="24"/>
                <w:szCs w:val="22"/>
                <w:highlight w:val="none"/>
                <w:lang w:val="en-US" w:eastAsia="zh-CN"/>
              </w:rPr>
              <w:t>市202</w:t>
            </w:r>
            <w:r>
              <w:rPr>
                <w:rFonts w:hint="default" w:ascii="Times New Roman" w:hAnsi="Times New Roman" w:cs="Times New Roman"/>
                <w:color w:val="auto"/>
                <w:sz w:val="24"/>
                <w:szCs w:val="22"/>
                <w:highlight w:val="none"/>
                <w:lang w:val="en-US" w:eastAsia="zh-CN"/>
              </w:rPr>
              <w:t>4</w:t>
            </w:r>
            <w:r>
              <w:rPr>
                <w:rFonts w:hint="default" w:ascii="Times New Roman" w:hAnsi="Times New Roman" w:eastAsia="仿宋_GB2312" w:cs="Times New Roman"/>
                <w:color w:val="auto"/>
                <w:sz w:val="24"/>
                <w:szCs w:val="22"/>
                <w:highlight w:val="none"/>
                <w:lang w:val="en-US" w:eastAsia="zh-CN"/>
              </w:rPr>
              <w:t>年环境空气监测数据和结论</w:t>
            </w:r>
            <w:r>
              <w:rPr>
                <w:rFonts w:hint="default" w:ascii="Times New Roman" w:hAnsi="Times New Roman" w:cs="Times New Roman"/>
                <w:color w:val="auto"/>
                <w:sz w:val="24"/>
                <w:szCs w:val="22"/>
                <w:highlight w:val="none"/>
                <w:lang w:val="en-US" w:eastAsia="zh-CN"/>
              </w:rPr>
              <w:t>（</w:t>
            </w:r>
            <w:r>
              <w:rPr>
                <w:rFonts w:hint="default" w:ascii="Times New Roman" w:hAnsi="Times New Roman" w:eastAsia="仿宋_GB2312" w:cs="Times New Roman"/>
                <w:color w:val="auto"/>
                <w:sz w:val="24"/>
                <w:szCs w:val="22"/>
                <w:highlight w:val="none"/>
                <w:lang w:val="en-US" w:eastAsia="zh-CN"/>
              </w:rPr>
              <w:t>剔除沙尘天气</w:t>
            </w:r>
            <w:r>
              <w:rPr>
                <w:rFonts w:hint="default" w:ascii="Times New Roman" w:hAnsi="Times New Roman" w:cs="Times New Roman"/>
                <w:color w:val="auto"/>
                <w:sz w:val="24"/>
                <w:szCs w:val="22"/>
                <w:highlight w:val="none"/>
                <w:lang w:val="en-US" w:eastAsia="zh-CN"/>
              </w:rPr>
              <w:t>）</w:t>
            </w:r>
            <w:r>
              <w:rPr>
                <w:rFonts w:hint="default" w:ascii="Times New Roman" w:hAnsi="Times New Roman" w:eastAsia="仿宋_GB2312" w:cs="Times New Roman"/>
                <w:color w:val="auto"/>
                <w:sz w:val="24"/>
                <w:szCs w:val="22"/>
                <w:highlight w:val="none"/>
                <w:lang w:val="en-US" w:eastAsia="zh-CN"/>
              </w:rPr>
              <w:t>作为本次评价依据</w:t>
            </w:r>
            <w:r>
              <w:rPr>
                <w:rFonts w:hint="default" w:ascii="Times New Roman" w:hAnsi="Times New Roman" w:eastAsia="仿宋_GB2312" w:cs="Times New Roman"/>
                <w:color w:val="auto"/>
                <w:kern w:val="0"/>
                <w:sz w:val="24"/>
                <w:szCs w:val="24"/>
                <w:highlight w:val="none"/>
              </w:rPr>
              <w:t>，并对监测数据进行分析，说明区域环境空气质量达标情况</w:t>
            </w:r>
            <w:r>
              <w:rPr>
                <w:rFonts w:hint="default" w:ascii="Times New Roman" w:hAnsi="Times New Roman" w:cs="Times New Roman"/>
                <w:color w:val="auto"/>
                <w:highlight w:val="none"/>
              </w:rPr>
              <w:t>。所在区域公布的环境空气质量现状评价具体见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pStyle w:val="81"/>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黑体" w:cs="Times New Roman"/>
                <w:b w:val="0"/>
                <w:bCs/>
                <w:color w:val="auto"/>
                <w:sz w:val="24"/>
                <w:szCs w:val="24"/>
                <w:highlight w:val="none"/>
              </w:rPr>
            </w:pPr>
            <w:r>
              <w:rPr>
                <w:rFonts w:hint="default" w:ascii="Times New Roman" w:hAnsi="Times New Roman" w:eastAsia="宋体" w:cs="Times New Roman"/>
                <w:b w:val="0"/>
                <w:bCs w:val="0"/>
                <w:color w:val="auto"/>
                <w:kern w:val="2"/>
                <w:sz w:val="21"/>
                <w:szCs w:val="21"/>
                <w:highlight w:val="none"/>
                <w:lang w:val="en-US" w:eastAsia="zh-CN" w:bidi="ar"/>
              </w:rPr>
              <w:t>表</w:t>
            </w:r>
            <w:r>
              <w:rPr>
                <w:rFonts w:hint="default" w:ascii="Times New Roman" w:hAnsi="Times New Roman" w:cs="Times New Roman"/>
                <w:b w:val="0"/>
                <w:bCs w:val="0"/>
                <w:color w:val="auto"/>
                <w:kern w:val="2"/>
                <w:sz w:val="21"/>
                <w:szCs w:val="21"/>
                <w:highlight w:val="none"/>
                <w:lang w:val="en-US" w:eastAsia="zh-CN" w:bidi="ar"/>
              </w:rPr>
              <w:t>3-1</w:t>
            </w:r>
            <w:r>
              <w:rPr>
                <w:rFonts w:hint="default" w:ascii="Times New Roman" w:hAnsi="Times New Roman" w:cs="Times New Roman"/>
                <w:b/>
                <w:bCs/>
                <w:color w:val="auto"/>
                <w:kern w:val="2"/>
                <w:sz w:val="24"/>
                <w:szCs w:val="22"/>
                <w:highlight w:val="none"/>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 xml:space="preserve"> 项目所在区域环境现状监测数据统计表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2250"/>
              <w:gridCol w:w="1153"/>
              <w:gridCol w:w="1542"/>
              <w:gridCol w:w="1158"/>
              <w:gridCol w:w="10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18" w:type="dxa"/>
                  <w:tcBorders>
                    <w:top w:val="single" w:color="auto" w:sz="12" w:space="0"/>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污染物</w:t>
                  </w:r>
                </w:p>
              </w:tc>
              <w:tc>
                <w:tcPr>
                  <w:tcW w:w="2250"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年评价指标</w:t>
                  </w:r>
                </w:p>
              </w:tc>
              <w:tc>
                <w:tcPr>
                  <w:tcW w:w="1153"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0"/>
                      <w:szCs w:val="21"/>
                      <w:highlight w:val="none"/>
                      <w:lang w:eastAsia="zh-CN"/>
                    </w:rPr>
                  </w:pPr>
                  <w:r>
                    <w:rPr>
                      <w:rFonts w:hint="default" w:ascii="Times New Roman" w:hAnsi="Times New Roman" w:cs="Times New Roman"/>
                      <w:b/>
                      <w:bCs/>
                      <w:snapToGrid w:val="0"/>
                      <w:color w:val="auto"/>
                      <w:kern w:val="0"/>
                      <w:szCs w:val="21"/>
                      <w:highlight w:val="none"/>
                    </w:rPr>
                    <w:t>现状浓度</w:t>
                  </w:r>
                  <w:r>
                    <w:rPr>
                      <w:rFonts w:hint="default" w:ascii="Times New Roman" w:hAnsi="Times New Roman" w:cs="Times New Roman"/>
                      <w:b/>
                      <w:bCs/>
                      <w:snapToGrid w:val="0"/>
                      <w:color w:val="auto"/>
                      <w:kern w:val="0"/>
                      <w:szCs w:val="21"/>
                      <w:highlight w:val="none"/>
                      <w:lang w:eastAsia="zh-CN"/>
                    </w:rPr>
                    <w:t>(</w:t>
                  </w:r>
                  <w:r>
                    <w:rPr>
                      <w:rFonts w:hint="default" w:ascii="Times New Roman" w:hAnsi="Times New Roman" w:cs="Times New Roman"/>
                      <w:b/>
                      <w:bCs/>
                      <w:snapToGrid w:val="0"/>
                      <w:color w:val="auto"/>
                      <w:kern w:val="0"/>
                      <w:szCs w:val="21"/>
                      <w:highlight w:val="none"/>
                    </w:rPr>
                    <w:t>μg/m</w:t>
                  </w:r>
                  <w:r>
                    <w:rPr>
                      <w:rFonts w:hint="default" w:ascii="Times New Roman" w:hAnsi="Times New Roman" w:cs="Times New Roman"/>
                      <w:b/>
                      <w:bCs/>
                      <w:snapToGrid w:val="0"/>
                      <w:color w:val="auto"/>
                      <w:kern w:val="0"/>
                      <w:szCs w:val="21"/>
                      <w:highlight w:val="none"/>
                      <w:vertAlign w:val="superscript"/>
                    </w:rPr>
                    <w:t>3</w:t>
                  </w:r>
                  <w:r>
                    <w:rPr>
                      <w:rFonts w:hint="default" w:ascii="Times New Roman" w:hAnsi="Times New Roman" w:cs="Times New Roman"/>
                      <w:b/>
                      <w:bCs/>
                      <w:snapToGrid w:val="0"/>
                      <w:color w:val="auto"/>
                      <w:kern w:val="0"/>
                      <w:szCs w:val="21"/>
                      <w:highlight w:val="none"/>
                      <w:lang w:eastAsia="zh-CN"/>
                    </w:rPr>
                    <w:t>)</w:t>
                  </w:r>
                </w:p>
              </w:tc>
              <w:tc>
                <w:tcPr>
                  <w:tcW w:w="1542"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0"/>
                      <w:szCs w:val="21"/>
                      <w:highlight w:val="none"/>
                      <w:lang w:eastAsia="zh-CN"/>
                    </w:rPr>
                  </w:pPr>
                  <w:r>
                    <w:rPr>
                      <w:rFonts w:hint="default" w:ascii="Times New Roman" w:hAnsi="Times New Roman" w:cs="Times New Roman"/>
                      <w:b/>
                      <w:bCs/>
                      <w:snapToGrid w:val="0"/>
                      <w:color w:val="auto"/>
                      <w:kern w:val="0"/>
                      <w:szCs w:val="21"/>
                      <w:highlight w:val="none"/>
                    </w:rPr>
                    <w:t>标准值</w:t>
                  </w:r>
                  <w:r>
                    <w:rPr>
                      <w:rFonts w:hint="default" w:ascii="Times New Roman" w:hAnsi="Times New Roman" w:cs="Times New Roman"/>
                      <w:b/>
                      <w:bCs/>
                      <w:snapToGrid w:val="0"/>
                      <w:color w:val="auto"/>
                      <w:kern w:val="0"/>
                      <w:szCs w:val="21"/>
                      <w:highlight w:val="none"/>
                      <w:lang w:eastAsia="zh-CN"/>
                    </w:rPr>
                    <w:t>(</w:t>
                  </w:r>
                  <w:r>
                    <w:rPr>
                      <w:rFonts w:hint="default" w:ascii="Times New Roman" w:hAnsi="Times New Roman" w:cs="Times New Roman"/>
                      <w:b/>
                      <w:bCs/>
                      <w:snapToGrid w:val="0"/>
                      <w:color w:val="auto"/>
                      <w:kern w:val="0"/>
                      <w:szCs w:val="21"/>
                      <w:highlight w:val="none"/>
                    </w:rPr>
                    <w:t>μg/m</w:t>
                  </w:r>
                  <w:r>
                    <w:rPr>
                      <w:rFonts w:hint="default" w:ascii="Times New Roman" w:hAnsi="Times New Roman" w:cs="Times New Roman"/>
                      <w:b/>
                      <w:bCs/>
                      <w:snapToGrid w:val="0"/>
                      <w:color w:val="auto"/>
                      <w:kern w:val="0"/>
                      <w:szCs w:val="21"/>
                      <w:highlight w:val="none"/>
                      <w:vertAlign w:val="superscript"/>
                    </w:rPr>
                    <w:t>3</w:t>
                  </w:r>
                  <w:r>
                    <w:rPr>
                      <w:rFonts w:hint="default" w:ascii="Times New Roman" w:hAnsi="Times New Roman" w:cs="Times New Roman"/>
                      <w:b/>
                      <w:bCs/>
                      <w:snapToGrid w:val="0"/>
                      <w:color w:val="auto"/>
                      <w:kern w:val="0"/>
                      <w:szCs w:val="21"/>
                      <w:highlight w:val="none"/>
                      <w:lang w:eastAsia="zh-CN"/>
                    </w:rPr>
                    <w:t>)</w:t>
                  </w:r>
                </w:p>
              </w:tc>
              <w:tc>
                <w:tcPr>
                  <w:tcW w:w="1158"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占标率/%</w:t>
                  </w:r>
                </w:p>
              </w:tc>
              <w:tc>
                <w:tcPr>
                  <w:tcW w:w="1069" w:type="dxa"/>
                  <w:tcBorders>
                    <w:top w:val="single" w:color="auto" w:sz="12" w:space="0"/>
                    <w:left w:val="single" w:color="auto" w:sz="6" w:space="0"/>
                    <w:bottom w:val="single" w:color="auto" w:sz="6"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10</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r>
                    <w:rPr>
                      <w:rFonts w:hint="eastAsia" w:cs="Times New Roman"/>
                      <w:b w:val="0"/>
                      <w:bCs/>
                      <w:color w:val="auto"/>
                      <w:sz w:val="21"/>
                      <w:szCs w:val="21"/>
                      <w:highlight w:val="none"/>
                      <w:lang w:val="en-US" w:eastAsia="zh-CN"/>
                    </w:rPr>
                    <w:t>1</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70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87.1</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2.5</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lang w:val="en-US" w:eastAsia="zh-CN"/>
                    </w:rPr>
                    <w:t>6</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35</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74.3</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SO</w:t>
                  </w:r>
                  <w:r>
                    <w:rPr>
                      <w:rFonts w:hint="default" w:ascii="Times New Roman" w:hAnsi="Times New Roman" w:eastAsia="宋体" w:cs="Times New Roman"/>
                      <w:b/>
                      <w:color w:val="auto"/>
                      <w:szCs w:val="21"/>
                      <w:highlight w:val="none"/>
                      <w:vertAlign w:val="subscript"/>
                    </w:rPr>
                    <w:t>2</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6</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60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0.1</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NO</w:t>
                  </w:r>
                  <w:r>
                    <w:rPr>
                      <w:rFonts w:hint="default" w:ascii="Times New Roman" w:hAnsi="Times New Roman" w:eastAsia="宋体" w:cs="Times New Roman"/>
                      <w:b/>
                      <w:color w:val="auto"/>
                      <w:szCs w:val="21"/>
                      <w:highlight w:val="none"/>
                      <w:vertAlign w:val="subscript"/>
                    </w:rPr>
                    <w:t>2</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17</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40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42.5</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CO</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color w:val="auto"/>
                      <w:szCs w:val="22"/>
                      <w:highlight w:val="none"/>
                    </w:rPr>
                    <w:t>24小时平均第95百分位数</w:t>
                  </w:r>
                  <w:r>
                    <w:rPr>
                      <w:rFonts w:hint="default" w:ascii="Times New Roman" w:hAnsi="Times New Roman" w:eastAsia="宋体" w:cs="Times New Roman"/>
                      <w:color w:val="auto"/>
                      <w:spacing w:val="-20"/>
                      <w:szCs w:val="21"/>
                      <w:highlight w:val="none"/>
                      <w:lang w:eastAsia="zh-CN"/>
                    </w:rPr>
                    <w:t>(</w:t>
                  </w:r>
                  <w:r>
                    <w:rPr>
                      <w:rFonts w:hint="default" w:ascii="Times New Roman" w:hAnsi="Times New Roman" w:eastAsia="宋体" w:cs="Times New Roman"/>
                      <w:color w:val="auto"/>
                      <w:spacing w:val="-20"/>
                      <w:szCs w:val="21"/>
                      <w:highlight w:val="none"/>
                    </w:rPr>
                    <w:t>mg /m</w:t>
                  </w:r>
                  <w:r>
                    <w:rPr>
                      <w:rFonts w:hint="default" w:ascii="Times New Roman" w:hAnsi="Times New Roman" w:eastAsia="宋体" w:cs="Times New Roman"/>
                      <w:color w:val="auto"/>
                      <w:spacing w:val="-20"/>
                      <w:szCs w:val="21"/>
                      <w:highlight w:val="none"/>
                      <w:vertAlign w:val="superscript"/>
                    </w:rPr>
                    <w:t>3</w:t>
                  </w:r>
                  <w:r>
                    <w:rPr>
                      <w:rFonts w:hint="default" w:ascii="Times New Roman" w:hAnsi="Times New Roman" w:eastAsia="宋体" w:cs="Times New Roman"/>
                      <w:color w:val="auto"/>
                      <w:spacing w:val="-20"/>
                      <w:szCs w:val="21"/>
                      <w:highlight w:val="none"/>
                      <w:lang w:eastAsia="zh-CN"/>
                    </w:rPr>
                    <w:t>)</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0</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val="0"/>
                      <w:bCs/>
                      <w:color w:val="auto"/>
                      <w:sz w:val="21"/>
                      <w:szCs w:val="21"/>
                      <w:highlight w:val="none"/>
                    </w:rPr>
                    <w:t>4.0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25.0</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O</w:t>
                  </w:r>
                  <w:r>
                    <w:rPr>
                      <w:rFonts w:hint="default" w:ascii="Times New Roman" w:hAnsi="Times New Roman" w:eastAsia="宋体" w:cs="Times New Roman"/>
                      <w:b/>
                      <w:color w:val="auto"/>
                      <w:szCs w:val="21"/>
                      <w:highlight w:val="none"/>
                      <w:vertAlign w:val="subscript"/>
                    </w:rPr>
                    <w:t>3</w:t>
                  </w:r>
                </w:p>
              </w:tc>
              <w:tc>
                <w:tcPr>
                  <w:tcW w:w="2250"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2"/>
                      <w:highlight w:val="none"/>
                    </w:rPr>
                    <w:t>日最大8小时滑动平均值的第90百分位数</w:t>
                  </w:r>
                </w:p>
              </w:tc>
              <w:tc>
                <w:tcPr>
                  <w:tcW w:w="1153"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36</w:t>
                  </w:r>
                </w:p>
              </w:tc>
              <w:tc>
                <w:tcPr>
                  <w:tcW w:w="154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val="0"/>
                      <w:bCs/>
                      <w:color w:val="auto"/>
                      <w:sz w:val="21"/>
                      <w:szCs w:val="21"/>
                      <w:highlight w:val="none"/>
                    </w:rPr>
                    <w:t>160</w:t>
                  </w:r>
                </w:p>
              </w:tc>
              <w:tc>
                <w:tcPr>
                  <w:tcW w:w="1158"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85.0</w:t>
                  </w:r>
                </w:p>
              </w:tc>
              <w:tc>
                <w:tcPr>
                  <w:tcW w:w="1069" w:type="dxa"/>
                  <w:tcBorders>
                    <w:top w:val="single" w:color="auto" w:sz="6" w:space="0"/>
                    <w:left w:val="single" w:color="auto" w:sz="6" w:space="0"/>
                    <w:bottom w:val="single" w:color="auto" w:sz="12"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color w:val="auto"/>
                      <w:szCs w:val="21"/>
                      <w:highlight w:val="none"/>
                      <w:lang w:eastAsia="zh-CN"/>
                    </w:rPr>
                    <w:t>达</w:t>
                  </w:r>
                  <w:r>
                    <w:rPr>
                      <w:rFonts w:hint="default" w:ascii="Times New Roman" w:hAnsi="Times New Roman" w:eastAsia="宋体" w:cs="Times New Roman"/>
                      <w:color w:val="auto"/>
                      <w:szCs w:val="21"/>
                      <w:highlight w:val="none"/>
                    </w:rPr>
                    <w:t>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根据《2024年宁夏生态环境质量状况》</w:t>
            </w:r>
            <w:r>
              <w:rPr>
                <w:rFonts w:hint="eastAsia" w:eastAsia="仿宋_GB2312" w:cs="Times New Roman"/>
                <w:color w:val="auto"/>
                <w:kern w:val="16"/>
                <w:sz w:val="24"/>
                <w:szCs w:val="24"/>
                <w:highlight w:val="none"/>
                <w:lang w:val="en-US" w:eastAsia="zh-CN" w:bidi="ar-SA"/>
              </w:rPr>
              <w:t>固原</w:t>
            </w:r>
            <w:r>
              <w:rPr>
                <w:rFonts w:hint="default" w:ascii="Times New Roman" w:hAnsi="Times New Roman" w:eastAsia="仿宋_GB2312" w:cs="Times New Roman"/>
                <w:color w:val="auto"/>
                <w:kern w:val="16"/>
                <w:sz w:val="24"/>
                <w:szCs w:val="24"/>
                <w:highlight w:val="none"/>
                <w:lang w:val="en-US" w:eastAsia="zh-CN" w:bidi="ar-SA"/>
              </w:rPr>
              <w:t>市环境空气质量数据可以看出PM</w:t>
            </w:r>
            <w:r>
              <w:rPr>
                <w:rFonts w:hint="default" w:ascii="Times New Roman" w:hAnsi="Times New Roman" w:eastAsia="仿宋_GB2312" w:cs="Times New Roman"/>
                <w:color w:val="auto"/>
                <w:kern w:val="16"/>
                <w:sz w:val="24"/>
                <w:szCs w:val="24"/>
                <w:highlight w:val="none"/>
                <w:vertAlign w:val="subscript"/>
                <w:lang w:val="en-US" w:eastAsia="zh-CN" w:bidi="ar-SA"/>
              </w:rPr>
              <w:t>10</w:t>
            </w:r>
            <w:r>
              <w:rPr>
                <w:rFonts w:hint="default" w:ascii="Times New Roman" w:hAnsi="Times New Roman" w:eastAsia="仿宋_GB2312" w:cs="Times New Roman"/>
                <w:color w:val="auto"/>
                <w:kern w:val="16"/>
                <w:sz w:val="24"/>
                <w:szCs w:val="24"/>
                <w:highlight w:val="none"/>
                <w:lang w:val="en-US" w:eastAsia="zh-CN" w:bidi="ar-SA"/>
              </w:rPr>
              <w:t>、PM</w:t>
            </w:r>
            <w:r>
              <w:rPr>
                <w:rFonts w:hint="eastAsia" w:eastAsia="仿宋_GB2312" w:cs="Times New Roman"/>
                <w:color w:val="auto"/>
                <w:kern w:val="16"/>
                <w:sz w:val="24"/>
                <w:szCs w:val="24"/>
                <w:highlight w:val="none"/>
                <w:vertAlign w:val="subscript"/>
                <w:lang w:val="en-US" w:eastAsia="zh-CN" w:bidi="ar-SA"/>
              </w:rPr>
              <w:t>2.5</w:t>
            </w:r>
            <w:r>
              <w:rPr>
                <w:rFonts w:hint="default" w:ascii="Times New Roman" w:hAnsi="Times New Roman" w:eastAsia="仿宋_GB2312" w:cs="Times New Roman"/>
                <w:color w:val="auto"/>
                <w:kern w:val="16"/>
                <w:sz w:val="24"/>
                <w:szCs w:val="24"/>
                <w:highlight w:val="none"/>
                <w:lang w:val="en-US" w:eastAsia="zh-CN" w:bidi="ar-SA"/>
              </w:rPr>
              <w:t>、SO</w:t>
            </w:r>
            <w:r>
              <w:rPr>
                <w:rFonts w:hint="default" w:ascii="Times New Roman" w:hAnsi="Times New Roman" w:eastAsia="仿宋_GB2312" w:cs="Times New Roman"/>
                <w:color w:val="auto"/>
                <w:kern w:val="16"/>
                <w:sz w:val="24"/>
                <w:szCs w:val="24"/>
                <w:highlight w:val="none"/>
                <w:vertAlign w:val="subscript"/>
                <w:lang w:val="en-US" w:eastAsia="zh-CN" w:bidi="ar-SA"/>
              </w:rPr>
              <w:t>2</w:t>
            </w:r>
            <w:r>
              <w:rPr>
                <w:rFonts w:hint="default" w:ascii="Times New Roman" w:hAnsi="Times New Roman" w:eastAsia="仿宋_GB2312" w:cs="Times New Roman"/>
                <w:color w:val="auto"/>
                <w:kern w:val="16"/>
                <w:sz w:val="24"/>
                <w:szCs w:val="24"/>
                <w:highlight w:val="none"/>
                <w:lang w:val="en-US" w:eastAsia="zh-CN" w:bidi="ar-SA"/>
              </w:rPr>
              <w:t>、NO</w:t>
            </w:r>
            <w:r>
              <w:rPr>
                <w:rFonts w:hint="default" w:ascii="Times New Roman" w:hAnsi="Times New Roman" w:eastAsia="仿宋_GB2312" w:cs="Times New Roman"/>
                <w:color w:val="auto"/>
                <w:kern w:val="16"/>
                <w:sz w:val="24"/>
                <w:szCs w:val="24"/>
                <w:highlight w:val="none"/>
                <w:vertAlign w:val="subscript"/>
                <w:lang w:val="en-US" w:eastAsia="zh-CN" w:bidi="ar-SA"/>
              </w:rPr>
              <w:t>2</w:t>
            </w:r>
            <w:r>
              <w:rPr>
                <w:rFonts w:hint="default" w:ascii="Times New Roman" w:hAnsi="Times New Roman" w:eastAsia="仿宋_GB2312" w:cs="Times New Roman"/>
                <w:color w:val="auto"/>
                <w:kern w:val="16"/>
                <w:sz w:val="24"/>
                <w:szCs w:val="24"/>
                <w:highlight w:val="none"/>
                <w:lang w:val="en-US" w:eastAsia="zh-CN" w:bidi="ar-SA"/>
              </w:rPr>
              <w:t>年平均质量浓度、CO 24h平均第95百分位数浓度以及O</w:t>
            </w:r>
            <w:r>
              <w:rPr>
                <w:rFonts w:hint="default" w:ascii="Times New Roman" w:hAnsi="Times New Roman" w:eastAsia="仿宋_GB2312" w:cs="Times New Roman"/>
                <w:color w:val="auto"/>
                <w:kern w:val="16"/>
                <w:sz w:val="24"/>
                <w:szCs w:val="24"/>
                <w:highlight w:val="none"/>
                <w:vertAlign w:val="subscript"/>
                <w:lang w:val="en-US" w:eastAsia="zh-CN" w:bidi="ar-SA"/>
              </w:rPr>
              <w:t>3</w:t>
            </w:r>
            <w:r>
              <w:rPr>
                <w:rFonts w:hint="default" w:ascii="Times New Roman" w:hAnsi="Times New Roman" w:eastAsia="仿宋_GB2312" w:cs="Times New Roman"/>
                <w:color w:val="auto"/>
                <w:kern w:val="16"/>
                <w:sz w:val="24"/>
                <w:szCs w:val="24"/>
                <w:highlight w:val="none"/>
                <w:lang w:val="en-US" w:eastAsia="zh-CN" w:bidi="ar-SA"/>
              </w:rPr>
              <w:t>的8h平均百分位数浓度均满足《环境空气质量标准》(GB3095-20</w:t>
            </w:r>
            <w:r>
              <w:rPr>
                <w:rFonts w:hint="eastAsia" w:eastAsia="仿宋_GB2312" w:cs="Times New Roman"/>
                <w:color w:val="auto"/>
                <w:kern w:val="16"/>
                <w:sz w:val="24"/>
                <w:szCs w:val="24"/>
                <w:highlight w:val="none"/>
                <w:lang w:val="en-US" w:eastAsia="zh-CN" w:bidi="ar-SA"/>
              </w:rPr>
              <w:t>12</w:t>
            </w:r>
            <w:r>
              <w:rPr>
                <w:rFonts w:hint="default" w:ascii="Times New Roman" w:hAnsi="Times New Roman" w:eastAsia="仿宋_GB2312" w:cs="Times New Roman"/>
                <w:color w:val="auto"/>
                <w:kern w:val="16"/>
                <w:sz w:val="24"/>
                <w:szCs w:val="24"/>
                <w:highlight w:val="none"/>
                <w:lang w:val="en-US" w:eastAsia="zh-CN" w:bidi="ar-SA"/>
              </w:rPr>
              <w:t>)中二级浓度限值。因此，</w:t>
            </w:r>
            <w:r>
              <w:rPr>
                <w:rFonts w:hint="eastAsia" w:eastAsia="仿宋_GB2312" w:cs="Times New Roman"/>
                <w:color w:val="auto"/>
                <w:kern w:val="16"/>
                <w:sz w:val="24"/>
                <w:szCs w:val="24"/>
                <w:highlight w:val="none"/>
                <w:lang w:val="en-US" w:eastAsia="zh-CN" w:bidi="ar-SA"/>
              </w:rPr>
              <w:t>固原</w:t>
            </w:r>
            <w:r>
              <w:rPr>
                <w:rFonts w:hint="default" w:ascii="Times New Roman" w:hAnsi="Times New Roman" w:eastAsia="仿宋_GB2312" w:cs="Times New Roman"/>
                <w:color w:val="auto"/>
                <w:kern w:val="16"/>
                <w:sz w:val="24"/>
                <w:szCs w:val="24"/>
                <w:highlight w:val="none"/>
                <w:lang w:val="en-US" w:eastAsia="zh-CN" w:bidi="ar-SA"/>
              </w:rPr>
              <w:t>市环境空气质量属于达标区。</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sq-AL" w:eastAsia="zh-CN" w:bidi="ar-SA"/>
              </w:rPr>
              <w:t>⑵</w:t>
            </w:r>
            <w:r>
              <w:rPr>
                <w:rFonts w:hint="eastAsia" w:cs="Times New Roman"/>
                <w:color w:val="auto"/>
                <w:kern w:val="16"/>
                <w:sz w:val="24"/>
                <w:szCs w:val="24"/>
                <w:highlight w:val="none"/>
                <w:lang w:val="en-US" w:eastAsia="zh-CN" w:bidi="ar-SA"/>
              </w:rPr>
              <w:t>特征污染物</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sq-AL" w:eastAsia="zh-CN" w:bidi="ar-SA"/>
              </w:rPr>
            </w:pPr>
            <w:r>
              <w:rPr>
                <w:rFonts w:hint="default"/>
                <w:color w:val="auto"/>
                <w:highlight w:val="none"/>
                <w:lang w:val="sq-AL"/>
              </w:rPr>
              <w:t>根据《建设项目环境影响报告表编制技术指南(污染影响类)(试行)》可知“排放国家、地方环境空气质量标准中有标准限值要求的特征污染物时，引用建设项目周边5千米范围内近3年的现有监测数据，无相关数据的选择当季主导风向下风向1个点位补充不少于3天的监测数据。”</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sq-AL" w:eastAsia="zh-CN" w:bidi="ar-SA"/>
              </w:rPr>
              <w:t>本项目特征污染物TSP引用彭阳县</w:t>
            </w:r>
            <w:r>
              <w:rPr>
                <w:rFonts w:hint="eastAsia" w:cs="Times New Roman"/>
                <w:color w:val="auto"/>
                <w:kern w:val="16"/>
                <w:sz w:val="24"/>
                <w:szCs w:val="24"/>
                <w:highlight w:val="none"/>
                <w:lang w:val="en-US" w:eastAsia="zh-CN" w:bidi="ar-SA"/>
              </w:rPr>
              <w:t>城区集中供热四号供热站（西热源厂）项目（1X58MW）（重新报批）</w:t>
            </w:r>
            <w:r>
              <w:rPr>
                <w:rFonts w:hint="default" w:ascii="Times New Roman" w:hAnsi="Times New Roman" w:eastAsia="仿宋_GB2312" w:cs="Times New Roman"/>
                <w:color w:val="auto"/>
                <w:kern w:val="16"/>
                <w:sz w:val="24"/>
                <w:szCs w:val="24"/>
                <w:highlight w:val="none"/>
                <w:lang w:val="sq-AL" w:eastAsia="zh-CN" w:bidi="ar-SA"/>
              </w:rPr>
              <w:t>中的监测数据，由宁夏</w:t>
            </w:r>
            <w:r>
              <w:rPr>
                <w:rFonts w:hint="eastAsia" w:cs="Times New Roman"/>
                <w:color w:val="auto"/>
                <w:kern w:val="16"/>
                <w:sz w:val="24"/>
                <w:szCs w:val="24"/>
                <w:highlight w:val="none"/>
                <w:lang w:val="en-US" w:eastAsia="zh-CN" w:bidi="ar-SA"/>
              </w:rPr>
              <w:t>环境科学研究院（有限责任公司）检测中心</w:t>
            </w:r>
            <w:r>
              <w:rPr>
                <w:rFonts w:hint="default" w:ascii="Times New Roman" w:hAnsi="Times New Roman" w:eastAsia="仿宋_GB2312" w:cs="Times New Roman"/>
                <w:color w:val="auto"/>
                <w:kern w:val="16"/>
                <w:sz w:val="24"/>
                <w:szCs w:val="24"/>
                <w:highlight w:val="none"/>
                <w:lang w:val="sq-AL" w:eastAsia="zh-CN" w:bidi="ar-SA"/>
              </w:rPr>
              <w:t>于202</w:t>
            </w:r>
            <w:r>
              <w:rPr>
                <w:rFonts w:hint="eastAsia" w:cs="Times New Roman"/>
                <w:color w:val="auto"/>
                <w:kern w:val="16"/>
                <w:sz w:val="24"/>
                <w:szCs w:val="24"/>
                <w:highlight w:val="none"/>
                <w:lang w:val="en-US" w:eastAsia="zh-CN" w:bidi="ar-SA"/>
              </w:rPr>
              <w:t>3</w:t>
            </w:r>
            <w:r>
              <w:rPr>
                <w:rFonts w:hint="default" w:ascii="Times New Roman" w:hAnsi="Times New Roman" w:eastAsia="仿宋_GB2312" w:cs="Times New Roman"/>
                <w:color w:val="auto"/>
                <w:kern w:val="16"/>
                <w:sz w:val="24"/>
                <w:szCs w:val="24"/>
                <w:highlight w:val="none"/>
                <w:lang w:val="sq-AL" w:eastAsia="zh-CN" w:bidi="ar-SA"/>
              </w:rPr>
              <w:t>年</w:t>
            </w:r>
            <w:r>
              <w:rPr>
                <w:rFonts w:hint="eastAsia" w:cs="Times New Roman"/>
                <w:color w:val="auto"/>
                <w:kern w:val="16"/>
                <w:sz w:val="24"/>
                <w:szCs w:val="24"/>
                <w:highlight w:val="none"/>
                <w:lang w:val="en-US" w:eastAsia="zh-CN" w:bidi="ar-SA"/>
              </w:rPr>
              <w:t>12</w:t>
            </w:r>
            <w:r>
              <w:rPr>
                <w:rFonts w:hint="default" w:ascii="Times New Roman" w:hAnsi="Times New Roman" w:eastAsia="仿宋_GB2312" w:cs="Times New Roman"/>
                <w:color w:val="auto"/>
                <w:kern w:val="16"/>
                <w:sz w:val="24"/>
                <w:szCs w:val="24"/>
                <w:highlight w:val="none"/>
                <w:lang w:val="sq-AL" w:eastAsia="zh-CN" w:bidi="ar-SA"/>
              </w:rPr>
              <w:t>月2</w:t>
            </w:r>
            <w:r>
              <w:rPr>
                <w:rFonts w:hint="eastAsia" w:cs="Times New Roman"/>
                <w:color w:val="auto"/>
                <w:kern w:val="16"/>
                <w:sz w:val="24"/>
                <w:szCs w:val="24"/>
                <w:highlight w:val="none"/>
                <w:lang w:val="en-US" w:eastAsia="zh-CN" w:bidi="ar-SA"/>
              </w:rPr>
              <w:t>5</w:t>
            </w:r>
            <w:r>
              <w:rPr>
                <w:rFonts w:hint="default" w:ascii="Times New Roman" w:hAnsi="Times New Roman" w:eastAsia="仿宋_GB2312" w:cs="Times New Roman"/>
                <w:color w:val="auto"/>
                <w:kern w:val="16"/>
                <w:sz w:val="24"/>
                <w:szCs w:val="24"/>
                <w:highlight w:val="none"/>
                <w:lang w:val="sq-AL" w:eastAsia="zh-CN" w:bidi="ar-SA"/>
              </w:rPr>
              <w:t>日~</w:t>
            </w:r>
            <w:r>
              <w:rPr>
                <w:rFonts w:hint="eastAsia" w:cs="Times New Roman"/>
                <w:color w:val="auto"/>
                <w:kern w:val="16"/>
                <w:sz w:val="24"/>
                <w:szCs w:val="24"/>
                <w:highlight w:val="none"/>
                <w:lang w:val="en-US" w:eastAsia="zh-CN" w:bidi="ar-SA"/>
              </w:rPr>
              <w:t>2024年1</w:t>
            </w:r>
            <w:r>
              <w:rPr>
                <w:rFonts w:hint="default" w:ascii="Times New Roman" w:hAnsi="Times New Roman" w:eastAsia="仿宋_GB2312" w:cs="Times New Roman"/>
                <w:color w:val="auto"/>
                <w:kern w:val="16"/>
                <w:sz w:val="24"/>
                <w:szCs w:val="24"/>
                <w:highlight w:val="none"/>
                <w:lang w:val="sq-AL" w:eastAsia="zh-CN" w:bidi="ar-SA"/>
              </w:rPr>
              <w:t>月</w:t>
            </w:r>
            <w:r>
              <w:rPr>
                <w:rFonts w:hint="eastAsia" w:cs="Times New Roman"/>
                <w:color w:val="auto"/>
                <w:kern w:val="16"/>
                <w:sz w:val="24"/>
                <w:szCs w:val="24"/>
                <w:highlight w:val="none"/>
                <w:lang w:val="en-US" w:eastAsia="zh-CN" w:bidi="ar-SA"/>
              </w:rPr>
              <w:t>5</w:t>
            </w:r>
            <w:r>
              <w:rPr>
                <w:rFonts w:hint="default" w:ascii="Times New Roman" w:hAnsi="Times New Roman" w:eastAsia="仿宋_GB2312" w:cs="Times New Roman"/>
                <w:color w:val="auto"/>
                <w:kern w:val="16"/>
                <w:sz w:val="24"/>
                <w:szCs w:val="24"/>
                <w:highlight w:val="none"/>
                <w:lang w:val="sq-AL" w:eastAsia="zh-CN" w:bidi="ar-SA"/>
              </w:rPr>
              <w:t>日现场监测。彭阳县</w:t>
            </w:r>
            <w:r>
              <w:rPr>
                <w:rFonts w:hint="eastAsia" w:cs="Times New Roman"/>
                <w:color w:val="auto"/>
                <w:kern w:val="16"/>
                <w:sz w:val="24"/>
                <w:szCs w:val="24"/>
                <w:highlight w:val="none"/>
                <w:lang w:val="en-US" w:eastAsia="zh-CN" w:bidi="ar-SA"/>
              </w:rPr>
              <w:t>城区集中供热四号供热站（西热源厂）中的监测点位位于本项目厂区东北侧2.8km处，处于本项目5km范围内；监测时间为2023.12.25~2023.12.31，时间在近三年以内。因此，</w:t>
            </w:r>
            <w:r>
              <w:rPr>
                <w:rFonts w:hint="eastAsia"/>
                <w:color w:val="auto"/>
                <w:highlight w:val="none"/>
              </w:rPr>
              <w:t>符合《建设项目环境影响报告表编制技术指南</w:t>
            </w:r>
            <w:r>
              <w:rPr>
                <w:rFonts w:hint="eastAsia"/>
                <w:color w:val="auto"/>
                <w:highlight w:val="none"/>
                <w:lang w:eastAsia="zh-CN"/>
              </w:rPr>
              <w:t>（</w:t>
            </w:r>
            <w:r>
              <w:rPr>
                <w:rFonts w:hint="eastAsia"/>
                <w:color w:val="auto"/>
                <w:highlight w:val="none"/>
              </w:rPr>
              <w:t>污染影响类</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》要求，引用该项目TSP现状数据可行。</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①</w:t>
            </w:r>
            <w:r>
              <w:rPr>
                <w:rFonts w:hint="eastAsia" w:cs="Times New Roman"/>
                <w:color w:val="auto"/>
                <w:kern w:val="16"/>
                <w:sz w:val="24"/>
                <w:szCs w:val="24"/>
                <w:highlight w:val="none"/>
                <w:lang w:val="en-US" w:eastAsia="zh-CN" w:bidi="ar-SA"/>
              </w:rPr>
              <w:t>监测点位布置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本次评价引用环境空气质量现状监测点具体见表3-2。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表3-2</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监测点位基本信息表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29"/>
              <w:gridCol w:w="1434"/>
              <w:gridCol w:w="1435"/>
              <w:gridCol w:w="932"/>
              <w:gridCol w:w="932"/>
              <w:gridCol w:w="14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44"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监测点位名称</w:t>
                  </w:r>
                </w:p>
              </w:tc>
              <w:tc>
                <w:tcPr>
                  <w:tcW w:w="829"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点位编号</w:t>
                  </w:r>
                </w:p>
              </w:tc>
              <w:tc>
                <w:tcPr>
                  <w:tcW w:w="2869" w:type="dxa"/>
                  <w:gridSpan w:val="2"/>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坐标</w:t>
                  </w:r>
                </w:p>
              </w:tc>
              <w:tc>
                <w:tcPr>
                  <w:tcW w:w="932"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监测因子</w:t>
                  </w:r>
                </w:p>
              </w:tc>
              <w:tc>
                <w:tcPr>
                  <w:tcW w:w="932"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相对本项目厂址方位</w:t>
                  </w:r>
                </w:p>
              </w:tc>
              <w:tc>
                <w:tcPr>
                  <w:tcW w:w="1483"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相对本项目厂界距离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829"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3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经度</w:t>
                  </w:r>
                </w:p>
              </w:tc>
              <w:tc>
                <w:tcPr>
                  <w:tcW w:w="1435"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纬度</w:t>
                  </w:r>
                </w:p>
              </w:tc>
              <w:tc>
                <w:tcPr>
                  <w:tcW w:w="932"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932"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83"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4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彭阳县城区集中供热四号供热站（西热源厂）</w:t>
                  </w:r>
                </w:p>
              </w:tc>
              <w:tc>
                <w:tcPr>
                  <w:tcW w:w="829"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w:t>
                  </w:r>
                </w:p>
              </w:tc>
              <w:tc>
                <w:tcPr>
                  <w:tcW w:w="143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106</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38</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3.65</w:t>
                  </w:r>
                  <w:r>
                    <w:rPr>
                      <w:rFonts w:hint="default" w:ascii="Times New Roman" w:hAnsi="Times New Roman" w:eastAsia="仿宋_GB2312" w:cs="Times New Roman"/>
                      <w:b w:val="0"/>
                      <w:bCs w:val="0"/>
                      <w:color w:val="auto"/>
                      <w:kern w:val="2"/>
                      <w:sz w:val="24"/>
                      <w:szCs w:val="24"/>
                      <w:highlight w:val="none"/>
                      <w:lang w:val="en-US" w:eastAsia="zh-CN" w:bidi="ar-SA"/>
                    </w:rPr>
                    <w:t>"</w:t>
                  </w:r>
                </w:p>
              </w:tc>
              <w:tc>
                <w:tcPr>
                  <w:tcW w:w="1435"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35</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51</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6.84</w:t>
                  </w:r>
                  <w:r>
                    <w:rPr>
                      <w:rFonts w:hint="default" w:ascii="Times New Roman" w:hAnsi="Times New Roman" w:eastAsia="仿宋_GB2312" w:cs="Times New Roman"/>
                      <w:b w:val="0"/>
                      <w:bCs w:val="0"/>
                      <w:color w:val="auto"/>
                      <w:kern w:val="2"/>
                      <w:sz w:val="24"/>
                      <w:szCs w:val="24"/>
                      <w:highlight w:val="none"/>
                      <w:lang w:val="en-US" w:eastAsia="zh-CN" w:bidi="ar-SA"/>
                    </w:rPr>
                    <w:t>"</w:t>
                  </w:r>
                </w:p>
              </w:tc>
              <w:tc>
                <w:tcPr>
                  <w:tcW w:w="932"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TSP</w:t>
                  </w:r>
                </w:p>
              </w:tc>
              <w:tc>
                <w:tcPr>
                  <w:tcW w:w="932"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东北</w:t>
                  </w:r>
                </w:p>
              </w:tc>
              <w:tc>
                <w:tcPr>
                  <w:tcW w:w="1483"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r>
                    <w:rPr>
                      <w:rFonts w:hint="eastAsia" w:cs="Times New Roman"/>
                      <w:color w:val="000000" w:themeColor="text1"/>
                      <w:kern w:val="2"/>
                      <w:sz w:val="21"/>
                      <w:szCs w:val="21"/>
                      <w:lang w:val="en-US" w:eastAsia="zh-CN" w:bidi="ar-SA"/>
                      <w14:textFill>
                        <w14:solidFill>
                          <w14:schemeClr w14:val="tx1"/>
                        </w14:solidFill>
                      </w14:textFill>
                    </w:rPr>
                    <w:t>km</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②</w:t>
            </w:r>
            <w:r>
              <w:rPr>
                <w:rFonts w:hint="eastAsia" w:cs="Times New Roman"/>
                <w:color w:val="auto"/>
                <w:kern w:val="16"/>
                <w:sz w:val="24"/>
                <w:szCs w:val="24"/>
                <w:highlight w:val="none"/>
                <w:lang w:val="en-US" w:eastAsia="zh-CN" w:bidi="ar-SA"/>
              </w:rPr>
              <w:t>监测时间</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default" w:cs="Times New Roman"/>
                <w:color w:val="auto"/>
                <w:kern w:val="16"/>
                <w:sz w:val="24"/>
                <w:szCs w:val="24"/>
                <w:highlight w:val="none"/>
                <w:lang w:val="en-US" w:eastAsia="zh-CN" w:bidi="ar-SA"/>
              </w:rPr>
            </w:pPr>
            <w:r>
              <w:rPr>
                <w:rFonts w:hint="eastAsia" w:cs="Times New Roman"/>
                <w:color w:val="auto"/>
                <w:kern w:val="16"/>
                <w:sz w:val="24"/>
                <w:szCs w:val="24"/>
                <w:highlight w:val="none"/>
                <w:lang w:val="en-US" w:eastAsia="zh-CN" w:bidi="ar-SA"/>
              </w:rPr>
              <w:t>2023年12月25日~2023年12月31日，</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连续监测</w:t>
            </w:r>
            <w:r>
              <w:rPr>
                <w:rFonts w:hint="eastAsia" w:cs="Times New Roman"/>
                <w:color w:val="auto"/>
                <w:kern w:val="16"/>
                <w:sz w:val="24"/>
                <w:szCs w:val="24"/>
                <w:highlight w:val="none"/>
                <w:lang w:val="en-US" w:eastAsia="zh-CN" w:bidi="ar-SA"/>
              </w:rPr>
              <w:t>7天。</w:t>
            </w:r>
          </w:p>
          <w:p>
            <w:pPr>
              <w:pStyle w:val="64"/>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③</w:t>
            </w:r>
            <w:r>
              <w:rPr>
                <w:rFonts w:hint="eastAsia" w:cs="Times New Roman"/>
                <w:b w:val="0"/>
                <w:bCs w:val="0"/>
                <w:color w:val="auto"/>
                <w:kern w:val="16"/>
                <w:sz w:val="24"/>
                <w:szCs w:val="24"/>
                <w:highlight w:val="none"/>
                <w:lang w:val="en-US" w:eastAsia="zh-CN" w:bidi="ar-SA"/>
              </w:rPr>
              <w:t>监测结果</w:t>
            </w:r>
          </w:p>
          <w:p>
            <w:pPr>
              <w:keepNext w:val="0"/>
              <w:keepLines w:val="0"/>
              <w:suppressLineNumbers w:val="0"/>
              <w:overflowPunct/>
              <w:spacing w:before="0" w:beforeAutospacing="0" w:after="0" w:afterAutospacing="0" w:line="360" w:lineRule="auto"/>
              <w:ind w:left="0" w:right="0" w:firstLine="480" w:firstLineChars="200"/>
              <w:rPr>
                <w:rFonts w:hint="default" w:cs="Times New Roman"/>
                <w:b w:val="0"/>
                <w:bCs w:val="0"/>
                <w:color w:val="auto"/>
                <w:kern w:val="16"/>
                <w:sz w:val="24"/>
                <w:szCs w:val="24"/>
                <w:highlight w:val="none"/>
                <w:lang w:val="en-US" w:eastAsia="zh-CN" w:bidi="ar-SA"/>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监测结果见表3-</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w:t>
            </w:r>
          </w:p>
          <w:p>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cs="Times New Roman"/>
                <w:b w:val="0"/>
                <w:bCs w:val="0"/>
                <w:color w:val="auto"/>
                <w:kern w:val="2"/>
                <w:sz w:val="21"/>
                <w:szCs w:val="21"/>
                <w:highlight w:val="none"/>
                <w:lang w:val="en-US" w:eastAsia="zh-CN" w:bidi="ar"/>
              </w:rPr>
              <w:t>3</w:t>
            </w:r>
            <w:r>
              <w:rPr>
                <w:rFonts w:eastAsia="黑体" w:cs="Times New Roman"/>
                <w:color w:val="000000"/>
                <w:sz w:val="24"/>
                <w:szCs w:val="24"/>
                <w:lang w:bidi="ar"/>
              </w:rPr>
              <w:t xml:space="preserve">  </w:t>
            </w:r>
            <w:r>
              <w:rPr>
                <w:rFonts w:hint="eastAsia" w:eastAsia="黑体" w:cs="Times New Roman"/>
                <w:color w:val="000000"/>
                <w:sz w:val="24"/>
                <w:szCs w:val="24"/>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环境空气检测结果汇总表</w:t>
            </w:r>
            <w:r>
              <w:rPr>
                <w:rFonts w:hint="eastAsia" w:ascii="Times New Roman" w:hAnsi="Times New Roman" w:eastAsia="宋体" w:cs="Times New Roman"/>
                <w:b/>
                <w:bCs/>
                <w:color w:val="auto"/>
                <w:kern w:val="2"/>
                <w:sz w:val="24"/>
                <w:szCs w:val="22"/>
                <w:highlight w:val="none"/>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单位：μg/m</w:t>
            </w:r>
            <w:r>
              <w:rPr>
                <w:rFonts w:hint="default" w:ascii="Times New Roman" w:hAnsi="Times New Roman" w:eastAsia="宋体" w:cs="Times New Roman"/>
                <w:b/>
                <w:bCs/>
                <w:color w:val="auto"/>
                <w:kern w:val="2"/>
                <w:sz w:val="24"/>
                <w:szCs w:val="22"/>
                <w:highlight w:val="none"/>
                <w:vertAlign w:val="superscript"/>
                <w:lang w:val="en-US" w:eastAsia="zh-CN" w:bidi="ar"/>
              </w:rPr>
              <w:t>3</w:t>
            </w:r>
          </w:p>
          <w:tbl>
            <w:tblPr>
              <w:tblStyle w:val="3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78"/>
              <w:gridCol w:w="2158"/>
              <w:gridCol w:w="1781"/>
              <w:gridCol w:w="1072"/>
              <w:gridCol w:w="1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监测项目</w:t>
                  </w:r>
                </w:p>
              </w:tc>
              <w:tc>
                <w:tcPr>
                  <w:tcW w:w="117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监测</w:t>
                  </w:r>
                  <w:r>
                    <w:rPr>
                      <w:rFonts w:hint="default" w:cs="Times New Roman" w:eastAsiaTheme="minorEastAsia"/>
                      <w:b/>
                      <w:bCs/>
                      <w:sz w:val="21"/>
                      <w:szCs w:val="21"/>
                    </w:rPr>
                    <w:t>点位</w:t>
                  </w: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监测</w:t>
                  </w:r>
                  <w:r>
                    <w:rPr>
                      <w:rFonts w:hint="default" w:cs="Times New Roman" w:eastAsiaTheme="minorEastAsia"/>
                      <w:b/>
                      <w:bCs/>
                      <w:sz w:val="21"/>
                      <w:szCs w:val="21"/>
                    </w:rPr>
                    <w:t>时间</w:t>
                  </w:r>
                </w:p>
              </w:tc>
              <w:tc>
                <w:tcPr>
                  <w:tcW w:w="1781"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监测结果</w:t>
                  </w:r>
                </w:p>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w:t>
                  </w:r>
                  <w:r>
                    <w:rPr>
                      <w:rFonts w:hint="eastAsia" w:cs="Times New Roman" w:eastAsiaTheme="minorEastAsia"/>
                      <w:b/>
                      <w:bCs/>
                      <w:sz w:val="21"/>
                      <w:szCs w:val="21"/>
                      <w:lang w:val="en-US" w:eastAsia="zh-CN"/>
                    </w:rPr>
                    <w:t>日</w:t>
                  </w:r>
                  <w:r>
                    <w:rPr>
                      <w:rFonts w:hint="default" w:cs="Times New Roman" w:eastAsiaTheme="minorEastAsia"/>
                      <w:b/>
                      <w:bCs/>
                      <w:sz w:val="21"/>
                      <w:szCs w:val="21"/>
                    </w:rPr>
                    <w:t>均</w:t>
                  </w:r>
                  <w:r>
                    <w:rPr>
                      <w:rFonts w:hint="eastAsia" w:cs="Times New Roman" w:eastAsiaTheme="minorEastAsia"/>
                      <w:b/>
                      <w:bCs/>
                      <w:sz w:val="21"/>
                      <w:szCs w:val="21"/>
                      <w:lang w:val="en-US" w:eastAsia="zh-CN"/>
                    </w:rPr>
                    <w:t>值</w:t>
                  </w:r>
                  <w:r>
                    <w:rPr>
                      <w:rFonts w:hint="default" w:cs="Times New Roman" w:eastAsiaTheme="minorEastAsia"/>
                      <w:b/>
                      <w:bCs/>
                      <w:sz w:val="21"/>
                      <w:szCs w:val="21"/>
                    </w:rPr>
                    <w:t>）</w:t>
                  </w:r>
                </w:p>
              </w:tc>
              <w:tc>
                <w:tcPr>
                  <w:tcW w:w="1072"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标准限值</w:t>
                  </w: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TSP</w:t>
                  </w:r>
                </w:p>
              </w:tc>
              <w:tc>
                <w:tcPr>
                  <w:tcW w:w="1178"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eastAsia" w:cs="Times New Roman" w:eastAsiaTheme="minorEastAsia"/>
                      <w:b w:val="0"/>
                      <w:bCs w:val="0"/>
                      <w:sz w:val="21"/>
                      <w:szCs w:val="21"/>
                    </w:rPr>
                    <w:t>1</w:t>
                  </w:r>
                  <w:r>
                    <w:rPr>
                      <w:rFonts w:hint="default" w:cs="Times New Roman" w:eastAsiaTheme="minorEastAsia"/>
                      <w:b w:val="0"/>
                      <w:bCs w:val="0"/>
                      <w:sz w:val="21"/>
                      <w:szCs w:val="21"/>
                    </w:rPr>
                    <w:t>#</w:t>
                  </w: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2023.12.25</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160</w:t>
                  </w:r>
                </w:p>
              </w:tc>
              <w:tc>
                <w:tcPr>
                  <w:tcW w:w="1072"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300</w:t>
                  </w: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2023.12.26</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135</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2023.12.27</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126</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2023.12.28</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156</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2023.12.29</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122</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2023.12.30</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107</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2023.12.31</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131</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388" w:type="dxa"/>
                  <w:gridSpan w:val="6"/>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s="Times New Roman" w:eastAsiaTheme="minorEastAsia"/>
                      <w:szCs w:val="20"/>
                    </w:rPr>
                  </w:pPr>
                  <w:r>
                    <w:rPr>
                      <w:rFonts w:hint="default" w:cs="Times New Roman" w:eastAsiaTheme="minorEastAsia"/>
                      <w:color w:val="000000"/>
                      <w:szCs w:val="20"/>
                      <w:lang w:bidi="ar"/>
                    </w:rPr>
                    <w:t>备注：检测结果执行《环境空气质量标准》（GB3095-2012）及修改单表2中二级标准限值。</w:t>
                  </w:r>
                </w:p>
              </w:tc>
            </w:tr>
          </w:tbl>
          <w:p>
            <w:pPr>
              <w:keepNext w:val="0"/>
              <w:keepLines w:val="0"/>
              <w:numPr>
                <w:ilvl w:val="0"/>
                <w:numId w:val="0"/>
              </w:numPr>
              <w:suppressLineNumbers w:val="0"/>
              <w:spacing w:before="157" w:beforeLines="50" w:beforeAutospacing="0" w:after="0" w:afterAutospacing="0" w:line="360" w:lineRule="auto"/>
              <w:ind w:left="0" w:right="0" w:firstLine="480" w:firstLineChars="200"/>
              <w:textAlignment w:val="auto"/>
              <w:rPr>
                <w:szCs w:val="22"/>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由表3-</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可知，本项目所在区域TSP24h平均浓度满足《环境空气质量标准》（GB3095-20</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26</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）中二级标准要求。监测点位与本项目的位置关系见图3-1。</w:t>
            </w:r>
          </w:p>
          <w:p>
            <w:pPr>
              <w:keepNext w:val="0"/>
              <w:keepLines w:val="0"/>
              <w:suppressLineNumbers w:val="0"/>
              <w:spacing w:before="0" w:beforeAutospacing="0" w:after="0" w:afterAutospacing="0"/>
              <w:ind w:left="0" w:right="0"/>
              <w:rPr>
                <w:szCs w:val="22"/>
              </w:rPr>
            </w:pPr>
            <w:r>
              <w:rPr>
                <w:szCs w:val="22"/>
              </w:rPr>
              <w:drawing>
                <wp:anchor distT="0" distB="0" distL="114300" distR="114300" simplePos="0" relativeHeight="251661312" behindDoc="0" locked="0" layoutInCell="1" allowOverlap="1">
                  <wp:simplePos x="0" y="0"/>
                  <wp:positionH relativeFrom="column">
                    <wp:posOffset>-1905</wp:posOffset>
                  </wp:positionH>
                  <wp:positionV relativeFrom="paragraph">
                    <wp:posOffset>12700</wp:posOffset>
                  </wp:positionV>
                  <wp:extent cx="354965" cy="569595"/>
                  <wp:effectExtent l="0" t="0" r="6985" b="190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354965" cy="569595"/>
                          </a:xfrm>
                          <a:prstGeom prst="rect">
                            <a:avLst/>
                          </a:prstGeom>
                          <a:noFill/>
                          <a:ln>
                            <a:noFill/>
                          </a:ln>
                        </pic:spPr>
                      </pic:pic>
                    </a:graphicData>
                  </a:graphic>
                </wp:anchor>
              </w:drawing>
            </w:r>
            <w:r>
              <w:rPr>
                <w:szCs w:val="22"/>
              </w:rPr>
              <w:drawing>
                <wp:inline distT="0" distB="0" distL="114300" distR="114300">
                  <wp:extent cx="5346065" cy="3301365"/>
                  <wp:effectExtent l="0" t="0" r="698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a:off x="0" y="0"/>
                            <a:ext cx="5346065" cy="3301365"/>
                          </a:xfrm>
                          <a:prstGeom prst="rect">
                            <a:avLst/>
                          </a:prstGeom>
                          <a:noFill/>
                          <a:ln>
                            <a:noFill/>
                          </a:ln>
                        </pic:spPr>
                      </pic:pic>
                    </a:graphicData>
                  </a:graphic>
                </wp:inline>
              </w:drawing>
            </w:r>
            <w:r>
              <w:rPr>
                <w:szCs w:val="22"/>
              </w:rPr>
              <w:drawing>
                <wp:anchor distT="0" distB="0" distL="114300" distR="114300" simplePos="0" relativeHeight="251662336" behindDoc="0" locked="0" layoutInCell="1" allowOverlap="1">
                  <wp:simplePos x="0" y="0"/>
                  <wp:positionH relativeFrom="column">
                    <wp:posOffset>4711065</wp:posOffset>
                  </wp:positionH>
                  <wp:positionV relativeFrom="paragraph">
                    <wp:posOffset>2776220</wp:posOffset>
                  </wp:positionV>
                  <wp:extent cx="638175" cy="523875"/>
                  <wp:effectExtent l="0" t="0" r="9525" b="952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638175" cy="523875"/>
                          </a:xfrm>
                          <a:prstGeom prst="rect">
                            <a:avLst/>
                          </a:prstGeom>
                          <a:noFill/>
                          <a:ln>
                            <a:noFill/>
                          </a:ln>
                        </pic:spPr>
                      </pic:pic>
                    </a:graphicData>
                  </a:graphic>
                </wp:anchor>
              </w:drawing>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图</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1</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 xml:space="preserve">   </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引用</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监测点位与本项目位置关系图</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2.地表水环境</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default" w:ascii="Times New Roman" w:hAnsi="Times New Roman" w:eastAsia="仿宋_GB2312" w:cs="Times New Roman"/>
                <w:b w:val="0"/>
                <w:color w:val="FF0000"/>
                <w:kern w:val="16"/>
                <w:sz w:val="24"/>
                <w:szCs w:val="24"/>
                <w:highlight w:val="none"/>
                <w:lang w:val="en-US" w:eastAsia="zh-CN" w:bidi="ar-SA"/>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color w:val="auto"/>
                <w:kern w:val="16"/>
                <w:sz w:val="24"/>
                <w:szCs w:val="24"/>
                <w:highlight w:val="none"/>
                <w:lang w:val="en-US" w:eastAsia="zh-CN" w:bidi="ar-SA"/>
              </w:rPr>
              <w:t>本次评价区域内地表水体为茹河，位于本项目北侧约3000m处，根据《2024年宁夏生态环境质量状况》中2024年监测评价结论，</w:t>
            </w:r>
            <w:r>
              <w:rPr>
                <w:rFonts w:hint="eastAsia" w:eastAsia="仿宋_GB2312" w:cs="Times New Roman"/>
                <w:b w:val="0"/>
                <w:color w:val="auto"/>
                <w:kern w:val="16"/>
                <w:sz w:val="24"/>
                <w:szCs w:val="24"/>
                <w:highlight w:val="none"/>
                <w:lang w:val="en-US" w:eastAsia="zh-CN" w:bidi="ar-SA"/>
              </w:rPr>
              <w:t>茹河</w:t>
            </w:r>
            <w:r>
              <w:rPr>
                <w:rFonts w:hint="default" w:ascii="Times New Roman" w:hAnsi="Times New Roman" w:eastAsia="仿宋_GB2312" w:cs="Times New Roman"/>
                <w:b w:val="0"/>
                <w:color w:val="auto"/>
                <w:kern w:val="16"/>
                <w:sz w:val="24"/>
                <w:szCs w:val="24"/>
                <w:highlight w:val="none"/>
                <w:lang w:val="en-US" w:eastAsia="zh-CN" w:bidi="ar-SA"/>
              </w:rPr>
              <w:t>沟圈监测断面水质达到《地表水环境质量标准》（GB3838-2002）中的</w:t>
            </w:r>
            <w:r>
              <w:rPr>
                <w:rFonts w:hint="eastAsia" w:ascii="微软雅黑" w:hAnsi="微软雅黑" w:eastAsia="微软雅黑" w:cs="微软雅黑"/>
                <w:b w:val="0"/>
                <w:color w:val="auto"/>
                <w:kern w:val="16"/>
                <w:sz w:val="24"/>
                <w:szCs w:val="24"/>
                <w:highlight w:val="none"/>
                <w:lang w:val="en-US" w:eastAsia="zh-CN" w:bidi="ar-SA"/>
              </w:rPr>
              <w:t>Ⅲ</w:t>
            </w:r>
            <w:r>
              <w:rPr>
                <w:rFonts w:hint="default" w:ascii="Times New Roman" w:hAnsi="Times New Roman" w:eastAsia="仿宋_GB2312" w:cs="Times New Roman"/>
                <w:b w:val="0"/>
                <w:color w:val="auto"/>
                <w:kern w:val="16"/>
                <w:sz w:val="24"/>
                <w:szCs w:val="24"/>
                <w:highlight w:val="none"/>
                <w:lang w:val="en-US" w:eastAsia="zh-CN" w:bidi="ar-SA"/>
              </w:rPr>
              <w:t>类标准。</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color w:val="auto"/>
                <w:szCs w:val="22"/>
                <w:highlight w:val="none"/>
                <w:lang w:val="en-US" w:eastAsia="zh-CN"/>
              </w:rPr>
            </w:pPr>
            <w:r>
              <w:rPr>
                <w:rFonts w:hint="default" w:ascii="Times New Roman" w:hAnsi="Times New Roman" w:eastAsia="仿宋_GB2312" w:cs="Times New Roman"/>
                <w:color w:val="auto"/>
                <w:szCs w:val="22"/>
                <w:highlight w:val="none"/>
                <w:lang w:val="en-US" w:eastAsia="zh-CN"/>
              </w:rPr>
              <w:t>3.声环境</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48" w:lineRule="auto"/>
              <w:ind w:left="0" w:right="0"/>
              <w:jc w:val="both"/>
              <w:rPr>
                <w:rFonts w:hint="default" w:ascii="Times New Roman" w:hAnsi="Times New Roman" w:cs="Times New Roman"/>
                <w:color w:val="auto"/>
                <w:highlight w:val="none"/>
                <w:lang w:val="en-US" w:eastAsia="zh-CN"/>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auto"/>
                <w:highlight w:val="none"/>
                <w:lang w:val="en-US" w:eastAsia="zh-CN"/>
              </w:rPr>
              <w:t>本项目50m范围内没有声环境敏感保护目标，依照《建设项目环境影响报告表编制技术指南（污染影响类）（试行）》中相关要求“厂界外周边50米范围内存在声环境保护目标的建设项目，应监测保护目标声环境质量现状并评价达标情况”。因此，本次评价不对声环境质量现状进行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8" w:lineRule="auto"/>
              <w:ind w:left="0" w:right="0"/>
              <w:jc w:val="both"/>
              <w:textAlignment w:val="auto"/>
              <w:rPr>
                <w:rFonts w:hint="default" w:ascii="Times New Roman" w:hAnsi="Times New Roman" w:eastAsia="仿宋_GB2312" w:cs="Times New Roman"/>
                <w:b/>
                <w:bCs w:val="0"/>
                <w:color w:val="auto"/>
                <w:kern w:val="0"/>
                <w:sz w:val="24"/>
                <w:szCs w:val="24"/>
                <w:highlight w:val="none"/>
                <w:lang w:val="en-US" w:eastAsia="zh-CN"/>
              </w:rPr>
            </w:pPr>
            <w:r>
              <w:rPr>
                <w:rFonts w:hint="default" w:ascii="Times New Roman" w:hAnsi="Times New Roman" w:eastAsia="仿宋_GB2312" w:cs="Times New Roman"/>
                <w:b/>
                <w:bCs w:val="0"/>
                <w:color w:val="auto"/>
                <w:kern w:val="0"/>
                <w:sz w:val="24"/>
                <w:szCs w:val="24"/>
                <w:highlight w:val="none"/>
                <w:lang w:val="en-US" w:eastAsia="zh-CN"/>
              </w:rPr>
              <w:t>4</w:t>
            </w:r>
            <w:r>
              <w:rPr>
                <w:rFonts w:hint="default" w:ascii="Times New Roman" w:hAnsi="Times New Roman" w:eastAsia="仿宋_GB2312" w:cs="Times New Roman"/>
                <w:b/>
                <w:color w:val="auto"/>
                <w:kern w:val="2"/>
                <w:sz w:val="24"/>
                <w:szCs w:val="22"/>
                <w:highlight w:val="none"/>
                <w:lang w:val="en-US" w:eastAsia="zh-CN" w:bidi="ar-SA"/>
              </w:rPr>
              <w:t>.生态环境</w:t>
            </w:r>
          </w:p>
          <w:p>
            <w:pPr>
              <w:pStyle w:val="10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leftChars="0" w:right="0" w:firstLine="480" w:firstLineChars="200"/>
              <w:jc w:val="both"/>
              <w:textAlignment w:val="baseline"/>
              <w:rPr>
                <w:rFonts w:hint="default" w:ascii="Times New Roman" w:hAnsi="Times New Roman" w:eastAsia="仿宋_GB2312" w:cs="Times New Roman"/>
                <w:b w:val="0"/>
                <w:bCs w:val="0"/>
                <w:color w:val="FF0000"/>
                <w:kern w:val="2"/>
                <w:sz w:val="24"/>
                <w:szCs w:val="24"/>
                <w:highlight w:val="none"/>
                <w:lang w:val="en-US" w:eastAsia="zh-CN" w:bidi="ar-SA"/>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color w:val="auto"/>
                <w:kern w:val="2"/>
                <w:sz w:val="24"/>
                <w:szCs w:val="24"/>
                <w:highlight w:val="none"/>
                <w:lang w:val="en-US" w:eastAsia="zh-CN" w:bidi="ar-SA"/>
              </w:rPr>
              <w:t>生态环境以人工种植绿化树木为主，不存在珍稀动植物。占地范围内不涉及国家公园、自然保护区、风景名胜区、世界文化和</w:t>
            </w:r>
            <w:r>
              <w:rPr>
                <w:rFonts w:hint="eastAsia" w:eastAsia="仿宋_GB2312" w:cs="Times New Roman"/>
                <w:b w:val="0"/>
                <w:bCs w:val="0"/>
                <w:color w:val="auto"/>
                <w:kern w:val="2"/>
                <w:sz w:val="24"/>
                <w:szCs w:val="24"/>
                <w:highlight w:val="none"/>
                <w:lang w:val="en-US" w:eastAsia="zh-CN" w:bidi="ar-SA"/>
              </w:rPr>
              <w:t>自然</w:t>
            </w:r>
            <w:r>
              <w:rPr>
                <w:rFonts w:hint="default" w:ascii="Times New Roman" w:hAnsi="Times New Roman" w:eastAsia="仿宋_GB2312" w:cs="Times New Roman"/>
                <w:b w:val="0"/>
                <w:bCs w:val="0"/>
                <w:color w:val="auto"/>
                <w:kern w:val="2"/>
                <w:sz w:val="24"/>
                <w:szCs w:val="24"/>
                <w:highlight w:val="none"/>
                <w:lang w:val="en-US" w:eastAsia="zh-CN" w:bidi="ar-SA"/>
              </w:rPr>
              <w:t>遗产地、饮用水水源保护区、生态保护红线范围、重点保护野生动物栖息地、重点保护野生植物生长繁殖地等生态环境敏感区域。</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b/>
                <w:color w:val="auto"/>
                <w:kern w:val="2"/>
                <w:sz w:val="24"/>
                <w:szCs w:val="22"/>
                <w:highlight w:val="none"/>
                <w:lang w:val="en-US" w:eastAsia="zh-CN" w:bidi="ar-SA"/>
              </w:rPr>
            </w:pPr>
            <w:r>
              <w:rPr>
                <w:rFonts w:hint="default" w:ascii="Times New Roman" w:hAnsi="Times New Roman" w:eastAsia="仿宋_GB2312" w:cs="Times New Roman"/>
                <w:b/>
                <w:color w:val="auto"/>
                <w:kern w:val="2"/>
                <w:sz w:val="24"/>
                <w:szCs w:val="22"/>
                <w:highlight w:val="none"/>
                <w:lang w:val="en-US" w:eastAsia="zh-CN" w:bidi="ar-SA"/>
              </w:rPr>
              <w:t>5.地下水、土壤环境</w:t>
            </w:r>
          </w:p>
          <w:p>
            <w:pPr>
              <w:keepNext w:val="0"/>
              <w:keepLines w:val="0"/>
              <w:pageBreakBefore w:val="0"/>
              <w:widowControl w:val="0"/>
              <w:suppressLineNumbers w:val="0"/>
              <w:tabs>
                <w:tab w:val="left" w:pos="6384"/>
              </w:tabs>
              <w:kinsoku/>
              <w:wordWrap/>
              <w:topLinePunct w:val="0"/>
              <w:bidi w:val="0"/>
              <w:adjustRightInd w:val="0"/>
              <w:snapToGrid w:val="0"/>
              <w:spacing w:before="0" w:beforeAutospacing="0" w:after="0" w:afterAutospacing="0" w:line="348" w:lineRule="auto"/>
              <w:ind w:left="0" w:right="0" w:firstLine="480" w:firstLineChars="200"/>
              <w:jc w:val="both"/>
              <w:rPr>
                <w:rFonts w:hint="default" w:ascii="Times New Roman" w:hAnsi="Times New Roman" w:cs="Times New Roman"/>
                <w:color w:val="FF0000"/>
                <w:szCs w:val="22"/>
                <w:highlight w:val="none"/>
                <w:lang w:val="en-US" w:eastAsia="zh-CN"/>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color w:val="auto"/>
                <w:kern w:val="2"/>
                <w:sz w:val="24"/>
                <w:szCs w:val="24"/>
                <w:highlight w:val="none"/>
                <w:lang w:val="en-US" w:eastAsia="zh-CN" w:bidi="ar-SA"/>
              </w:rPr>
              <w:t>运营期生产</w:t>
            </w:r>
            <w:r>
              <w:rPr>
                <w:rFonts w:hint="eastAsia" w:eastAsia="仿宋_GB2312" w:cs="Times New Roman"/>
                <w:b w:val="0"/>
                <w:bCs w:val="0"/>
                <w:color w:val="auto"/>
                <w:kern w:val="2"/>
                <w:sz w:val="24"/>
                <w:szCs w:val="24"/>
                <w:highlight w:val="none"/>
                <w:lang w:val="en-US" w:eastAsia="zh-CN" w:bidi="ar-SA"/>
              </w:rPr>
              <w:t>废</w:t>
            </w:r>
            <w:r>
              <w:rPr>
                <w:rFonts w:hint="default" w:ascii="Times New Roman" w:hAnsi="Times New Roman" w:eastAsia="仿宋_GB2312" w:cs="Times New Roman"/>
                <w:b w:val="0"/>
                <w:bCs w:val="0"/>
                <w:color w:val="auto"/>
                <w:kern w:val="2"/>
                <w:sz w:val="24"/>
                <w:szCs w:val="24"/>
                <w:highlight w:val="none"/>
                <w:lang w:val="en-US" w:eastAsia="zh-CN" w:bidi="ar-SA"/>
              </w:rPr>
              <w:t>水</w:t>
            </w:r>
            <w:r>
              <w:rPr>
                <w:rFonts w:hint="eastAsia" w:eastAsia="仿宋_GB2312" w:cs="Times New Roman"/>
                <w:b w:val="0"/>
                <w:bCs w:val="0"/>
                <w:color w:val="auto"/>
                <w:kern w:val="2"/>
                <w:sz w:val="24"/>
                <w:szCs w:val="24"/>
                <w:highlight w:val="none"/>
                <w:lang w:val="en-US" w:eastAsia="zh-CN" w:bidi="ar-SA"/>
              </w:rPr>
              <w:t>上清液</w:t>
            </w:r>
            <w:r>
              <w:rPr>
                <w:rFonts w:hint="default" w:ascii="Times New Roman" w:hAnsi="Times New Roman" w:eastAsia="仿宋_GB2312" w:cs="Times New Roman"/>
                <w:b w:val="0"/>
                <w:bCs w:val="0"/>
                <w:color w:val="auto"/>
                <w:kern w:val="2"/>
                <w:sz w:val="24"/>
                <w:szCs w:val="24"/>
                <w:highlight w:val="none"/>
                <w:lang w:val="en-US" w:eastAsia="zh-CN" w:bidi="ar-SA"/>
              </w:rPr>
              <w:t>循环使用，管理用房生活污水经管道排至室外20</w:t>
            </w:r>
            <w:r>
              <w:rPr>
                <w:rFonts w:hint="eastAsia" w:eastAsia="仿宋_GB2312" w:cs="Times New Roman"/>
                <w:b w:val="0"/>
                <w:bCs w:val="0"/>
                <w:color w:val="auto"/>
                <w:kern w:val="2"/>
                <w:sz w:val="24"/>
                <w:szCs w:val="24"/>
                <w:highlight w:val="none"/>
                <w:lang w:val="en-US" w:eastAsia="zh-CN" w:bidi="ar-SA"/>
              </w:rPr>
              <w:t>m</w:t>
            </w:r>
            <w:r>
              <w:rPr>
                <w:rFonts w:hint="eastAsia" w:eastAsia="仿宋_GB2312" w:cs="Times New Roman"/>
                <w:b w:val="0"/>
                <w:bCs w:val="0"/>
                <w:color w:val="auto"/>
                <w:kern w:val="2"/>
                <w:sz w:val="24"/>
                <w:szCs w:val="24"/>
                <w:highlight w:val="none"/>
                <w:vertAlign w:val="superscript"/>
                <w:lang w:val="en-US" w:eastAsia="zh-CN" w:bidi="ar-SA"/>
              </w:rPr>
              <w:t>3</w:t>
            </w:r>
            <w:r>
              <w:rPr>
                <w:rFonts w:hint="default" w:ascii="Times New Roman" w:hAnsi="Times New Roman" w:eastAsia="仿宋_GB2312" w:cs="Times New Roman"/>
                <w:b w:val="0"/>
                <w:bCs w:val="0"/>
                <w:color w:val="auto"/>
                <w:kern w:val="2"/>
                <w:sz w:val="24"/>
                <w:szCs w:val="24"/>
                <w:highlight w:val="none"/>
                <w:lang w:val="en-US" w:eastAsia="zh-CN" w:bidi="ar-SA"/>
              </w:rPr>
              <w:t>化粪池，生产区卫生间污水经管道排至卫生间下方设置的12</w:t>
            </w:r>
            <w:r>
              <w:rPr>
                <w:rFonts w:hint="eastAsia" w:eastAsia="仿宋_GB2312" w:cs="Times New Roman"/>
                <w:b w:val="0"/>
                <w:bCs w:val="0"/>
                <w:color w:val="auto"/>
                <w:kern w:val="2"/>
                <w:sz w:val="24"/>
                <w:szCs w:val="24"/>
                <w:highlight w:val="none"/>
                <w:lang w:val="en-US" w:eastAsia="zh-CN" w:bidi="ar-SA"/>
              </w:rPr>
              <w:t>m</w:t>
            </w:r>
            <w:r>
              <w:rPr>
                <w:rFonts w:hint="eastAsia" w:eastAsia="仿宋_GB2312" w:cs="Times New Roman"/>
                <w:b w:val="0"/>
                <w:bCs w:val="0"/>
                <w:color w:val="auto"/>
                <w:kern w:val="2"/>
                <w:sz w:val="24"/>
                <w:szCs w:val="24"/>
                <w:highlight w:val="none"/>
                <w:vertAlign w:val="superscript"/>
                <w:lang w:val="en-US" w:eastAsia="zh-CN" w:bidi="ar-SA"/>
              </w:rPr>
              <w:t>3</w:t>
            </w:r>
            <w:r>
              <w:rPr>
                <w:rFonts w:hint="default" w:ascii="Times New Roman" w:hAnsi="Times New Roman" w:eastAsia="仿宋_GB2312" w:cs="Times New Roman"/>
                <w:b w:val="0"/>
                <w:bCs w:val="0"/>
                <w:color w:val="auto"/>
                <w:kern w:val="2"/>
                <w:sz w:val="24"/>
                <w:szCs w:val="24"/>
                <w:highlight w:val="none"/>
                <w:lang w:val="en-US" w:eastAsia="zh-CN" w:bidi="ar-SA"/>
              </w:rPr>
              <w:t>化粪池，由专业人员定期清理外运至彭阳县第二污水处理厂。同时项目厂区外周边500m范围内无地下水集中饮用水水源和热水、矿泉水、温泉等特殊地下水资源。因此，本项目不进行地下水和土壤环境质量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8"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区域环境质量现状</w:t>
            </w:r>
          </w:p>
        </w:tc>
        <w:tc>
          <w:tcPr>
            <w:tcW w:w="8635" w:type="dxa"/>
            <w:vMerge w:val="continue"/>
            <w:tcBorders>
              <w:tl2br w:val="nil"/>
              <w:tr2bl w:val="nil"/>
            </w:tcBorders>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29"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环境保护目标</w:t>
            </w:r>
          </w:p>
        </w:tc>
        <w:tc>
          <w:tcPr>
            <w:tcW w:w="8635" w:type="dxa"/>
            <w:tcBorders>
              <w:tl2br w:val="nil"/>
              <w:tr2bl w:val="nil"/>
            </w:tcBorders>
            <w:vAlign w:val="center"/>
          </w:tcPr>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⑴大气环境保护目标。本项目占地500m范围内无自然保护区、风景名胜区、文化区和农村地区中人群较集中的区域等保护目标；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⑵声环境保护目标。本项目厂界外50米范围内无声环境保护目标；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⑶地下水环境保护目标。本项目厂界外500米范围内无地下水集中式饮用水水源和热水、矿泉水、温泉等特殊地下水资源，无地下水环境保护目标；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pPr>
            <w:r>
              <w:rPr>
                <w:rFonts w:hint="eastAsia"/>
              </w:rPr>
              <w:t>⑷生态环境保护目标。本项目用地范围内无生态环境保护目标。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default" w:ascii="Times New Roman" w:hAnsi="Times New Roman" w:cs="Times New Roman"/>
                <w:b w:val="0"/>
                <w:bCs w:val="0"/>
                <w:color w:val="FF0000"/>
                <w:highlight w:val="none"/>
                <w:lang w:val="en-US" w:eastAsia="zh-CN"/>
              </w:rPr>
            </w:pPr>
            <w:r>
              <w:rPr>
                <w:rFonts w:hint="default"/>
                <w:color w:val="auto"/>
                <w:highlight w:val="none"/>
              </w:rPr>
              <w:t>本项目与厂区周边500m范围内关系图见</w:t>
            </w:r>
            <w:r>
              <w:rPr>
                <w:rFonts w:hint="eastAsia"/>
                <w:b/>
                <w:bCs/>
                <w:color w:val="auto"/>
                <w:highlight w:val="none"/>
                <w:lang w:val="en-US" w:eastAsia="zh-CN"/>
              </w:rPr>
              <w:t>附</w:t>
            </w:r>
            <w:r>
              <w:rPr>
                <w:rFonts w:hint="default"/>
                <w:b/>
                <w:bCs/>
                <w:color w:val="auto"/>
                <w:highlight w:val="none"/>
              </w:rPr>
              <w:t>图3-2</w:t>
            </w:r>
            <w:r>
              <w:rPr>
                <w:rFonts w:hint="default"/>
                <w:color w:val="auto"/>
                <w:highlight w:val="none"/>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7"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污染物排放控制标准</w:t>
            </w:r>
          </w:p>
        </w:tc>
        <w:tc>
          <w:tcPr>
            <w:tcW w:w="8635" w:type="dxa"/>
            <w:tcBorders>
              <w:tl2br w:val="nil"/>
              <w:tr2bl w:val="nil"/>
            </w:tcBorders>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336" w:lineRule="auto"/>
              <w:ind w:left="0" w:leftChars="0" w:right="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1.施工期</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36" w:lineRule="auto"/>
              <w:ind w:left="0" w:leftChars="0" w:right="0" w:firstLine="48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⑴噪声</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eastAsia="zh-CN"/>
              </w:rPr>
              <w:t>施工期</w:t>
            </w:r>
            <w:r>
              <w:rPr>
                <w:rFonts w:hint="default" w:ascii="Times New Roman" w:hAnsi="Times New Roman" w:cs="Times New Roman"/>
                <w:b w:val="0"/>
                <w:bCs w:val="0"/>
                <w:color w:val="auto"/>
                <w:highlight w:val="none"/>
              </w:rPr>
              <w:t>噪声排放</w:t>
            </w:r>
            <w:r>
              <w:rPr>
                <w:rFonts w:hint="default" w:ascii="Times New Roman" w:hAnsi="Times New Roman" w:cs="Times New Roman"/>
                <w:color w:val="auto"/>
                <w:highlight w:val="none"/>
              </w:rPr>
              <w:t>执行《建筑施工噪声排放标准》（GB12523-20</w:t>
            </w:r>
            <w:r>
              <w:rPr>
                <w:rFonts w:hint="eastAsia" w:cs="Times New Roman"/>
                <w:color w:val="auto"/>
                <w:highlight w:val="none"/>
                <w:lang w:val="en-US" w:eastAsia="zh-CN"/>
              </w:rPr>
              <w:t>25</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排放限值。</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eastAsia="宋体" w:cs="Times New Roman"/>
                <w:b w:val="0"/>
                <w:bCs w:val="0"/>
                <w:color w:val="auto"/>
                <w:kern w:val="2"/>
                <w:sz w:val="21"/>
                <w:szCs w:val="21"/>
                <w:highlight w:val="none"/>
                <w:lang w:val="en-US" w:eastAsia="zh-CN" w:bidi="ar"/>
              </w:rPr>
              <w:t>4</w:t>
            </w:r>
            <w:r>
              <w:rPr>
                <w:rFonts w:hint="default" w:ascii="Times New Roman" w:hAnsi="Times New Roman" w:eastAsia="宋体" w:cs="Times New Roman"/>
                <w:b/>
                <w:bCs/>
                <w:color w:val="auto"/>
                <w:kern w:val="2"/>
                <w:sz w:val="24"/>
                <w:szCs w:val="22"/>
                <w:highlight w:val="none"/>
                <w:lang w:val="en-US" w:eastAsia="zh-CN" w:bidi="ar"/>
              </w:rPr>
              <w:t xml:space="preserve">   《建筑施工噪声排放标准》</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11"/>
              <w:gridCol w:w="4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r>
                    <w:rPr>
                      <w:rFonts w:hint="default" w:ascii="Times New Roman" w:hAnsi="Times New Roman" w:cs="Times New Roman"/>
                      <w:bCs/>
                      <w:color w:val="auto"/>
                      <w:szCs w:val="21"/>
                      <w:highlight w:val="none"/>
                    </w:rPr>
                    <w:t>dB(A)</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r>
                    <w:rPr>
                      <w:rFonts w:hint="default" w:ascii="Times New Roman" w:hAnsi="Times New Roman" w:cs="Times New Roman"/>
                      <w:bCs/>
                      <w:color w:val="auto"/>
                      <w:szCs w:val="21"/>
                      <w:highlight w:val="none"/>
                    </w:rPr>
                    <w:t>dB(A)</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36" w:lineRule="auto"/>
              <w:ind w:left="0" w:leftChars="0" w:right="0" w:firstLine="482" w:firstLineChars="200"/>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⑵废气</w:t>
            </w:r>
          </w:p>
          <w:p>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仿宋_GB2312" w:cs="Times New Roman"/>
                <w:b w:val="0"/>
                <w:bCs w:val="0"/>
                <w:color w:val="auto"/>
                <w:kern w:val="16"/>
                <w:sz w:val="24"/>
                <w:szCs w:val="24"/>
                <w:highlight w:val="none"/>
                <w:lang w:val="en-US" w:eastAsia="zh-CN" w:bidi="ar-SA"/>
              </w:rPr>
            </w:pPr>
            <w:r>
              <w:rPr>
                <w:rFonts w:hint="default" w:ascii="Times New Roman" w:hAnsi="Times New Roman" w:eastAsia="仿宋_GB2312" w:cs="Times New Roman"/>
                <w:b w:val="0"/>
                <w:bCs w:val="0"/>
                <w:color w:val="auto"/>
                <w:kern w:val="16"/>
                <w:sz w:val="24"/>
                <w:szCs w:val="24"/>
                <w:highlight w:val="none"/>
                <w:lang w:val="en-US" w:eastAsia="zh-CN" w:bidi="ar-SA"/>
              </w:rPr>
              <w:t>本项目施工期扬尘排放执行《大气污染物综合排放标准》（GB16297-1996）表2中无组织排放监控浓度限值，具体见表3-</w:t>
            </w:r>
            <w:r>
              <w:rPr>
                <w:rFonts w:hint="eastAsia" w:eastAsia="仿宋_GB2312" w:cs="Times New Roman"/>
                <w:b w:val="0"/>
                <w:bCs w:val="0"/>
                <w:color w:val="auto"/>
                <w:kern w:val="16"/>
                <w:sz w:val="24"/>
                <w:szCs w:val="24"/>
                <w:highlight w:val="none"/>
                <w:lang w:val="en-US" w:eastAsia="zh-CN" w:bidi="ar-SA"/>
              </w:rPr>
              <w:t>5</w:t>
            </w:r>
            <w:r>
              <w:rPr>
                <w:rFonts w:hint="default" w:ascii="Times New Roman" w:hAnsi="Times New Roman" w:eastAsia="仿宋_GB2312" w:cs="Times New Roman"/>
                <w:b w:val="0"/>
                <w:bCs w:val="0"/>
                <w:color w:val="auto"/>
                <w:kern w:val="16"/>
                <w:sz w:val="24"/>
                <w:szCs w:val="24"/>
                <w:highlight w:val="none"/>
                <w:lang w:val="en-US" w:eastAsia="zh-CN" w:bidi="ar-SA"/>
              </w:rPr>
              <w:t>。</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cs="Times New Roman"/>
                <w:b w:val="0"/>
                <w:bCs w:val="0"/>
                <w:color w:val="auto"/>
                <w:kern w:val="2"/>
                <w:sz w:val="21"/>
                <w:szCs w:val="21"/>
                <w:highlight w:val="none"/>
                <w:lang w:val="en-US" w:eastAsia="zh-CN" w:bidi="ar"/>
              </w:rPr>
              <w:t>5</w:t>
            </w:r>
            <w:r>
              <w:rPr>
                <w:rFonts w:eastAsia="黑体"/>
                <w:bCs/>
                <w:color w:val="auto"/>
                <w:sz w:val="24"/>
                <w:szCs w:val="22"/>
              </w:rPr>
              <w:t xml:space="preserve">  </w:t>
            </w:r>
            <w:r>
              <w:rPr>
                <w:rFonts w:hint="eastAsia" w:eastAsia="黑体"/>
                <w:bCs/>
                <w:color w:val="auto"/>
                <w:sz w:val="24"/>
                <w:szCs w:val="22"/>
                <w:lang w:val="en-US" w:eastAsia="zh-CN"/>
              </w:rPr>
              <w:t xml:space="preserve"> </w:t>
            </w:r>
            <w:r>
              <w:rPr>
                <w:rFonts w:hint="default" w:ascii="Times New Roman" w:hAnsi="Times New Roman" w:eastAsia="宋体" w:cs="Times New Roman"/>
                <w:b/>
                <w:bCs/>
                <w:color w:val="auto"/>
                <w:kern w:val="2"/>
                <w:sz w:val="24"/>
                <w:szCs w:val="22"/>
                <w:highlight w:val="none"/>
                <w:lang w:val="en-US" w:eastAsia="zh-CN" w:bidi="ar"/>
              </w:rPr>
              <w:t>《大气污染物综合排放标准》（GB16297-1996）</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11"/>
              <w:gridCol w:w="4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b/>
                      <w:color w:val="auto"/>
                      <w:szCs w:val="21"/>
                      <w:highlight w:val="none"/>
                      <w:lang w:eastAsia="zh-CN"/>
                    </w:rPr>
                  </w:pPr>
                  <w:r>
                    <w:rPr>
                      <w:rFonts w:hint="eastAsia" w:ascii="Times New Roman" w:hAnsi="Times New Roman" w:cs="Times New Roman"/>
                      <w:b/>
                      <w:color w:val="auto"/>
                      <w:szCs w:val="21"/>
                      <w:highlight w:val="none"/>
                      <w:lang w:val="en-US" w:eastAsia="zh-CN"/>
                    </w:rPr>
                    <w:t>污染物</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b/>
                      <w:bCs/>
                      <w:color w:val="auto"/>
                      <w:szCs w:val="22"/>
                    </w:rPr>
                    <w:t>无组织排放监控浓度限值（mg/m</w:t>
                  </w:r>
                  <w:r>
                    <w:rPr>
                      <w:b/>
                      <w:bCs/>
                      <w:color w:val="auto"/>
                      <w:szCs w:val="22"/>
                      <w:vertAlign w:val="superscript"/>
                    </w:rPr>
                    <w:t>3</w:t>
                  </w:r>
                  <w:r>
                    <w:rPr>
                      <w:b/>
                      <w:bCs/>
                      <w:color w:val="auto"/>
                      <w:szCs w:val="22"/>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颗粒物</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1</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2.运营期</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⑴废气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rPr>
              <w:t>①</w:t>
            </w:r>
            <w:r>
              <w:rPr>
                <w:rFonts w:hint="default" w:eastAsia="仿宋_GB2312" w:cs="Times New Roman"/>
                <w:color w:val="auto"/>
                <w:kern w:val="16"/>
                <w:sz w:val="24"/>
                <w:szCs w:val="24"/>
                <w:highlight w:val="none"/>
                <w:lang w:val="en-US" w:eastAsia="zh-CN"/>
              </w:rPr>
              <w:t>本项目运营期</w:t>
            </w:r>
            <w:r>
              <w:rPr>
                <w:rFonts w:hint="eastAsia" w:eastAsia="仿宋_GB2312" w:cs="Times New Roman"/>
                <w:color w:val="auto"/>
                <w:kern w:val="16"/>
                <w:sz w:val="24"/>
                <w:szCs w:val="24"/>
                <w:highlight w:val="none"/>
                <w:lang w:val="en-US" w:eastAsia="zh-CN"/>
              </w:rPr>
              <w:t>再生混凝土制品生产线和水稳料生产线</w:t>
            </w:r>
            <w:r>
              <w:rPr>
                <w:rFonts w:hint="default" w:eastAsia="仿宋_GB2312" w:cs="Times New Roman"/>
                <w:color w:val="auto"/>
                <w:kern w:val="16"/>
                <w:sz w:val="24"/>
                <w:szCs w:val="24"/>
                <w:highlight w:val="none"/>
                <w:lang w:val="en-US" w:eastAsia="zh-CN"/>
              </w:rPr>
              <w:t>颗粒物</w:t>
            </w:r>
            <w:r>
              <w:rPr>
                <w:rFonts w:hint="eastAsia" w:eastAsia="仿宋_GB2312" w:cs="Times New Roman"/>
                <w:color w:val="auto"/>
                <w:kern w:val="16"/>
                <w:sz w:val="24"/>
                <w:szCs w:val="24"/>
                <w:highlight w:val="none"/>
                <w:lang w:val="en-US" w:eastAsia="zh-CN"/>
              </w:rPr>
              <w:t>排放</w:t>
            </w:r>
            <w:r>
              <w:rPr>
                <w:rFonts w:hint="default" w:eastAsia="仿宋_GB2312" w:cs="Times New Roman"/>
                <w:color w:val="auto"/>
                <w:kern w:val="16"/>
                <w:sz w:val="24"/>
                <w:szCs w:val="24"/>
                <w:highlight w:val="none"/>
                <w:lang w:val="en-US" w:eastAsia="zh-CN"/>
              </w:rPr>
              <w:t>执行宁夏回族自治区地方标准《水泥工业大气污染物排放标准》（DB 64/1995-2024）表1散装水泥中转及水泥制品生产过程排放限值要求和表2大气污染物无组织颗粒物排放限值要求</w:t>
            </w:r>
            <w:r>
              <w:rPr>
                <w:rFonts w:hint="default" w:ascii="Times New Roman" w:hAnsi="Times New Roman" w:eastAsia="仿宋_GB2312" w:cs="Times New Roman"/>
                <w:b w:val="0"/>
                <w:bCs w:val="0"/>
                <w:color w:val="auto"/>
                <w:kern w:val="16"/>
                <w:sz w:val="24"/>
                <w:szCs w:val="24"/>
                <w:highlight w:val="none"/>
                <w:lang w:val="en-US" w:eastAsia="zh-CN" w:bidi="ar-SA"/>
              </w:rPr>
              <w:t>，其标准值见表3-</w:t>
            </w:r>
            <w:r>
              <w:rPr>
                <w:rFonts w:hint="eastAsia" w:eastAsia="仿宋_GB2312" w:cs="Times New Roman"/>
                <w:b w:val="0"/>
                <w:bCs w:val="0"/>
                <w:color w:val="auto"/>
                <w:kern w:val="16"/>
                <w:sz w:val="24"/>
                <w:szCs w:val="24"/>
                <w:highlight w:val="none"/>
                <w:lang w:val="en-US" w:eastAsia="zh-CN" w:bidi="ar-SA"/>
              </w:rPr>
              <w:t>6</w:t>
            </w:r>
            <w:r>
              <w:rPr>
                <w:rFonts w:hint="default" w:ascii="Times New Roman" w:hAnsi="Times New Roman" w:eastAsia="仿宋_GB2312" w:cs="Times New Roman"/>
                <w:b w:val="0"/>
                <w:bCs w:val="0"/>
                <w:color w:val="auto"/>
                <w:kern w:val="16"/>
                <w:sz w:val="24"/>
                <w:szCs w:val="24"/>
                <w:highlight w:val="none"/>
                <w:lang w:val="en-US" w:eastAsia="zh-CN" w:bidi="ar-SA"/>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ascii="Times New Roman" w:hAnsi="Times New Roman" w:eastAsia="宋体" w:cs="Times New Roman"/>
                <w:b w:val="0"/>
                <w:bCs w:val="0"/>
                <w:color w:val="auto"/>
                <w:kern w:val="2"/>
                <w:sz w:val="21"/>
                <w:szCs w:val="21"/>
                <w:highlight w:val="none"/>
                <w:lang w:val="en-US" w:eastAsia="zh-CN" w:bidi="ar"/>
              </w:rPr>
              <w:t>6</w:t>
            </w:r>
            <w:r>
              <w:rPr>
                <w:rFonts w:eastAsia="黑体" w:cs="Times New Roman"/>
                <w:snapToGrid/>
                <w:sz w:val="24"/>
                <w:szCs w:val="24"/>
              </w:rPr>
              <w:t xml:space="preserve">  </w:t>
            </w:r>
            <w:r>
              <w:rPr>
                <w:rFonts w:hint="eastAsia" w:eastAsia="黑体" w:cs="Times New Roman"/>
                <w:snapToGrid/>
                <w:sz w:val="24"/>
                <w:szCs w:val="24"/>
                <w:lang w:val="en-US" w:eastAsia="zh-CN"/>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《水泥工业大气污染物排放标准》(DB 64/1995-2024)</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503"/>
              <w:gridCol w:w="1933"/>
              <w:gridCol w:w="1529"/>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污染物</w:t>
                  </w:r>
                </w:p>
              </w:tc>
              <w:tc>
                <w:tcPr>
                  <w:tcW w:w="1491"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生产过程</w:t>
                  </w:r>
                </w:p>
              </w:tc>
              <w:tc>
                <w:tcPr>
                  <w:tcW w:w="1152"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生产设备</w:t>
                  </w:r>
                </w:p>
              </w:tc>
              <w:tc>
                <w:tcPr>
                  <w:tcW w:w="1748" w:type="pct"/>
                  <w:gridSpan w:val="2"/>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b/>
                      <w:bCs/>
                      <w:snapToGrid/>
                      <w:szCs w:val="22"/>
                    </w:rPr>
                    <w:t>排放浓度限值（</w:t>
                  </w:r>
                  <w:r>
                    <w:rPr>
                      <w:rFonts w:cs="Times New Roman"/>
                      <w:b/>
                      <w:bCs/>
                      <w:snapToGrid/>
                      <w:szCs w:val="22"/>
                    </w:rPr>
                    <w:t>mg/m</w:t>
                  </w:r>
                  <w:r>
                    <w:rPr>
                      <w:rFonts w:cs="Times New Roman"/>
                      <w:b/>
                      <w:bCs/>
                      <w:snapToGrid/>
                      <w:szCs w:val="22"/>
                      <w:vertAlign w:val="superscript"/>
                    </w:rPr>
                    <w:t>3</w:t>
                  </w:r>
                  <w:r>
                    <w:rPr>
                      <w:rFonts w:hint="eastAsia" w:cs="Times New Roman"/>
                      <w:b/>
                      <w:bCs/>
                      <w:snapToGrid/>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1491"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1152"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91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有组织</w:t>
                  </w:r>
                </w:p>
              </w:tc>
              <w:tc>
                <w:tcPr>
                  <w:tcW w:w="83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颗粒物</w:t>
                  </w:r>
                </w:p>
              </w:tc>
              <w:tc>
                <w:tcPr>
                  <w:tcW w:w="149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散装水泥中转站及水泥制品生产</w:t>
                  </w:r>
                </w:p>
              </w:tc>
              <w:tc>
                <w:tcPr>
                  <w:tcW w:w="1152"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水泥仓及其他通风设备</w:t>
                  </w:r>
                </w:p>
              </w:tc>
              <w:tc>
                <w:tcPr>
                  <w:tcW w:w="91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10</w:t>
                  </w:r>
                </w:p>
              </w:tc>
              <w:tc>
                <w:tcPr>
                  <w:tcW w:w="83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0.5</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480" w:firstLineChars="200"/>
              <w:textAlignment w:val="auto"/>
              <w:rPr>
                <w:rFonts w:hint="default" w:cs="Times New Roman"/>
                <w:color w:val="auto"/>
                <w:highlight w:val="none"/>
              </w:rPr>
            </w:pPr>
            <w:r>
              <w:rPr>
                <w:rFonts w:hint="default" w:ascii="Times New Roman" w:hAnsi="Times New Roman" w:eastAsia="仿宋_GB2312" w:cs="Times New Roman"/>
                <w:b w:val="0"/>
                <w:bCs w:val="0"/>
                <w:color w:val="auto"/>
                <w:highlight w:val="none"/>
                <w:lang w:val="en-US" w:eastAsia="zh-CN"/>
              </w:rPr>
              <w:t>②</w:t>
            </w:r>
            <w:r>
              <w:rPr>
                <w:rFonts w:hint="default" w:eastAsia="仿宋_GB2312" w:cs="Times New Roman"/>
                <w:color w:val="auto"/>
                <w:kern w:val="16"/>
                <w:sz w:val="24"/>
                <w:szCs w:val="24"/>
                <w:highlight w:val="none"/>
                <w:lang w:val="en-US" w:eastAsia="zh-CN"/>
              </w:rPr>
              <w:t>本项目运营期</w:t>
            </w:r>
            <w:r>
              <w:rPr>
                <w:rFonts w:hint="default" w:cs="Times New Roman"/>
                <w:color w:val="auto"/>
                <w:highlight w:val="none"/>
              </w:rPr>
              <w:t>建筑垃圾再生线</w:t>
            </w:r>
            <w:r>
              <w:rPr>
                <w:rFonts w:hint="default" w:eastAsia="仿宋_GB2312" w:cs="Times New Roman"/>
                <w:color w:val="auto"/>
                <w:kern w:val="16"/>
                <w:sz w:val="24"/>
                <w:szCs w:val="24"/>
                <w:highlight w:val="none"/>
                <w:lang w:val="en-US" w:eastAsia="zh-CN"/>
              </w:rPr>
              <w:t>颗粒物</w:t>
            </w:r>
            <w:r>
              <w:rPr>
                <w:rFonts w:hint="eastAsia" w:eastAsia="仿宋_GB2312" w:cs="Times New Roman"/>
                <w:color w:val="auto"/>
                <w:kern w:val="16"/>
                <w:sz w:val="24"/>
                <w:szCs w:val="24"/>
                <w:highlight w:val="none"/>
                <w:lang w:val="en-US" w:eastAsia="zh-CN"/>
              </w:rPr>
              <w:t>排放</w:t>
            </w:r>
            <w:r>
              <w:rPr>
                <w:rFonts w:hint="default" w:eastAsia="仿宋_GB2312" w:cs="Times New Roman"/>
                <w:color w:val="auto"/>
                <w:kern w:val="16"/>
                <w:sz w:val="24"/>
                <w:szCs w:val="24"/>
                <w:highlight w:val="none"/>
                <w:lang w:val="en-US" w:eastAsia="zh-CN"/>
              </w:rPr>
              <w:t>执行</w:t>
            </w:r>
            <w:r>
              <w:rPr>
                <w:rFonts w:hint="default" w:cs="Times New Roman"/>
                <w:color w:val="auto"/>
                <w:highlight w:val="none"/>
              </w:rPr>
              <w:t>《大气污染物综合排放标准》（GB16297-1996）表2新污染源大气污染物排放限值，其标准值见表3-7。</w:t>
            </w:r>
          </w:p>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表3-7</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《大气污染物综合排放标准》（GB16297-1996）</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351"/>
              <w:gridCol w:w="1641"/>
              <w:gridCol w:w="1337"/>
              <w:gridCol w:w="2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5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污染物</w:t>
                  </w:r>
                </w:p>
              </w:tc>
              <w:tc>
                <w:tcPr>
                  <w:tcW w:w="233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2962"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最高允许排放速率（kg/h）</w:t>
                  </w:r>
                </w:p>
              </w:tc>
              <w:tc>
                <w:tcPr>
                  <w:tcW w:w="218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无组织排放监控浓度限值μg/m</w:t>
                  </w:r>
                  <w:r>
                    <w:rPr>
                      <w:rFonts w:hint="default" w:ascii="Times New Roman" w:hAnsi="Times New Roman" w:eastAsia="宋体" w:cs="Times New Roman"/>
                      <w:b/>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5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3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排气筒高度m</w:t>
                  </w:r>
                </w:p>
              </w:tc>
              <w:tc>
                <w:tcPr>
                  <w:tcW w:w="13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二级</w:t>
                  </w:r>
                </w:p>
              </w:tc>
              <w:tc>
                <w:tcPr>
                  <w:tcW w:w="218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p>
              </w:tc>
              <w:tc>
                <w:tcPr>
                  <w:tcW w:w="23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120</w:t>
                  </w:r>
                </w:p>
              </w:tc>
              <w:tc>
                <w:tcPr>
                  <w:tcW w:w="16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15</w:t>
                  </w:r>
                </w:p>
              </w:tc>
              <w:tc>
                <w:tcPr>
                  <w:tcW w:w="13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3.5</w:t>
                  </w:r>
                </w:p>
              </w:tc>
              <w:tc>
                <w:tcPr>
                  <w:tcW w:w="21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48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⑵废水</w:t>
            </w:r>
          </w:p>
          <w:p>
            <w:pPr>
              <w:pStyle w:val="64"/>
              <w:keepNext w:val="0"/>
              <w:keepLines w:val="0"/>
              <w:suppressLineNumbers w:val="0"/>
              <w:spacing w:before="0" w:beforeLines="-2147483648" w:beforeAutospacing="0" w:after="0" w:afterLines="-2147483648" w:afterAutospacing="0" w:line="336" w:lineRule="auto"/>
              <w:ind w:left="0" w:right="0" w:firstLine="480" w:firstLineChars="200"/>
              <w:jc w:val="left"/>
              <w:rPr>
                <w:rFonts w:hint="default" w:ascii="Times New Roman" w:hAnsi="Times New Roman" w:eastAsia="宋体" w:cs="Times New Roman"/>
                <w:color w:val="auto"/>
                <w:kern w:val="2"/>
                <w:sz w:val="21"/>
                <w:szCs w:val="21"/>
                <w:highlight w:val="none"/>
                <w:lang w:bidi="ar"/>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生活污水经有化粪池处理后由专业人员定期清理外运</w:t>
            </w:r>
            <w:r>
              <w:rPr>
                <w:rFonts w:hint="eastAsia" w:ascii="Times New Roman" w:hAnsi="Times New Roman" w:cs="Times New Roman"/>
                <w:color w:val="auto"/>
                <w:highlight w:val="none"/>
                <w:lang w:val="en-US" w:eastAsia="zh-CN"/>
              </w:rPr>
              <w:t>至彭阳县第二污水处理厂</w:t>
            </w:r>
            <w:r>
              <w:rPr>
                <w:rFonts w:hint="eastAsia" w:cs="Times New Roman"/>
                <w:snapToGrid w:val="0"/>
                <w:color w:val="auto"/>
                <w:kern w:val="2"/>
                <w:sz w:val="21"/>
                <w:szCs w:val="20"/>
                <w:highlight w:val="none"/>
                <w:lang w:val="en-US" w:eastAsia="zh-CN" w:bidi="ar"/>
              </w:rPr>
              <w:t>。</w:t>
            </w:r>
            <w:r>
              <w:rPr>
                <w:rFonts w:hint="default" w:ascii="Times New Roman" w:hAnsi="Times New Roman" w:cs="Times New Roman"/>
                <w:color w:val="auto"/>
                <w:highlight w:val="none"/>
                <w:lang w:val="en-US" w:eastAsia="zh-CN"/>
              </w:rPr>
              <w:t>需满足该污水处理厂接管标准，</w:t>
            </w:r>
            <w:r>
              <w:rPr>
                <w:rFonts w:hint="default" w:ascii="Times New Roman" w:hAnsi="Times New Roman" w:cs="Times New Roman"/>
                <w:color w:val="auto"/>
                <w:highlight w:val="none"/>
              </w:rPr>
              <w:t>接管标准</w:t>
            </w:r>
            <w:r>
              <w:rPr>
                <w:rFonts w:hint="default" w:ascii="Times New Roman" w:hAnsi="Times New Roman" w:cs="Times New Roman"/>
                <w:color w:val="auto"/>
                <w:highlight w:val="none"/>
                <w:lang w:eastAsia="zh-CN"/>
              </w:rPr>
              <w:t>来源</w:t>
            </w:r>
            <w:r>
              <w:rPr>
                <w:rFonts w:hint="default" w:ascii="Times New Roman" w:hAnsi="Times New Roman" w:cs="Times New Roman"/>
                <w:color w:val="auto"/>
                <w:highlight w:val="none"/>
              </w:rPr>
              <w:t>为《污水综合排放标准》(GB8978-1996)中的三级标准</w:t>
            </w:r>
            <w:r>
              <w:rPr>
                <w:rFonts w:hint="default" w:ascii="Times New Roman" w:hAnsi="Times New Roman" w:cs="Times New Roman"/>
                <w:color w:val="auto"/>
                <w:highlight w:val="none"/>
                <w:lang w:val="en-US" w:eastAsia="zh-CN"/>
              </w:rPr>
              <w:t>。</w:t>
            </w:r>
          </w:p>
          <w:p>
            <w:pPr>
              <w:pStyle w:val="64"/>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Times New Roman"/>
                <w:b/>
                <w:color w:val="auto"/>
                <w:kern w:val="2"/>
                <w:sz w:val="24"/>
                <w:szCs w:val="22"/>
                <w:highlight w:val="none"/>
                <w:lang w:bidi="ar"/>
              </w:rPr>
            </w:pPr>
            <w:r>
              <w:rPr>
                <w:rFonts w:hint="default" w:ascii="Times New Roman" w:hAnsi="Times New Roman" w:eastAsia="宋体" w:cs="Times New Roman"/>
                <w:color w:val="auto"/>
                <w:kern w:val="2"/>
                <w:sz w:val="21"/>
                <w:szCs w:val="21"/>
                <w:highlight w:val="none"/>
                <w:lang w:bidi="ar"/>
              </w:rPr>
              <w:t>表3-</w:t>
            </w:r>
            <w:r>
              <w:rPr>
                <w:rFonts w:hint="eastAsia" w:eastAsia="宋体" w:cs="Times New Roman"/>
                <w:color w:val="auto"/>
                <w:kern w:val="2"/>
                <w:sz w:val="21"/>
                <w:szCs w:val="21"/>
                <w:highlight w:val="none"/>
                <w:lang w:val="en-US" w:eastAsia="zh-CN" w:bidi="ar"/>
              </w:rPr>
              <w:t>8</w:t>
            </w:r>
            <w:r>
              <w:rPr>
                <w:rFonts w:hint="default" w:ascii="Times New Roman" w:hAnsi="Times New Roman" w:cs="Times New Roman"/>
                <w:b/>
                <w:color w:val="auto"/>
                <w:kern w:val="2"/>
                <w:sz w:val="24"/>
                <w:szCs w:val="22"/>
                <w:highlight w:val="none"/>
                <w:lang w:bidi="ar"/>
              </w:rPr>
              <w:t xml:space="preserve">   </w:t>
            </w:r>
            <w:r>
              <w:rPr>
                <w:rFonts w:hint="default" w:ascii="Times New Roman" w:hAnsi="Times New Roman" w:eastAsia="宋体" w:cs="Times New Roman"/>
                <w:b/>
                <w:bCs/>
                <w:color w:val="auto"/>
                <w:kern w:val="16"/>
                <w:sz w:val="24"/>
                <w:szCs w:val="24"/>
                <w:highlight w:val="none"/>
                <w:lang w:val="en-US" w:eastAsia="zh-CN" w:bidi="ar"/>
              </w:rPr>
              <w:t>彭阳县第二污水处理厂</w:t>
            </w:r>
            <w:r>
              <w:rPr>
                <w:rFonts w:hint="default" w:ascii="Times New Roman" w:hAnsi="Times New Roman" w:eastAsia="宋体" w:cs="Times New Roman"/>
                <w:b/>
                <w:bCs/>
                <w:color w:val="auto"/>
                <w:highlight w:val="none"/>
              </w:rPr>
              <w:t>接管标准</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50"/>
              <w:gridCol w:w="1710"/>
              <w:gridCol w:w="3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12" w:space="0"/>
                    <w:left w:val="single" w:color="auto" w:sz="12"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序号</w:t>
                  </w:r>
                </w:p>
              </w:tc>
              <w:tc>
                <w:tcPr>
                  <w:tcW w:w="1162" w:type="pct"/>
                  <w:tcBorders>
                    <w:top w:val="single" w:color="auto" w:sz="12"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控制项目名称</w:t>
                  </w:r>
                </w:p>
              </w:tc>
              <w:tc>
                <w:tcPr>
                  <w:tcW w:w="1019" w:type="pct"/>
                  <w:tcBorders>
                    <w:top w:val="single" w:color="auto" w:sz="12"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限值</w:t>
                  </w:r>
                  <w:r>
                    <w:rPr>
                      <w:rFonts w:hint="default" w:ascii="Times New Roman" w:hAnsi="Times New Roman" w:cs="Times New Roman"/>
                      <w:b/>
                      <w:bCs w:val="0"/>
                      <w:color w:val="auto"/>
                      <w:sz w:val="21"/>
                      <w:szCs w:val="21"/>
                      <w:highlight w:val="none"/>
                      <w:lang w:val="en-US" w:eastAsia="zh-CN"/>
                    </w:rPr>
                    <w:t>/mg/L</w:t>
                  </w:r>
                </w:p>
              </w:tc>
              <w:tc>
                <w:tcPr>
                  <w:tcW w:w="2296" w:type="pct"/>
                  <w:tcBorders>
                    <w:top w:val="single" w:color="auto" w:sz="12" w:space="0"/>
                    <w:left w:val="single" w:color="auto" w:sz="4" w:space="0"/>
                    <w:bottom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color w:val="auto"/>
                      <w:kern w:val="0"/>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1</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6~9</w:t>
                  </w:r>
                </w:p>
              </w:tc>
              <w:tc>
                <w:tcPr>
                  <w:tcW w:w="2296" w:type="pct"/>
                  <w:vMerge w:val="restart"/>
                  <w:tcBorders>
                    <w:top w:val="single" w:color="auto" w:sz="4" w:space="0"/>
                    <w:left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2</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vertAlign w:val="subscript"/>
                      <w:lang w:val="en-US" w:eastAsia="zh-CN"/>
                    </w:rPr>
                    <w:t>cr</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2296" w:type="pct"/>
                  <w:vMerge w:val="continue"/>
                  <w:tcBorders>
                    <w:left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w:t>
                  </w:r>
                </w:p>
              </w:tc>
              <w:tc>
                <w:tcPr>
                  <w:tcW w:w="2296" w:type="pct"/>
                  <w:vMerge w:val="continue"/>
                  <w:tcBorders>
                    <w:left w:val="single" w:color="auto" w:sz="4" w:space="0"/>
                    <w:right w:val="single" w:color="auto" w:sz="12" w:space="0"/>
                    <w:tl2br w:val="nil"/>
                    <w:tr2bl w:val="nil"/>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12"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4</w:t>
                  </w:r>
                </w:p>
              </w:tc>
              <w:tc>
                <w:tcPr>
                  <w:tcW w:w="1162" w:type="pct"/>
                  <w:tcBorders>
                    <w:top w:val="single" w:color="auto" w:sz="4" w:space="0"/>
                    <w:left w:val="single" w:color="auto" w:sz="4" w:space="0"/>
                    <w:bottom w:val="single" w:color="auto" w:sz="12"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1019" w:type="pct"/>
                  <w:tcBorders>
                    <w:top w:val="single" w:color="auto" w:sz="4" w:space="0"/>
                    <w:left w:val="single" w:color="auto" w:sz="4" w:space="0"/>
                    <w:bottom w:val="single" w:color="auto" w:sz="12"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400</w:t>
                  </w:r>
                </w:p>
              </w:tc>
              <w:tc>
                <w:tcPr>
                  <w:tcW w:w="2296" w:type="pct"/>
                  <w:vMerge w:val="continue"/>
                  <w:tcBorders>
                    <w:left w:val="single" w:color="auto" w:sz="4" w:space="0"/>
                    <w:right w:val="single" w:color="auto" w:sz="12" w:space="0"/>
                    <w:tl2br w:val="nil"/>
                    <w:tr2bl w:val="nil"/>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auto"/>
                <w:highlight w:val="none"/>
                <w:lang w:val="en-US" w:eastAsia="zh-CN"/>
              </w:rPr>
            </w:pPr>
            <w:r>
              <w:rPr>
                <w:rFonts w:hint="default" w:ascii="Times New Roman" w:hAnsi="Times New Roman" w:cs="Times New Roman"/>
                <w:b/>
                <w:bCs/>
                <w:color w:val="auto"/>
                <w:highlight w:val="none"/>
                <w:lang w:val="en-US" w:eastAsia="zh-CN"/>
              </w:rPr>
              <w:t>⑶</w:t>
            </w:r>
            <w:r>
              <w:rPr>
                <w:rFonts w:hint="default" w:ascii="Times New Roman" w:hAnsi="Times New Roman" w:cs="Times New Roman"/>
                <w:b/>
                <w:bCs/>
                <w:color w:val="auto"/>
                <w:highlight w:val="none"/>
              </w:rPr>
              <w:t>噪声</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噪声执行《工业企业厂界环境噪声排放标准》（GB12348-2008）中</w:t>
            </w:r>
            <w:r>
              <w:rPr>
                <w:rFonts w:hint="eastAsia" w:cs="Times New Roman"/>
                <w:color w:val="auto"/>
                <w:highlight w:val="none"/>
                <w:lang w:val="en-US" w:eastAsia="zh-CN"/>
              </w:rPr>
              <w:t>1</w:t>
            </w:r>
            <w:r>
              <w:rPr>
                <w:rFonts w:hint="default" w:ascii="Times New Roman" w:hAnsi="Times New Roman" w:cs="Times New Roman"/>
                <w:color w:val="auto"/>
                <w:highlight w:val="none"/>
              </w:rPr>
              <w:t>类标准。</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w:t>
            </w:r>
            <w:r>
              <w:rPr>
                <w:rFonts w:hint="default" w:ascii="Times New Roman" w:hAnsi="Times New Roman" w:cs="Times New Roman"/>
                <w:b w:val="0"/>
                <w:bCs w:val="0"/>
                <w:color w:val="auto"/>
                <w:kern w:val="2"/>
                <w:sz w:val="21"/>
                <w:szCs w:val="21"/>
                <w:highlight w:val="none"/>
                <w:lang w:val="en-US" w:eastAsia="zh-CN" w:bidi="ar"/>
              </w:rPr>
              <w:t>3-</w:t>
            </w:r>
            <w:r>
              <w:rPr>
                <w:rFonts w:hint="eastAsia" w:ascii="Times New Roman" w:hAnsi="Times New Roman" w:cs="Times New Roman"/>
                <w:b w:val="0"/>
                <w:bCs w:val="0"/>
                <w:color w:val="auto"/>
                <w:kern w:val="2"/>
                <w:sz w:val="21"/>
                <w:szCs w:val="21"/>
                <w:highlight w:val="none"/>
                <w:lang w:val="en-US" w:eastAsia="zh-CN" w:bidi="ar"/>
              </w:rPr>
              <w:t>9</w:t>
            </w:r>
            <w:r>
              <w:rPr>
                <w:rFonts w:hint="default" w:ascii="Times New Roman" w:hAnsi="Times New Roman" w:eastAsia="宋体" w:cs="Times New Roman"/>
                <w:b/>
                <w:bCs/>
                <w:color w:val="auto"/>
                <w:kern w:val="2"/>
                <w:sz w:val="24"/>
                <w:szCs w:val="22"/>
                <w:highlight w:val="none"/>
                <w:lang w:val="en-US" w:eastAsia="zh-CN" w:bidi="ar"/>
              </w:rPr>
              <w:t xml:space="preserve">   《工业企业厂界环境噪声排放标准》</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7"/>
              <w:gridCol w:w="2789"/>
              <w:gridCol w:w="31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jc w:val="center"/>
              </w:trPr>
              <w:tc>
                <w:tcPr>
                  <w:tcW w:w="1763" w:type="dxa"/>
                  <w:vMerge w:val="restart"/>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Cs w:val="22"/>
                      <w:highlight w:val="none"/>
                    </w:rPr>
                    <w:t>类别</w:t>
                  </w:r>
                </w:p>
              </w:tc>
              <w:tc>
                <w:tcPr>
                  <w:tcW w:w="4382" w:type="dxa"/>
                  <w:gridSpan w:val="2"/>
                  <w:tcBorders>
                    <w:bottom w:val="single" w:color="auto" w:sz="4" w:space="0"/>
                  </w:tcBorders>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r>
                    <w:rPr>
                      <w:rFonts w:hint="default" w:ascii="Times New Roman" w:hAnsi="Times New Roman" w:cs="Times New Roman"/>
                      <w:b/>
                      <w:bCs w:val="0"/>
                      <w:color w:val="auto"/>
                      <w:szCs w:val="21"/>
                      <w:highlight w:val="none"/>
                    </w:rPr>
                    <w:t>标准值</w:t>
                  </w:r>
                  <w:r>
                    <w:rPr>
                      <w:rFonts w:hint="default" w:ascii="Times New Roman" w:hAnsi="Times New Roman" w:cs="Times New Roman"/>
                      <w:b/>
                      <w:bCs w:val="0"/>
                      <w:color w:val="auto"/>
                      <w:szCs w:val="21"/>
                      <w:highlight w:val="none"/>
                      <w:lang w:val="en-US" w:eastAsia="zh-CN"/>
                    </w:rPr>
                    <w:t>/</w:t>
                  </w:r>
                  <w:r>
                    <w:rPr>
                      <w:rFonts w:hint="default" w:ascii="Times New Roman" w:hAnsi="Times New Roman" w:cs="Times New Roman"/>
                      <w:b/>
                      <w:bCs w:val="0"/>
                      <w:color w:val="auto"/>
                      <w:szCs w:val="22"/>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63" w:type="dxa"/>
                  <w:vMerge w:val="continue"/>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p>
              </w:tc>
              <w:tc>
                <w:tcPr>
                  <w:tcW w:w="2043" w:type="dxa"/>
                  <w:tcBorders>
                    <w:top w:val="single" w:color="auto" w:sz="4" w:space="0"/>
                  </w:tcBorders>
                  <w:shd w:val="clear" w:color="auto" w:fill="auto"/>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leftChars="0" w:right="0" w:rightChars="0"/>
                    <w:jc w:val="center"/>
                    <w:rPr>
                      <w:rFonts w:hint="default" w:ascii="Times New Roman" w:hAnsi="Times New Roman" w:eastAsia="宋体" w:cs="Times New Roman"/>
                      <w:b/>
                      <w:bCs/>
                      <w:color w:val="auto"/>
                      <w:kern w:val="2"/>
                      <w:sz w:val="21"/>
                      <w:szCs w:val="22"/>
                      <w:highlight w:val="none"/>
                      <w:lang w:val="en-US" w:eastAsia="zh-CN" w:bidi="ar-SA"/>
                    </w:rPr>
                  </w:pPr>
                  <w:r>
                    <w:rPr>
                      <w:rFonts w:hint="default" w:ascii="Times New Roman" w:hAnsi="Times New Roman" w:cs="Times New Roman"/>
                      <w:b/>
                      <w:bCs/>
                      <w:color w:val="auto"/>
                      <w:szCs w:val="22"/>
                      <w:highlight w:val="none"/>
                    </w:rPr>
                    <w:t>昼间</w:t>
                  </w:r>
                </w:p>
              </w:tc>
              <w:tc>
                <w:tcPr>
                  <w:tcW w:w="2339" w:type="dxa"/>
                  <w:tcBorders>
                    <w:top w:val="single" w:color="auto" w:sz="4" w:space="0"/>
                  </w:tcBorders>
                  <w:shd w:val="clear" w:color="auto" w:fill="auto"/>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leftChars="0" w:right="0" w:rightChars="0"/>
                    <w:jc w:val="center"/>
                    <w:rPr>
                      <w:rFonts w:hint="default" w:ascii="Times New Roman" w:hAnsi="Times New Roman" w:eastAsia="宋体" w:cs="Times New Roman"/>
                      <w:b/>
                      <w:bCs/>
                      <w:color w:val="auto"/>
                      <w:kern w:val="2"/>
                      <w:sz w:val="21"/>
                      <w:szCs w:val="22"/>
                      <w:highlight w:val="none"/>
                      <w:lang w:val="en-US" w:eastAsia="zh-CN" w:bidi="ar-SA"/>
                    </w:rPr>
                  </w:pPr>
                  <w:r>
                    <w:rPr>
                      <w:rFonts w:hint="default" w:ascii="Times New Roman" w:hAnsi="Times New Roman" w:cs="Times New Roman"/>
                      <w:b/>
                      <w:bCs/>
                      <w:color w:val="auto"/>
                      <w:szCs w:val="22"/>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6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b/>
                      <w:bCs/>
                      <w:color w:val="auto"/>
                      <w:szCs w:val="22"/>
                      <w:highlight w:val="none"/>
                      <w:lang w:eastAsia="zh-CN"/>
                    </w:rPr>
                  </w:pPr>
                  <w:r>
                    <w:rPr>
                      <w:rFonts w:hint="eastAsia" w:cs="Times New Roman"/>
                      <w:color w:val="auto"/>
                      <w:szCs w:val="22"/>
                      <w:highlight w:val="none"/>
                      <w:lang w:val="en-US" w:eastAsia="zh-CN"/>
                    </w:rPr>
                    <w:t>1</w:t>
                  </w:r>
                  <w:r>
                    <w:rPr>
                      <w:rFonts w:hint="default" w:ascii="Times New Roman" w:hAnsi="Times New Roman" w:cs="Times New Roman"/>
                      <w:color w:val="auto"/>
                      <w:szCs w:val="22"/>
                      <w:highlight w:val="none"/>
                      <w:lang w:val="en-US" w:eastAsia="zh-CN"/>
                    </w:rPr>
                    <w:t>类</w:t>
                  </w:r>
                </w:p>
              </w:tc>
              <w:tc>
                <w:tcPr>
                  <w:tcW w:w="204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55</w:t>
                  </w:r>
                </w:p>
              </w:tc>
              <w:tc>
                <w:tcPr>
                  <w:tcW w:w="2339"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4</w:t>
                  </w:r>
                  <w:r>
                    <w:rPr>
                      <w:rFonts w:hint="default" w:ascii="Times New Roman" w:hAnsi="Times New Roman" w:cs="Times New Roman"/>
                      <w:color w:val="auto"/>
                      <w:szCs w:val="22"/>
                      <w:highlight w:val="none"/>
                      <w:lang w:val="en-US" w:eastAsia="zh-CN"/>
                    </w:rPr>
                    <w:t>5</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⑷固体废物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危险废物贮存过程应满足《危险废物贮存污染控制标准》（GB 18597-2023）中规定；</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一般工业固体废物贮存过程应满足相应防渗漏、防雨淋、防扬尘等环境保护要求。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eastAsia="仿宋_GB2312" w:cs="Times New Roman"/>
                <w:color w:val="FF0000"/>
                <w:kern w:val="16"/>
                <w:sz w:val="10"/>
                <w:szCs w:val="1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72"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总量控制指标</w:t>
            </w:r>
          </w:p>
        </w:tc>
        <w:tc>
          <w:tcPr>
            <w:tcW w:w="8635"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auto"/>
                <w:highlight w:val="none"/>
              </w:rPr>
              <w:t>根据《宁夏回族自治区排污权有偿使用和交易管理暂行办法》第四条：排污权有偿使用和交易在自治区各市、县（区）和宁东能源化工基地同步开展，适用于自治区行政区域内按照排污许可规定实施重点管理、简化管理和登记管理的排污单位，以及按照区域环境管理要求实施主要污染物总量控制的排污单位。先行对氮氧化物（NOx）、二氧化硫（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）和化学需氧量（COD）、氨氮（NH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-N）四项指标开展交易，随后将挥发性有机物（VOCs），以及影响全区环境质量改善的其他特征污染物逐步纳入交易范围。本项目废气污染物不涉及NOx、VOCs排放，废气主要污染物为颗粒物，排放量为</w:t>
            </w:r>
            <w:r>
              <w:rPr>
                <w:rFonts w:hint="eastAsia" w:cs="Times New Roman"/>
                <w:color w:val="auto"/>
                <w:highlight w:val="none"/>
                <w:lang w:val="en-US" w:eastAsia="zh-CN"/>
              </w:rPr>
              <w:t>0.98</w:t>
            </w:r>
            <w:r>
              <w:rPr>
                <w:rFonts w:hint="default" w:ascii="Times New Roman" w:hAnsi="Times New Roman" w:cs="Times New Roman"/>
                <w:color w:val="auto"/>
                <w:highlight w:val="none"/>
              </w:rPr>
              <w:t>t/a，需要申请颗粒物总量指标</w:t>
            </w:r>
            <w:r>
              <w:rPr>
                <w:rFonts w:hint="eastAsia" w:cs="Times New Roman"/>
                <w:color w:val="auto"/>
                <w:highlight w:val="none"/>
                <w:lang w:val="en-US" w:eastAsia="zh-CN"/>
              </w:rPr>
              <w:t>0.98</w:t>
            </w:r>
            <w:r>
              <w:rPr>
                <w:rFonts w:hint="default" w:ascii="Times New Roman" w:hAnsi="Times New Roman" w:cs="Times New Roman"/>
                <w:color w:val="auto"/>
                <w:highlight w:val="none"/>
              </w:rPr>
              <w:t>t/a。</w:t>
            </w:r>
          </w:p>
        </w:tc>
      </w:tr>
    </w:tbl>
    <w:p>
      <w:pPr>
        <w:pageBreakBefore w:val="0"/>
        <w:kinsoku/>
        <w:wordWrap/>
        <w:topLinePunct w:val="0"/>
        <w:bidi w:val="0"/>
        <w:adjustRightInd w:val="0"/>
        <w:snapToGrid w:val="0"/>
        <w:jc w:val="left"/>
        <w:rPr>
          <w:rFonts w:hint="default" w:ascii="Times New Roman" w:hAnsi="Times New Roman" w:eastAsia="黑体" w:cs="Times New Roman"/>
          <w:b/>
          <w:bCs/>
          <w:color w:val="FF0000"/>
          <w:sz w:val="30"/>
          <w:szCs w:val="30"/>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FF0000"/>
          <w:highlight w:val="none"/>
        </w:rPr>
      </w:pPr>
      <w:r>
        <w:rPr>
          <w:rFonts w:hint="default" w:ascii="Times New Roman" w:hAnsi="Times New Roman" w:cs="Times New Roman"/>
          <w:color w:val="auto"/>
          <w:highlight w:val="none"/>
          <w:lang w:eastAsia="zh-CN"/>
        </w:rPr>
        <w:t>四、主要环境影响和保护措施</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3"/>
        <w:gridCol w:w="86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78" w:hRule="atLeast"/>
          <w:jc w:val="center"/>
        </w:trPr>
        <w:tc>
          <w:tcPr>
            <w:tcW w:w="70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施工期环境保护措施</w:t>
            </w:r>
          </w:p>
        </w:tc>
        <w:tc>
          <w:tcPr>
            <w:tcW w:w="8651" w:type="dxa"/>
            <w:vAlign w:val="top"/>
          </w:tcPr>
          <w:p>
            <w:pPr>
              <w:pStyle w:val="103"/>
              <w:keepNext/>
              <w:keepLines w:val="0"/>
              <w:pageBreakBefore w:val="0"/>
              <w:widowControl/>
              <w:suppressLineNumbers w:val="0"/>
              <w:kinsoku/>
              <w:wordWrap/>
              <w:topLinePunct w:val="0"/>
              <w:autoSpaceDE/>
              <w:autoSpaceDN/>
              <w:bidi w:val="0"/>
              <w:adjustRightInd w:val="0"/>
              <w:snapToGrid w:val="0"/>
              <w:spacing w:beforeAutospacing="0" w:afterAutospacing="0"/>
              <w:ind w:left="0" w:right="0"/>
              <w:jc w:val="both"/>
              <w:rPr>
                <w:rFonts w:hint="default" w:ascii="Times New Roman" w:hAnsi="Times New Roman" w:eastAsia="仿宋_GB2312" w:cs="Times New Roman"/>
                <w:b/>
                <w:bCs/>
                <w:color w:val="auto"/>
                <w:kern w:val="16"/>
                <w:sz w:val="24"/>
                <w:szCs w:val="24"/>
                <w:highlight w:val="none"/>
                <w:lang w:val="en-US" w:eastAsia="zh-CN" w:bidi="ar-SA"/>
              </w:rPr>
            </w:pPr>
            <w:r>
              <w:rPr>
                <w:rFonts w:hint="default" w:ascii="Times New Roman" w:hAnsi="Times New Roman" w:eastAsia="仿宋_GB2312" w:cs="Times New Roman"/>
                <w:b/>
                <w:bCs/>
                <w:color w:val="auto"/>
                <w:kern w:val="16"/>
                <w:sz w:val="24"/>
                <w:szCs w:val="24"/>
                <w:highlight w:val="none"/>
                <w:lang w:val="en-US" w:eastAsia="zh-CN" w:bidi="ar-SA"/>
              </w:rPr>
              <w:t>1.扬尘防治措施</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cs="Times New Roman"/>
                <w:b w:val="0"/>
                <w:color w:val="auto"/>
                <w:kern w:val="16"/>
                <w:sz w:val="24"/>
                <w:szCs w:val="24"/>
                <w:highlight w:val="none"/>
                <w:lang w:val="en-US" w:eastAsia="zh-CN" w:bidi="ar-SA"/>
              </w:rPr>
              <w:t>本</w:t>
            </w:r>
            <w:r>
              <w:rPr>
                <w:rFonts w:hint="default" w:ascii="Times New Roman" w:hAnsi="Times New Roman" w:cs="Times New Roman"/>
                <w:b w:val="0"/>
                <w:color w:val="auto"/>
                <w:kern w:val="16"/>
                <w:sz w:val="24"/>
                <w:szCs w:val="24"/>
                <w:highlight w:val="none"/>
                <w:lang w:val="en-US" w:eastAsia="zh-CN" w:bidi="ar-SA"/>
              </w:rPr>
              <w:t>项目施工期的大气环境问题主要为扬尘、施工机械及运输车辆尾气。扬尘主要产生于土石方开挖、粉状建筑材料运输、堆放等过程，具体包括了道路运输扬尘、堆场扬尘、施工场内施工扬尘。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道路运输扬尘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项目道路运输扬尘主要为建筑材料及建筑垃圾运输时车辆在行驶过程中产生的扬尘</w:t>
            </w:r>
            <w:r>
              <w:rPr>
                <w:rFonts w:hint="eastAsia" w:cs="Times New Roman"/>
                <w:b w:val="0"/>
                <w:color w:val="auto"/>
                <w:kern w:val="16"/>
                <w:sz w:val="24"/>
                <w:szCs w:val="24"/>
                <w:highlight w:val="none"/>
                <w:lang w:val="en-US" w:eastAsia="zh-CN" w:bidi="ar-SA"/>
              </w:rPr>
              <w:t>。</w:t>
            </w:r>
            <w:r>
              <w:rPr>
                <w:rFonts w:hint="eastAsia"/>
                <w:color w:val="auto"/>
                <w:highlight w:val="none"/>
              </w:rPr>
              <w:t>施工现场须设置连续、密闭的硬质围挡，城市主要路段高度不低于2.5米，一般路段不低于1.8米，并配备防溢底座和喷淋设施。主要道路、材料加工区、办公生活区等区域须进行混凝土或钢板硬化处理，无法硬化的区域需铺装石子并保持湿润。</w:t>
            </w:r>
            <w:r>
              <w:rPr>
                <w:rFonts w:hint="default" w:ascii="Times New Roman" w:hAnsi="Times New Roman" w:cs="Times New Roman"/>
                <w:b w:val="0"/>
                <w:color w:val="auto"/>
                <w:kern w:val="16"/>
                <w:sz w:val="24"/>
                <w:szCs w:val="24"/>
                <w:highlight w:val="none"/>
                <w:lang w:val="en-US" w:eastAsia="zh-CN" w:bidi="ar-SA"/>
              </w:rPr>
              <w:t>为减少道路运输扬尘对周围环境的影响，通过采取对运输道路硬化、洒水抑尘、清扫运输马路等措施减少扬尘的产生量。</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堆场扬尘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扬尘的另一个主要来源是土地开挖、主体工程建设等操作过程产生的扬尘和露天堆场、裸露场地的风力扬尘</w:t>
            </w:r>
            <w:r>
              <w:rPr>
                <w:rFonts w:hint="eastAsia" w:cs="Times New Roman"/>
                <w:b w:val="0"/>
                <w:color w:val="auto"/>
                <w:kern w:val="16"/>
                <w:sz w:val="24"/>
                <w:szCs w:val="24"/>
                <w:highlight w:val="none"/>
                <w:lang w:val="en-US" w:eastAsia="zh-CN" w:bidi="ar-SA"/>
              </w:rPr>
              <w:t>。</w:t>
            </w:r>
            <w:r>
              <w:rPr>
                <w:rFonts w:hint="eastAsia"/>
                <w:color w:val="auto"/>
                <w:highlight w:val="none"/>
              </w:rPr>
              <w:t>易产生扬尘的物料须集中堆放，并用防尘网、土工布或专用仓库密闭覆盖，防止风蚀扬尘。</w:t>
            </w:r>
            <w:r>
              <w:rPr>
                <w:rFonts w:hint="default" w:ascii="Times New Roman" w:hAnsi="Times New Roman" w:cs="Times New Roman"/>
                <w:b w:val="0"/>
                <w:color w:val="auto"/>
                <w:kern w:val="16"/>
                <w:sz w:val="24"/>
                <w:szCs w:val="24"/>
                <w:highlight w:val="none"/>
                <w:lang w:val="en-US" w:eastAsia="zh-CN" w:bidi="ar-SA"/>
              </w:rPr>
              <w:t>为减少堆场扬尘对周围各敏感点的影响，应尽量减少回填土、粉状建筑材料露天堆放，必须露天堆放的易起尘的材料应加苫布覆盖。</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⑶</w:t>
            </w:r>
            <w:r>
              <w:rPr>
                <w:rFonts w:hint="default" w:ascii="Times New Roman" w:hAnsi="Times New Roman" w:cs="Times New Roman"/>
                <w:b w:val="0"/>
                <w:color w:val="auto"/>
                <w:kern w:val="16"/>
                <w:sz w:val="24"/>
                <w:szCs w:val="24"/>
                <w:highlight w:val="none"/>
                <w:lang w:val="en-US" w:eastAsia="zh-CN" w:bidi="ar-SA"/>
              </w:rPr>
              <w:t>机械及运输车辆尾气</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通过加强对施工机械的维护和保养，加强对施工机械、施工进程的管理，提高使用效率，使用清洁能源等措施，项目施工期施工机械（非道路移动机械）需要进行备案登记，不得使用未备案的施工机械，同时按照管理要求进行定期检测，使用检测达标的设备。</w:t>
            </w:r>
            <w:r>
              <w:rPr>
                <w:rFonts w:hint="default"/>
                <w:color w:val="auto"/>
                <w:highlight w:val="none"/>
              </w:rPr>
              <w:t>建筑垃圾、工程渣土运输须使用密闭式专用车辆，委托具备资质的运输单位，严禁撒漏、飘散。工地出入口须设置车辆自动冲洗平台或高压冲洗设施，确保所有出场车辆车身、车轮、底盘清洁，严禁带泥上路。</w:t>
            </w:r>
            <w:r>
              <w:rPr>
                <w:rFonts w:hint="default" w:ascii="Times New Roman" w:hAnsi="Times New Roman" w:cs="Times New Roman"/>
                <w:b w:val="0"/>
                <w:color w:val="auto"/>
                <w:kern w:val="16"/>
                <w:sz w:val="24"/>
                <w:szCs w:val="24"/>
                <w:highlight w:val="none"/>
                <w:lang w:val="en-US" w:eastAsia="zh-CN" w:bidi="ar-SA"/>
              </w:rPr>
              <w:t>运输车辆禁止超载，不得使用劣质燃料；对车辆的尾气排放加强监督管理，严格执行汽车排污监管办法相关规定，避免排放黑烟。</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jc w:val="both"/>
              <w:rPr>
                <w:rFonts w:hint="default" w:ascii="Times New Roman" w:hAnsi="Times New Roman" w:cs="Times New Roman"/>
                <w:b/>
                <w:bCs/>
                <w:color w:val="auto"/>
                <w:kern w:val="16"/>
                <w:sz w:val="24"/>
                <w:szCs w:val="24"/>
                <w:highlight w:val="none"/>
                <w:lang w:val="en-US" w:eastAsia="zh-CN" w:bidi="ar-SA"/>
              </w:rPr>
            </w:pP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jc w:val="both"/>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2.废水防治措施</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cs="Times New Roman"/>
                <w:b w:val="0"/>
                <w:color w:val="auto"/>
                <w:kern w:val="16"/>
                <w:sz w:val="24"/>
                <w:szCs w:val="24"/>
                <w:highlight w:val="none"/>
                <w:lang w:val="en-US" w:eastAsia="zh-CN" w:bidi="ar-SA"/>
              </w:rPr>
              <w:t>本项目</w:t>
            </w:r>
            <w:r>
              <w:rPr>
                <w:rFonts w:hint="default" w:ascii="Times New Roman" w:hAnsi="Times New Roman" w:cs="Times New Roman"/>
                <w:b w:val="0"/>
                <w:color w:val="auto"/>
                <w:kern w:val="16"/>
                <w:sz w:val="24"/>
                <w:szCs w:val="24"/>
                <w:highlight w:val="none"/>
                <w:lang w:val="en-US" w:eastAsia="zh-CN" w:bidi="ar-SA"/>
              </w:rPr>
              <w:t>施工期产生的废水主要为建筑施工废水和施工人员日常生活污水。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施工废水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项目施工期间产生的施工废水主要为施工机械冲洗废水，产生量较少，通过自建临时沉淀池，处理后回用于施工场地及道路洒水抑尘，不向外环境排放。</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生活污水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本项目施工人员不在施工场地内食宿，施工期生活污水主要为施工人员洗手及施工场地冲厕废水，通过自建临时化粪池收集，定期用密封罐车</w:t>
            </w:r>
            <w:r>
              <w:rPr>
                <w:rFonts w:hint="eastAsia" w:cs="Times New Roman"/>
                <w:b w:val="0"/>
                <w:color w:val="auto"/>
                <w:kern w:val="16"/>
                <w:sz w:val="24"/>
                <w:szCs w:val="24"/>
                <w:highlight w:val="none"/>
                <w:lang w:val="en-US" w:eastAsia="zh-CN" w:bidi="ar-SA"/>
              </w:rPr>
              <w:t>拉运至彭阳县第二污水处理厂。</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jc w:val="both"/>
              <w:textAlignment w:val="auto"/>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3.噪声防治措施</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期的噪声主要为机械噪声、施工作业噪声和施工车辆噪声。机械噪声主要由施工机械所造成，如挖土机械、打桩机械、混凝土搅拌机、升降机等，多为点声源；施工作业噪声主要指一些零星的敲打声、装卸车辆的撞击声、吆喝声、拆装模板的撞击声等，多为瞬间噪声；施工车辆的噪声属于交通噪声。在这些施工噪声中对声环境影响最大的是机械噪声，具有噪声源相对稳定和施工作业时间不稳定、波动性大的特点。</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期间，建设单位应要求施工单位的主要机械设备为低噪声，在施工过程中施工单位应设专人对设备进行定期保养和维护，并负责对现场工作人员进行培训，严格按操作规范使用各类机械；运输车辆进入施工现场避免鸣笛，并要减速慢行，装卸材料应做到轻拿轻放，最大限度地减少噪声扰民；合理</w:t>
            </w:r>
            <w:r>
              <w:rPr>
                <w:rFonts w:hint="eastAsia" w:cs="Times New Roman"/>
                <w:color w:val="auto"/>
                <w:sz w:val="24"/>
                <w:szCs w:val="24"/>
                <w:highlight w:val="none"/>
                <w:lang w:val="en-US" w:eastAsia="zh-CN"/>
              </w:rPr>
              <w:t>制定</w:t>
            </w:r>
            <w:r>
              <w:rPr>
                <w:rFonts w:hint="default" w:ascii="Times New Roman" w:hAnsi="Times New Roman" w:cs="Times New Roman"/>
                <w:color w:val="auto"/>
                <w:sz w:val="24"/>
                <w:szCs w:val="24"/>
                <w:highlight w:val="none"/>
                <w:lang w:val="en-US" w:eastAsia="zh-CN"/>
              </w:rPr>
              <w:t>施工计划，采取先进的施工工艺，缩短施工作业时间，避免高噪声设备同时工作；在施工时间安排上要合理，避免在晚上22:00~6:00之间施工作业，因特殊需要必须连续作业的，建设单位在施工前做准备，征得环保部门同意批准后，张贴告示、</w:t>
            </w:r>
            <w:r>
              <w:rPr>
                <w:rFonts w:hint="eastAsia" w:cs="Times New Roman"/>
                <w:color w:val="auto"/>
                <w:sz w:val="24"/>
                <w:szCs w:val="24"/>
                <w:highlight w:val="none"/>
                <w:lang w:val="en-US" w:eastAsia="zh-CN"/>
              </w:rPr>
              <w:t>做好</w:t>
            </w:r>
            <w:r>
              <w:rPr>
                <w:rFonts w:hint="default" w:ascii="Times New Roman" w:hAnsi="Times New Roman" w:cs="Times New Roman"/>
                <w:color w:val="auto"/>
                <w:sz w:val="24"/>
                <w:szCs w:val="24"/>
                <w:highlight w:val="none"/>
                <w:lang w:val="en-US" w:eastAsia="zh-CN"/>
              </w:rPr>
              <w:t>宣传，并告知周围居民。</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0" w:firstLineChars="0"/>
              <w:jc w:val="both"/>
              <w:textAlignment w:val="auto"/>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4.固体废物治理措施</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本项目施工期固体废物为建筑施工产生的建筑垃圾、施工人员产生的生活垃圾。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建筑垃圾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建筑垃圾中可回收利用部分单独分类收集使用或销售到废品收购站处理，不能回收部分和废弃土石方可送至其它建筑场地用作建筑路基、回填土方，进行综合利用，剩余部分由转运至本项目建筑垃圾专用处置场，不得随意堆放、抛弃，避免对周围环境造成不利影响。</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生活垃圾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FF0000"/>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施工期生活垃圾经临时的生活垃圾收集系统收集后，</w:t>
            </w:r>
            <w:r>
              <w:rPr>
                <w:rFonts w:hint="eastAsia" w:cs="Times New Roman"/>
                <w:b w:val="0"/>
                <w:color w:val="auto"/>
                <w:kern w:val="16"/>
                <w:sz w:val="24"/>
                <w:szCs w:val="24"/>
                <w:highlight w:val="none"/>
                <w:lang w:val="en-US" w:eastAsia="zh-CN" w:bidi="ar-SA"/>
              </w:rPr>
              <w:t>交由环卫部门处理</w:t>
            </w:r>
            <w:r>
              <w:rPr>
                <w:rFonts w:hint="default" w:ascii="Times New Roman" w:hAnsi="Times New Roman" w:cs="Times New Roman"/>
                <w:b w:val="0"/>
                <w:color w:val="auto"/>
                <w:kern w:val="16"/>
                <w:sz w:val="24"/>
                <w:szCs w:val="24"/>
                <w:highlight w:val="none"/>
                <w:lang w:val="en-US" w:eastAsia="zh-CN" w:bidi="ar-SA"/>
              </w:rPr>
              <w:t>。</w:t>
            </w:r>
          </w:p>
        </w:tc>
      </w:tr>
    </w:tbl>
    <w:p>
      <w:pPr>
        <w:pageBreakBefore w:val="0"/>
        <w:kinsoku/>
        <w:wordWrap/>
        <w:topLinePunct w:val="0"/>
        <w:bidi w:val="0"/>
        <w:adjustRightInd w:val="0"/>
        <w:snapToGrid w:val="0"/>
        <w:rPr>
          <w:rFonts w:hint="default" w:ascii="Times New Roman" w:hAnsi="Times New Roman" w:cs="Times New Roman"/>
          <w:color w:val="FF0000"/>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7"/>
        <w:tblW w:w="140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32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9" w:hRule="atLeast"/>
          <w:jc w:val="center"/>
        </w:trPr>
        <w:tc>
          <w:tcPr>
            <w:tcW w:w="771"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SA"/>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jc w:val="center"/>
              <w:rPr>
                <w:rFonts w:hint="default" w:ascii="Times New Roman" w:hAnsi="Times New Roman" w:cs="Times New Roman"/>
                <w:color w:val="FF0000"/>
                <w:kern w:val="2"/>
                <w:szCs w:val="2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tc>
        <w:tc>
          <w:tcPr>
            <w:tcW w:w="13241" w:type="dxa"/>
            <w:vAlign w:val="center"/>
          </w:tcPr>
          <w:p>
            <w:pPr>
              <w:pStyle w:val="103"/>
              <w:keepNext w:val="0"/>
              <w:keepLines w:val="0"/>
              <w:pageBreakBefore w:val="0"/>
              <w:suppressLineNumbers w:val="0"/>
              <w:kinsoku/>
              <w:wordWrap/>
              <w:topLinePunct w:val="0"/>
              <w:bidi w:val="0"/>
              <w:adjustRightInd w:val="0"/>
              <w:snapToGrid w:val="0"/>
              <w:spacing w:beforeAutospacing="0" w:afterAutospacing="0" w:line="240" w:lineRule="auto"/>
              <w:ind w:left="0" w:right="0"/>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废气</w:t>
            </w:r>
          </w:p>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1.1正常工况产排污环节及源强核算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本项目建筑</w:t>
            </w:r>
            <w:r>
              <w:rPr>
                <w:rFonts w:hint="eastAsia" w:eastAsia="仿宋_GB2312" w:cs="Times New Roman"/>
                <w:color w:val="auto"/>
                <w:sz w:val="24"/>
                <w:szCs w:val="24"/>
                <w:highlight w:val="none"/>
                <w:lang w:val="en-US" w:eastAsia="zh-CN"/>
              </w:rPr>
              <w:t>、装饰</w:t>
            </w:r>
            <w:r>
              <w:rPr>
                <w:rFonts w:hint="default" w:ascii="Times New Roman" w:hAnsi="Times New Roman" w:eastAsia="仿宋_GB2312" w:cs="Times New Roman"/>
                <w:color w:val="auto"/>
                <w:sz w:val="24"/>
                <w:szCs w:val="24"/>
                <w:highlight w:val="none"/>
                <w:lang w:val="en-US" w:eastAsia="zh-CN"/>
              </w:rPr>
              <w:t>垃圾再生</w:t>
            </w:r>
            <w:r>
              <w:rPr>
                <w:rFonts w:hint="eastAsia" w:eastAsia="仿宋_GB2312" w:cs="Times New Roman"/>
                <w:color w:val="auto"/>
                <w:sz w:val="24"/>
                <w:szCs w:val="24"/>
                <w:highlight w:val="none"/>
                <w:lang w:val="en-US" w:eastAsia="zh-CN"/>
              </w:rPr>
              <w:t>线产生的废气主要来源于</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车辆运输无组织粉尘、</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原料堆场装卸粉尘阶段、破碎环节、筛分环节、风选环节以及再生产品堆场装卸粉尘阶段。</w:t>
            </w:r>
            <w:r>
              <w:rPr>
                <w:rFonts w:hint="default" w:ascii="Times New Roman" w:hAnsi="Times New Roman" w:eastAsia="仿宋_GB2312" w:cs="Times New Roman"/>
                <w:color w:val="auto"/>
                <w:sz w:val="24"/>
                <w:szCs w:val="24"/>
                <w:highlight w:val="none"/>
                <w:lang w:val="en-US" w:eastAsia="zh-CN"/>
              </w:rPr>
              <w:t>本项目再生混凝土制品生产</w:t>
            </w:r>
            <w:r>
              <w:rPr>
                <w:rFonts w:hint="eastAsia" w:eastAsia="仿宋_GB2312" w:cs="Times New Roman"/>
                <w:color w:val="auto"/>
                <w:sz w:val="24"/>
                <w:szCs w:val="24"/>
                <w:highlight w:val="none"/>
                <w:lang w:val="en-US" w:eastAsia="zh-CN"/>
              </w:rPr>
              <w:t>线产生的废气主要来源于</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w:t>
            </w:r>
            <w:r>
              <w:rPr>
                <w:rFonts w:hint="default" w:ascii="Times New Roman" w:hAnsi="Times New Roman" w:eastAsia="仿宋_GB2312" w:cs="Times New Roman"/>
                <w:color w:val="auto"/>
                <w:sz w:val="24"/>
                <w:szCs w:val="24"/>
                <w:highlight w:val="none"/>
                <w:lang w:val="en-US" w:eastAsia="zh-CN"/>
              </w:rPr>
              <w:t>运输</w:t>
            </w:r>
            <w:r>
              <w:rPr>
                <w:rFonts w:hint="eastAsia" w:eastAsia="仿宋_GB2312" w:cs="Times New Roman"/>
                <w:color w:val="auto"/>
                <w:sz w:val="24"/>
                <w:szCs w:val="24"/>
                <w:highlight w:val="none"/>
                <w:lang w:val="en-US" w:eastAsia="zh-CN"/>
              </w:rPr>
              <w:t>装卸阶段、水泥粉煤灰输送阶段以及搅拌机搅拌环节。</w:t>
            </w:r>
            <w:r>
              <w:rPr>
                <w:rFonts w:hint="default" w:ascii="Times New Roman" w:hAnsi="Times New Roman" w:eastAsia="仿宋_GB2312" w:cs="Times New Roman"/>
                <w:color w:val="auto"/>
                <w:sz w:val="24"/>
                <w:szCs w:val="24"/>
                <w:highlight w:val="none"/>
                <w:lang w:val="en-US" w:eastAsia="zh-CN"/>
              </w:rPr>
              <w:t>本项目水稳料生产</w:t>
            </w:r>
            <w:r>
              <w:rPr>
                <w:rFonts w:hint="eastAsia" w:eastAsia="仿宋_GB2312" w:cs="Times New Roman"/>
                <w:color w:val="auto"/>
                <w:sz w:val="24"/>
                <w:szCs w:val="24"/>
                <w:highlight w:val="none"/>
                <w:lang w:val="en-US" w:eastAsia="zh-CN"/>
              </w:rPr>
              <w:t>线产生的废气主要来源于混合骨料上料阶段、水泥输送阶段以及搅拌机搅拌环节。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本项目有组织排放粉尘</w:t>
            </w:r>
            <w:r>
              <w:rPr>
                <w:rFonts w:hint="eastAsia" w:eastAsia="仿宋_GB2312" w:cs="Times New Roman"/>
                <w:color w:val="000000" w:themeColor="text1"/>
                <w:sz w:val="24"/>
                <w:szCs w:val="24"/>
                <w:highlight w:val="none"/>
                <w:lang w:val="en-US" w:eastAsia="zh-CN"/>
                <w14:textFill>
                  <w14:solidFill>
                    <w14:schemeClr w14:val="tx1"/>
                  </w14:solidFill>
                </w14:textFill>
              </w:rPr>
              <w:t>来源于颚式破碎机破碎阶段、风选机风选阶段。</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在</w:t>
            </w:r>
            <w:r>
              <w:rPr>
                <w:rFonts w:hint="eastAsia" w:eastAsia="仿宋_GB2312" w:cs="Times New Roman"/>
                <w:color w:val="000000" w:themeColor="text1"/>
                <w:sz w:val="24"/>
                <w:szCs w:val="24"/>
                <w:highlight w:val="none"/>
                <w:lang w:val="en-US" w:eastAsia="zh-CN"/>
                <w14:textFill>
                  <w14:solidFill>
                    <w14:schemeClr w14:val="tx1"/>
                  </w14:solidFill>
                </w14:textFill>
              </w:rPr>
              <w:t>颚式</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破碎</w:t>
            </w:r>
            <w:r>
              <w:rPr>
                <w:rFonts w:hint="eastAsia" w:eastAsia="仿宋_GB2312" w:cs="Times New Roman"/>
                <w:color w:val="000000" w:themeColor="text1"/>
                <w:sz w:val="24"/>
                <w:szCs w:val="24"/>
                <w:highlight w:val="none"/>
                <w:lang w:val="en-US" w:eastAsia="zh-CN"/>
                <w14:textFill>
                  <w14:solidFill>
                    <w14:schemeClr w14:val="tx1"/>
                  </w14:solidFill>
                </w14:textFill>
              </w:rPr>
              <w:t>机</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、风选</w:t>
            </w:r>
            <w:r>
              <w:rPr>
                <w:rFonts w:hint="eastAsia" w:eastAsia="仿宋_GB2312" w:cs="Times New Roman"/>
                <w:color w:val="000000" w:themeColor="text1"/>
                <w:sz w:val="24"/>
                <w:szCs w:val="24"/>
                <w:highlight w:val="none"/>
                <w:lang w:val="en-US" w:eastAsia="zh-CN"/>
                <w14:textFill>
                  <w14:solidFill>
                    <w14:schemeClr w14:val="tx1"/>
                  </w14:solidFill>
                </w14:textFill>
              </w:rPr>
              <w:t>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上方分别设置集气罩（共</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套，收集效率95%），</w:t>
            </w:r>
            <w:r>
              <w:rPr>
                <w:rFonts w:hint="eastAsia" w:eastAsia="仿宋_GB2312" w:cs="Times New Roman"/>
                <w:color w:val="000000" w:themeColor="text1"/>
                <w:sz w:val="24"/>
                <w:szCs w:val="24"/>
                <w:highlight w:val="none"/>
                <w:lang w:val="en-US" w:eastAsia="zh-CN"/>
                <w14:textFill>
                  <w14:solidFill>
                    <w14:schemeClr w14:val="tx1"/>
                  </w14:solidFill>
                </w14:textFill>
              </w:rPr>
              <w:t>颚式</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破碎</w:t>
            </w:r>
            <w:r>
              <w:rPr>
                <w:rFonts w:hint="eastAsia" w:eastAsia="仿宋_GB2312" w:cs="Times New Roman"/>
                <w:color w:val="000000" w:themeColor="text1"/>
                <w:sz w:val="24"/>
                <w:szCs w:val="24"/>
                <w:highlight w:val="none"/>
                <w:lang w:val="en-US" w:eastAsia="zh-CN"/>
                <w14:textFill>
                  <w14:solidFill>
                    <w14:schemeClr w14:val="tx1"/>
                  </w14:solidFill>
                </w14:textFill>
              </w:rPr>
              <w:t>机产生粉尘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通过“</w:t>
            </w:r>
            <w:r>
              <w:rPr>
                <w:rFonts w:hint="eastAsia" w:eastAsia="仿宋_GB2312" w:cs="Times New Roman"/>
                <w:color w:val="000000" w:themeColor="text1"/>
                <w:sz w:val="24"/>
                <w:szCs w:val="24"/>
                <w:highlight w:val="none"/>
                <w:lang w:val="en-US" w:eastAsia="zh-CN"/>
                <w14:textFill>
                  <w14:solidFill>
                    <w14:schemeClr w14:val="tx1"/>
                  </w14:solidFill>
                </w14:textFill>
              </w:rPr>
              <w:t>密闭集气罩+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布袋除尘器+</w:t>
            </w:r>
            <w:r>
              <w:rPr>
                <w:rFonts w:hint="eastAsia" w:eastAsia="仿宋_GB2312"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m高排气筒（DA001）”</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风选</w:t>
            </w:r>
            <w:r>
              <w:rPr>
                <w:rFonts w:hint="eastAsia" w:eastAsia="仿宋_GB2312" w:cs="Times New Roman"/>
                <w:color w:val="000000" w:themeColor="text1"/>
                <w:sz w:val="24"/>
                <w:szCs w:val="24"/>
                <w:highlight w:val="none"/>
                <w:lang w:val="en-US" w:eastAsia="zh-CN"/>
                <w14:textFill>
                  <w14:solidFill>
                    <w14:schemeClr w14:val="tx1"/>
                  </w14:solidFill>
                </w14:textFill>
              </w:rPr>
              <w:t>机产生粉尘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通过“</w:t>
            </w:r>
            <w:r>
              <w:rPr>
                <w:rFonts w:hint="eastAsia" w:eastAsia="仿宋_GB2312" w:cs="Times New Roman"/>
                <w:color w:val="000000" w:themeColor="text1"/>
                <w:sz w:val="24"/>
                <w:szCs w:val="24"/>
                <w:highlight w:val="none"/>
                <w:lang w:val="en-US" w:eastAsia="zh-CN"/>
                <w14:textFill>
                  <w14:solidFill>
                    <w14:schemeClr w14:val="tx1"/>
                  </w14:solidFill>
                </w14:textFill>
              </w:rPr>
              <w:t>密闭集气罩+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布袋除尘器+</w:t>
            </w:r>
            <w:r>
              <w:rPr>
                <w:rFonts w:hint="eastAsia" w:eastAsia="仿宋_GB2312"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m高排气筒（DA00</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同时</w:t>
            </w:r>
            <w:r>
              <w:rPr>
                <w:rFonts w:hint="eastAsia" w:eastAsia="仿宋_GB2312" w:cs="Times New Roman"/>
                <w:color w:val="000000" w:themeColor="text1"/>
                <w:sz w:val="24"/>
                <w:szCs w:val="24"/>
                <w:highlight w:val="none"/>
                <w:lang w:val="en-US" w:eastAsia="zh-CN"/>
                <w14:textFill>
                  <w14:solidFill>
                    <w14:schemeClr w14:val="tx1"/>
                  </w14:solidFill>
                </w14:textFill>
              </w:rPr>
              <w:t>在车间内</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设置</w:t>
            </w:r>
            <w:r>
              <w:rPr>
                <w:rFonts w:hint="eastAsia" w:eastAsia="仿宋_GB2312" w:cs="Times New Roman"/>
                <w:color w:val="000000" w:themeColor="text1"/>
                <w:sz w:val="24"/>
                <w:szCs w:val="24"/>
                <w:highlight w:val="none"/>
                <w:lang w:val="en-US" w:eastAsia="zh-CN"/>
                <w14:textFill>
                  <w14:solidFill>
                    <w14:schemeClr w14:val="tx1"/>
                  </w14:solidFill>
                </w14:textFill>
              </w:rPr>
              <w:t>4台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活性干雾机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，从而有效降低</w:t>
            </w:r>
            <w:r>
              <w:rPr>
                <w:rFonts w:hint="eastAsia" w:eastAsia="仿宋_GB2312" w:cs="Times New Roman"/>
                <w:color w:val="000000" w:themeColor="text1"/>
                <w:sz w:val="24"/>
                <w:szCs w:val="24"/>
                <w:highlight w:val="none"/>
                <w:lang w:val="en-US" w:eastAsia="zh-CN"/>
                <w14:textFill>
                  <w14:solidFill>
                    <w14:schemeClr w14:val="tx1"/>
                  </w14:solidFill>
                </w14:textFill>
              </w:rPr>
              <w:t>无组织</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粉尘排放。</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本项目无组织排放废气主要为</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车辆运输无组织粉尘</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原料堆场装卸粉尘阶段、再生产品堆场装卸粉尘阶段、</w:t>
            </w:r>
            <w:r>
              <w:rPr>
                <w:rFonts w:hint="eastAsia" w:eastAsia="仿宋_GB2312"/>
                <w:color w:val="auto"/>
                <w:sz w:val="24"/>
                <w:szCs w:val="24"/>
                <w:highlight w:val="none"/>
              </w:rPr>
              <w:t>粉料筒仓罐输送储存粉尘</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搅拌机逸散粉尘</w:t>
            </w:r>
            <w:r>
              <w:rPr>
                <w:rFonts w:hint="eastAsia" w:eastAsia="仿宋_GB2312" w:cs="Times New Roman"/>
                <w:color w:val="auto"/>
                <w:sz w:val="24"/>
                <w:szCs w:val="24"/>
                <w:highlight w:val="none"/>
                <w:lang w:val="en-US" w:eastAsia="zh-CN"/>
              </w:rPr>
              <w:t>及其他未收集到的粉尘</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厂区道路水泥硬化，每日对运输车辆及运输道路进行清扫，车辆减速慢行，运输车辆加盖，厂区进出道路两旁设置4台雾炮环保系统降尘，对道路进行抑尘，非雨天对产尘区域进行洒水除尘。筒仓输送储存粉尘经过筒仓顶部布袋除尘器处理后通过筒仓呼吸口排出，车辆运输粉尘、砂石料装卸粉尘、骨料投料粉尘采用洒水抑尘的方式减少颗粒物排放量</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2" w:firstLineChars="20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⑴无组织废气</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①车辆运输无组织粉尘产生</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量（G1）</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本项目原料和产品需要运入和运出，运输工具为各种汽车，运输扬尘一般包括物料洒落扬尘和汽车引起的道路二次扬尘。本项目对运输车辆进行严格管理，防止车辆出现洒落物料情况，因此本项目运输扬尘主要为道路二次扬尘。</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车辆在厂区内行驶产生的扬尘在道路完全干燥的情况下，可按下列经验公式计算：</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lang w:val="en-US"/>
                <w14:textFill>
                  <w14:solidFill>
                    <w14:schemeClr w14:val="tx1"/>
                  </w14:solidFill>
                </w14:textFill>
              </w:rPr>
            </w:pPr>
            <m:oMathPara>
              <m:oMath>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Q=0.123(</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V</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5)</m:t>
                    </m:r>
                    <m:sSup>
                      <m:sSupP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W</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6.8</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0.85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up>
                    </m:sSup>
                    <m:sSup>
                      <m:sSupP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P</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0.75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up>
                    </m:s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n</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×L×D/1000</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oMath>
            </m:oMathPara>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式中：Q——汽车行驶时的扬尘，t/a；</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V——汽车行驶速度，km/h；</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W——汽车载重量，t；</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P——道路表面粉尘量，kg/m</w:t>
            </w:r>
            <w:r>
              <w:rPr>
                <w:rFonts w:hint="default" w:ascii="Times New Roman" w:hAnsi="Times New Roman" w:eastAsia="仿宋_GB2312" w:cs="Times New Roman"/>
                <w:color w:val="000000" w:themeColor="text1"/>
                <w:kern w:val="16"/>
                <w:sz w:val="24"/>
                <w:szCs w:val="24"/>
                <w:highlight w:val="none"/>
                <w:vertAlign w:val="superscript"/>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n——日行驶车辆数；</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L——厂内运输距离，km；</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D——运输天数。</w:t>
            </w:r>
          </w:p>
          <w:p>
            <w:pPr>
              <w:pStyle w:val="49"/>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本项目原料、产品均采用汽车运输，在满负荷生产条件下，原料运入以单车平均载重</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t计算、产品外运以单车载重</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t计算。原料运入运输次数为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52</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次/d，产品运出运输次数为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61</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次/d。汽车厂内行驶速度为5km/h，厂内原料运距为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100</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m、产品运距为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125</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m。</w:t>
            </w:r>
          </w:p>
          <w:p>
            <w:pPr>
              <w:pStyle w:val="49"/>
              <w:keepNext w:val="0"/>
              <w:keepLines w:val="0"/>
              <w:suppressLineNumbers w:val="0"/>
              <w:snapToGrid w:val="0"/>
              <w:spacing w:before="0" w:beforeAutospacing="0" w:after="0" w:afterAutospacing="0" w:line="360" w:lineRule="auto"/>
              <w:ind w:left="0" w:right="0"/>
              <w:rPr>
                <w:rFonts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为降低厂内运输道路扬尘，本项目将运输车辆行驶的路面进行硬化处理，可以减少路面扬尘。同时使用封闭式运输车辆，防止运输过程中物料洒落和粉尘飞扬，车辆行驶过后使用高压喷雾系统在车辆行驶的路线上喷雾洒水，可将道路表面粉尘量控制在＜0.03kg/m²，因此本项目取值为0.03kg/m²。厂内运输车辆扬尘计算参数及结果见表4-1。</w:t>
            </w:r>
          </w:p>
          <w:p>
            <w:pPr>
              <w:pStyle w:val="36"/>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表4-1</w:t>
            </w:r>
            <w:r>
              <w:rPr>
                <w:rFonts w:eastAsia="黑体" w:cs="Times New Roman"/>
                <w:sz w:val="24"/>
                <w:szCs w:val="24"/>
              </w:rPr>
              <w:t xml:space="preserve"> </w:t>
            </w:r>
            <w:r>
              <w:rPr>
                <w:rFonts w:hint="eastAsia" w:eastAsia="黑体" w:cs="Times New Roman"/>
                <w:sz w:val="24"/>
                <w:szCs w:val="24"/>
                <w:lang w:val="en-US" w:eastAsia="zh-CN"/>
              </w:rPr>
              <w:t xml:space="preserve"> </w:t>
            </w:r>
            <w:r>
              <w:rPr>
                <w:rFonts w:eastAsia="黑体" w:cs="Times New Roman"/>
                <w:sz w:val="24"/>
                <w:szCs w:val="24"/>
              </w:rPr>
              <w:t xml:space="preserve"> </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厂内运输车辆扬尘计算参数及结果一览表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fixed"/>
              <w:tblCellMar>
                <w:top w:w="0" w:type="dxa"/>
                <w:left w:w="108" w:type="dxa"/>
                <w:bottom w:w="0" w:type="dxa"/>
                <w:right w:w="108" w:type="dxa"/>
              </w:tblCellMar>
            </w:tblPr>
            <w:tblGrid>
              <w:gridCol w:w="887"/>
              <w:gridCol w:w="1127"/>
              <w:gridCol w:w="2813"/>
              <w:gridCol w:w="2630"/>
              <w:gridCol w:w="55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参数符号</w:t>
                  </w:r>
                </w:p>
              </w:tc>
              <w:tc>
                <w:tcPr>
                  <w:tcW w:w="433"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单位</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原料运输车</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产品罐车</w:t>
                  </w:r>
                </w:p>
              </w:tc>
              <w:tc>
                <w:tcPr>
                  <w:tcW w:w="2129"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选值依据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p>
              </w:tc>
              <w:tc>
                <w:tcPr>
                  <w:tcW w:w="433"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入厂</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入厂</w:t>
                  </w:r>
                </w:p>
              </w:tc>
              <w:tc>
                <w:tcPr>
                  <w:tcW w:w="2129"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V</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km/h</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5</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5</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汽车厂内行驶速度为</w:t>
                  </w:r>
                  <w:r>
                    <w:rPr>
                      <w:rFonts w:hint="eastAsia" w:cs="Times New Roman"/>
                      <w:bCs/>
                      <w:szCs w:val="22"/>
                    </w:rPr>
                    <w:t>5</w:t>
                  </w:r>
                  <w:r>
                    <w:rPr>
                      <w:rFonts w:cs="Times New Roman"/>
                      <w:bCs/>
                      <w:szCs w:val="22"/>
                    </w:rPr>
                    <w:t>km/h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W</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t</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szCs w:val="22"/>
                      <w:lang w:val="en-US" w:eastAsia="zh-CN"/>
                    </w:rPr>
                    <w:t>14</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bCs/>
                      <w:szCs w:val="22"/>
                      <w:lang w:val="en-US" w:eastAsia="zh-CN"/>
                    </w:rPr>
                    <w:t>14</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按照汽车载重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P</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kg/m</w:t>
                  </w:r>
                  <w:r>
                    <w:rPr>
                      <w:rFonts w:cs="Times New Roman"/>
                      <w:szCs w:val="22"/>
                      <w:vertAlign w:val="superscript"/>
                    </w:rPr>
                    <w:t>2</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szCs w:val="22"/>
                    </w:rPr>
                    <w:t>0.03</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0.03</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在采取控制措施前提下，控制在</w:t>
                  </w:r>
                  <w:r>
                    <w:rPr>
                      <w:rFonts w:cs="Times New Roman"/>
                      <w:szCs w:val="22"/>
                    </w:rPr>
                    <w:t>0.03kg/m</w:t>
                  </w:r>
                  <w:r>
                    <w:rPr>
                      <w:rFonts w:cs="Times New Roman"/>
                      <w:szCs w:val="22"/>
                      <w:vertAlign w:val="superscript"/>
                    </w:rPr>
                    <w:t>2</w:t>
                  </w:r>
                  <w:r>
                    <w:rPr>
                      <w:rFonts w:cs="Times New Roman"/>
                      <w:bCs/>
                      <w:szCs w:val="22"/>
                    </w:rPr>
                    <w:t>以下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n</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辆</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szCs w:val="22"/>
                      <w:lang w:val="en-US" w:eastAsia="zh-CN"/>
                    </w:rPr>
                    <w:t>52</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bCs/>
                      <w:szCs w:val="22"/>
                      <w:lang w:val="en-US" w:eastAsia="zh-CN"/>
                    </w:rPr>
                    <w:t>61</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按照原料日用量、产品产生量分别计算得到运输频次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highlight w:val="none"/>
                    </w:rPr>
                  </w:pPr>
                  <w:r>
                    <w:rPr>
                      <w:rFonts w:cs="Times New Roman"/>
                      <w:szCs w:val="22"/>
                      <w:highlight w:val="none"/>
                    </w:rPr>
                    <w:t>L</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highlight w:val="none"/>
                    </w:rPr>
                  </w:pPr>
                  <w:r>
                    <w:rPr>
                      <w:rFonts w:cs="Times New Roman"/>
                      <w:szCs w:val="22"/>
                      <w:highlight w:val="none"/>
                    </w:rPr>
                    <w:t>km</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highlight w:val="none"/>
                      <w:lang w:val="en-US" w:eastAsia="zh-CN"/>
                    </w:rPr>
                  </w:pPr>
                  <w:r>
                    <w:rPr>
                      <w:rFonts w:hint="eastAsia" w:cs="Times New Roman"/>
                      <w:szCs w:val="22"/>
                      <w:highlight w:val="none"/>
                      <w:lang w:val="en-US" w:eastAsia="zh-CN"/>
                    </w:rPr>
                    <w:t>0.1</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highlight w:val="none"/>
                      <w:lang w:val="en-US" w:eastAsia="zh-CN"/>
                    </w:rPr>
                  </w:pPr>
                  <w:r>
                    <w:rPr>
                      <w:rFonts w:hint="eastAsia" w:cs="Times New Roman"/>
                      <w:bCs/>
                      <w:szCs w:val="22"/>
                      <w:highlight w:val="none"/>
                      <w:lang w:val="en-US" w:eastAsia="zh-CN"/>
                    </w:rPr>
                    <w:t>0.125</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highlight w:val="none"/>
                    </w:rPr>
                  </w:pPr>
                  <w:r>
                    <w:rPr>
                      <w:rFonts w:hint="eastAsia" w:cs="Times New Roman"/>
                      <w:bCs/>
                      <w:szCs w:val="22"/>
                      <w:highlight w:val="none"/>
                    </w:rPr>
                    <w:t>原料厂内运距约</w:t>
                  </w:r>
                  <w:r>
                    <w:rPr>
                      <w:rFonts w:hint="eastAsia" w:cs="Times New Roman"/>
                      <w:bCs/>
                      <w:szCs w:val="22"/>
                      <w:highlight w:val="none"/>
                      <w:lang w:val="en-US" w:eastAsia="zh-CN"/>
                    </w:rPr>
                    <w:t>100</w:t>
                  </w:r>
                  <w:r>
                    <w:rPr>
                      <w:rFonts w:cs="Times New Roman"/>
                      <w:bCs/>
                      <w:szCs w:val="22"/>
                      <w:highlight w:val="none"/>
                    </w:rPr>
                    <w:t>m</w:t>
                  </w:r>
                  <w:r>
                    <w:rPr>
                      <w:rFonts w:hint="eastAsia" w:cs="Times New Roman"/>
                      <w:bCs/>
                      <w:szCs w:val="22"/>
                      <w:highlight w:val="none"/>
                    </w:rPr>
                    <w:t>，产品厂内运距</w:t>
                  </w:r>
                  <w:r>
                    <w:rPr>
                      <w:rFonts w:hint="eastAsia" w:cs="Times New Roman"/>
                      <w:bCs/>
                      <w:szCs w:val="22"/>
                      <w:highlight w:val="none"/>
                      <w:lang w:val="en-US" w:eastAsia="zh-CN"/>
                    </w:rPr>
                    <w:t>125</w:t>
                  </w:r>
                  <w:r>
                    <w:rPr>
                      <w:rFonts w:cs="Times New Roman"/>
                      <w:bCs/>
                      <w:szCs w:val="22"/>
                      <w:highlight w:val="none"/>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trHeight w:val="272" w:hRule="atLeas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D</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d</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2</w:t>
                  </w:r>
                  <w:r>
                    <w:rPr>
                      <w:rFonts w:hint="eastAsia" w:cs="Times New Roman"/>
                      <w:szCs w:val="22"/>
                      <w:lang w:val="en-US" w:eastAsia="zh-CN"/>
                    </w:rPr>
                    <w:t>1</w:t>
                  </w:r>
                  <w:r>
                    <w:rPr>
                      <w:rFonts w:hint="eastAsia" w:cs="Times New Roman"/>
                      <w:szCs w:val="22"/>
                    </w:rPr>
                    <w:t>0</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2</w:t>
                  </w:r>
                  <w:r>
                    <w:rPr>
                      <w:rFonts w:hint="eastAsia" w:cs="Times New Roman"/>
                      <w:bCs/>
                      <w:szCs w:val="22"/>
                      <w:lang w:val="en-US" w:eastAsia="zh-CN"/>
                    </w:rPr>
                    <w:t>1</w:t>
                  </w:r>
                  <w:r>
                    <w:rPr>
                      <w:rFonts w:hint="eastAsia" w:cs="Times New Roman"/>
                      <w:bCs/>
                      <w:szCs w:val="22"/>
                    </w:rPr>
                    <w:t>0</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年生产天数</w:t>
                  </w:r>
                  <w:r>
                    <w:rPr>
                      <w:rFonts w:hint="eastAsia" w:cs="Times New Roman"/>
                      <w:bCs/>
                      <w:szCs w:val="22"/>
                    </w:rPr>
                    <w:t>2</w:t>
                  </w:r>
                  <w:r>
                    <w:rPr>
                      <w:rFonts w:hint="eastAsia" w:cs="Times New Roman"/>
                      <w:bCs/>
                      <w:szCs w:val="22"/>
                      <w:lang w:val="en-US" w:eastAsia="zh-CN"/>
                    </w:rPr>
                    <w:t>1</w:t>
                  </w:r>
                  <w:r>
                    <w:rPr>
                      <w:rFonts w:hint="eastAsia" w:cs="Times New Roman"/>
                      <w:bCs/>
                      <w:szCs w:val="22"/>
                    </w:rPr>
                    <w:t>0</w:t>
                  </w:r>
                  <w:r>
                    <w:rPr>
                      <w:rFonts w:cs="Times New Roman"/>
                      <w:bCs/>
                      <w:szCs w:val="22"/>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Q</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t/a</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0.039</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0.054</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w:t>
                  </w:r>
                </w:p>
              </w:tc>
            </w:tr>
          </w:tbl>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由上表可知，在采取车辆管控、洒水降尘等措施条件下，厂内原料运输道路扬尘产生量为0.0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t/a，厂内产品运输道路扬尘产生量为0.0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44</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t/a。因此，厂内运输车辆无组织粉尘排放量合计为0.0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74</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②建筑垃圾原料</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堆场装卸</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（G2）</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建筑垃圾原料堆放于室外原料堆场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，平时用防尘网罩盖，避免扬尘飞起。</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根据《排放源统计调查产排污核算方法和系数手册》（生态环境部公告 2021年24号文）附表工业源固体物料堆场颗粒物核算系数手册，工业企业固体物料堆存颗粒物包括装卸场尘和风蚀扬尘。颗粒物产生量公式如下：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P=ZC</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y</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+FC</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y</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={N</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C</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×D×（a/b）+2×E</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f</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×S}×10</w:t>
            </w:r>
            <w:r>
              <w:rPr>
                <w:rFonts w:hint="default" w:ascii="Times New Roman" w:hAnsi="Times New Roman" w:eastAsia="仿宋_GB2312" w:cs="Times New Roman"/>
                <w:bCs/>
                <w:color w:val="000000" w:themeColor="text1"/>
                <w:sz w:val="24"/>
                <w:szCs w:val="24"/>
                <w:vertAlign w:val="superscript"/>
                <w:lang w:val="en-US" w:eastAsia="zh-CN"/>
                <w14:textFill>
                  <w14:solidFill>
                    <w14:schemeClr w14:val="tx1"/>
                  </w14:solidFill>
                </w14:textFill>
              </w:rPr>
              <w:t>-3</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式中：P指颗粒物产生量（单位：吨）；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ZCy指装卸扬尘产生量（单位：吨）；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FCy指风蚀扬尘产生量（单位：吨）；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Nc指年物料运载车次（单位：车）</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w:t>
            </w:r>
            <w:r>
              <w:rPr>
                <w:rFonts w:hint="eastAsia" w:eastAsia="仿宋_GB2312" w:cs="Times New Roman"/>
                <w:color w:val="000000" w:themeColor="text1"/>
                <w:sz w:val="24"/>
                <w:szCs w:val="24"/>
                <w:lang w:val="en-US" w:eastAsia="zh-CN"/>
                <w14:textFill>
                  <w14:solidFill>
                    <w14:schemeClr w14:val="tx1"/>
                  </w14:solidFill>
                </w14:textFill>
              </w:rPr>
              <w:t>10715</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车</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D指单车平均运载量（单位：吨/车）</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，本项目取14t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(a/b)指装卸扬尘概化系数（单位：千克/吨），a指各省风速概化系数=0.0015，b指物料含水率概化系数，块矿b=0.00</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4；</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Ef指堆场风蚀扬尘概化系数，按块矿Ef=0（单位：千克/平方米）；</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S指堆场占地面积（单位：平方米）</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，本项目取300</w:t>
            </w:r>
            <w:r>
              <w:rPr>
                <w:rFonts w:hint="eastAsia" w:eastAsia="仿宋_GB2312" w:cs="Times New Roman"/>
                <w:color w:val="000000" w:themeColor="text1"/>
                <w:sz w:val="24"/>
                <w:szCs w:val="24"/>
                <w:lang w:val="en-US" w:eastAsia="zh-CN"/>
                <w14:textFill>
                  <w14:solidFill>
                    <w14:schemeClr w14:val="tx1"/>
                  </w14:solidFill>
                </w14:textFill>
              </w:rPr>
              <w:t>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m</w:t>
            </w:r>
            <w:r>
              <w:rPr>
                <w:rFonts w:hint="eastAsia" w:ascii="Times New Roman" w:hAnsi="Times New Roman" w:eastAsia="仿宋_GB2312"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经公式计算得，本项目</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建筑</w:t>
            </w:r>
            <w:r>
              <w:rPr>
                <w:rFonts w:hint="eastAsia" w:eastAsia="仿宋_GB2312" w:cs="Times New Roman"/>
                <w:color w:val="000000" w:themeColor="text1"/>
                <w:sz w:val="24"/>
                <w:szCs w:val="24"/>
                <w:lang w:val="en-US" w:eastAsia="zh-CN"/>
                <w14:textFill>
                  <w14:solidFill>
                    <w14:schemeClr w14:val="tx1"/>
                  </w14:solidFill>
                </w14:textFill>
              </w:rPr>
              <w:t>垃圾原料堆场</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颗粒物产生量为</w:t>
            </w:r>
            <w:r>
              <w:rPr>
                <w:rFonts w:hint="eastAsia" w:cs="Times New Roman"/>
                <w:color w:val="000000" w:themeColor="text1"/>
                <w:sz w:val="24"/>
                <w:szCs w:val="24"/>
                <w:lang w:val="en-US" w:eastAsia="zh-CN"/>
                <w14:textFill>
                  <w14:solidFill>
                    <w14:schemeClr w14:val="tx1"/>
                  </w14:solidFill>
                </w14:textFill>
              </w:rPr>
              <w:t>30.41</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t/a。</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颗粒物排放量核算公式如下：</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Uc=P×(1-Cm)×(1-Tm)</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式中：P指颗粒物产生量（单位：吨）；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U</w:t>
            </w:r>
            <w:r>
              <w:rPr>
                <w:rFonts w:hint="default" w:ascii="Times New Roman" w:hAnsi="Times New Roman" w:eastAsia="仿宋_GB2312" w:cs="Times New Roman"/>
                <w:color w:val="000000" w:themeColor="text1"/>
                <w:sz w:val="24"/>
                <w:szCs w:val="24"/>
                <w:vertAlign w:val="subscript"/>
                <w:lang w:val="en-US" w:eastAsia="zh-CN"/>
                <w14:textFill>
                  <w14:solidFill>
                    <w14:schemeClr w14:val="tx1"/>
                  </w14:solidFill>
                </w14:textFill>
              </w:rPr>
              <w:t>C</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指颗粒物排放量（单位：吨）；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Cm指颗粒物控制措施控制效率（单位：%）</w:t>
            </w:r>
            <w:r>
              <w:rPr>
                <w:rFonts w:hint="eastAsia"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ascii="Times New Roman" w:hAnsi="Times New Roman" w:eastAsia="宋体" w:cs="Times New Roman"/>
                <w:color w:val="auto"/>
                <w:kern w:val="0"/>
                <w:sz w:val="21"/>
                <w:szCs w:val="21"/>
                <w:highlight w:val="none"/>
                <w:lang w:val="en-US" w:eastAsia="zh-CN" w:bidi="ar-SA"/>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b/>
                <w:bCs/>
                <w:color w:val="auto"/>
                <w:sz w:val="24"/>
                <w:szCs w:val="24"/>
                <w:lang w:val="en-US" w:eastAsia="zh-CN"/>
              </w:rPr>
              <w:t xml:space="preserve">  </w:t>
            </w:r>
            <w:r>
              <w:rPr>
                <w:rFonts w:hint="eastAsia" w:ascii="Times New Roman" w:hAnsi="Times New Roman" w:eastAsia="宋体" w:cs="Times New Roman"/>
                <w:b/>
                <w:bCs/>
                <w:color w:val="auto"/>
                <w:kern w:val="0"/>
                <w:sz w:val="24"/>
                <w:szCs w:val="24"/>
                <w:highlight w:val="none"/>
                <w:lang w:val="en-US" w:eastAsia="zh-CN" w:bidi="ar-SA"/>
              </w:rPr>
              <w:t>粉尘控制措施控制效率</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5864"/>
              <w:gridCol w:w="4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控制措施</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洒水</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围挡</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化学剂</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编制覆盖</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出入车辆冲洗</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78</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Tm指堆场类型控制效率（单位：%）。</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ascii="Times New Roman" w:hAnsi="Times New Roman" w:eastAsia="宋体" w:cs="Times New Roman"/>
                <w:color w:val="auto"/>
                <w:kern w:val="0"/>
                <w:sz w:val="21"/>
                <w:szCs w:val="21"/>
                <w:highlight w:val="none"/>
                <w:lang w:val="en-US" w:eastAsia="zh-CN" w:bidi="ar-SA"/>
              </w:rPr>
              <w:t>3</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auto"/>
                <w:kern w:val="0"/>
                <w:sz w:val="24"/>
                <w:szCs w:val="24"/>
                <w:highlight w:val="none"/>
                <w:lang w:val="en-US" w:eastAsia="zh-CN" w:bidi="ar-SA"/>
              </w:rPr>
              <w:t>堆场类型控制效率</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5864"/>
              <w:gridCol w:w="4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堆场类型</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敞开式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密闭式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半敞开式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60</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建筑垃圾原料堆放于室外原料堆场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eastAsia="仿宋_GB2312" w:cs="Times New Roman"/>
                <w:color w:val="000000" w:themeColor="text1"/>
                <w:sz w:val="24"/>
                <w:szCs w:val="24"/>
                <w:lang w:val="en-US" w:eastAsia="zh-CN"/>
                <w14:textFill>
                  <w14:solidFill>
                    <w14:schemeClr w14:val="tx1"/>
                  </w14:solidFill>
                </w14:textFill>
              </w:rPr>
              <w:t>堆场</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卸料环节过程设置</w:t>
            </w:r>
            <w:r>
              <w:rPr>
                <w:rFonts w:hint="eastAsia" w:eastAsia="仿宋_GB2312" w:cs="Times New Roman"/>
                <w:color w:val="000000" w:themeColor="text1"/>
                <w:sz w:val="24"/>
                <w:szCs w:val="24"/>
                <w:lang w:val="en-US" w:eastAsia="zh-CN"/>
                <w14:textFill>
                  <w14:solidFill>
                    <w14:schemeClr w14:val="tx1"/>
                  </w14:solidFill>
                </w14:textFill>
              </w:rPr>
              <w:t>于室外，</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平时用</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编制覆盖及洒水措施</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，避免扬尘飞起</w:t>
            </w:r>
            <w:r>
              <w:rPr>
                <w:rFonts w:hint="eastAsia" w:eastAsia="仿宋_GB2312" w:cs="Times New Roman"/>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由表4-1、4-2可得Cm=86%，Tm=</w:t>
            </w:r>
            <w:r>
              <w:rPr>
                <w:rFonts w:hint="eastAsia" w:eastAsia="仿宋_GB2312" w:cs="Times New Roman"/>
                <w:color w:val="000000" w:themeColor="text1"/>
                <w:sz w:val="24"/>
                <w:szCs w:val="24"/>
                <w:lang w:val="en-US" w:eastAsia="zh-CN"/>
                <w14:textFill>
                  <w14:solidFill>
                    <w14:schemeClr w14:val="tx1"/>
                  </w14:solidFill>
                </w14:textFill>
              </w:rPr>
              <w:t>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widowControl w:val="0"/>
              <w:suppressLineNumbers w:val="0"/>
              <w:adjustRightInd w:val="0"/>
              <w:snapToGrid w:val="0"/>
              <w:spacing w:before="0" w:beforeAutospacing="0" w:after="0" w:afterAutospacing="0" w:line="360" w:lineRule="auto"/>
              <w:ind w:left="0" w:right="0"/>
              <w:jc w:val="both"/>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经公式计算得，本项目接收区粉尘无组织排放量为</w:t>
            </w:r>
            <w:r>
              <w:rPr>
                <w:rFonts w:hint="eastAsia" w:eastAsia="仿宋_GB2312" w:cs="Times New Roman"/>
                <w:color w:val="000000" w:themeColor="text1"/>
                <w:sz w:val="24"/>
                <w:szCs w:val="24"/>
                <w:lang w:val="en-US" w:eastAsia="zh-CN"/>
                <w14:textFill>
                  <w14:solidFill>
                    <w14:schemeClr w14:val="tx1"/>
                  </w14:solidFill>
                </w14:textFill>
              </w:rPr>
              <w:t>4.26</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t/a。</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eastAsia="仿宋_GB2312" w:cs="Times New Roman"/>
                <w:color w:val="000000" w:themeColor="text1"/>
                <w:sz w:val="24"/>
                <w:szCs w:val="24"/>
                <w:lang w:val="en-US" w:eastAsia="zh-CN"/>
                <w14:textFill>
                  <w14:solidFill>
                    <w14:schemeClr w14:val="tx1"/>
                  </w14:solidFill>
                </w14:textFill>
              </w:rPr>
              <w:t>堆场</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卸料环节设置</w:t>
            </w:r>
            <w:r>
              <w:rPr>
                <w:rFonts w:hint="eastAsia" w:ascii="Times New Roman" w:hAnsi="Times New Roman" w:eastAsia="仿宋_GB2312" w:cs="Times New Roman"/>
                <w:color w:val="auto"/>
                <w:sz w:val="24"/>
                <w:szCs w:val="24"/>
                <w:highlight w:val="none"/>
                <w:lang w:val="en-US" w:eastAsia="zh-CN"/>
              </w:rPr>
              <w:t>雾炮环保系统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用来在</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卸车</w:t>
            </w:r>
            <w:r>
              <w:rPr>
                <w:rFonts w:hint="eastAsia" w:eastAsia="仿宋_GB2312" w:cs="Times New Roman"/>
                <w:color w:val="000000" w:themeColor="text1"/>
                <w:sz w:val="24"/>
                <w:szCs w:val="24"/>
                <w:lang w:val="en-US" w:eastAsia="zh-CN"/>
                <w14:textFill>
                  <w14:solidFill>
                    <w14:schemeClr w14:val="tx1"/>
                  </w14:solidFill>
                </w14:textFill>
              </w:rPr>
              <w:t>时使用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，达到降尘的目的。</w:t>
            </w:r>
          </w:p>
          <w:p>
            <w:pPr>
              <w:pStyle w:val="49"/>
              <w:keepNext w:val="0"/>
              <w:keepLines w:val="0"/>
              <w:suppressLineNumbers w:val="0"/>
              <w:overflowPunct/>
              <w:spacing w:before="0" w:beforeAutospacing="0" w:after="0" w:afterAutospacing="0" w:line="360" w:lineRule="auto"/>
              <w:ind w:left="0" w:right="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③</w:t>
            </w:r>
            <w:r>
              <w:rPr>
                <w:rFonts w:hint="eastAsia" w:eastAsia="仿宋_GB2312" w:cs="Times New Roman"/>
                <w:color w:val="auto"/>
                <w:sz w:val="24"/>
                <w:szCs w:val="24"/>
                <w:highlight w:val="none"/>
                <w:lang w:val="en-US" w:eastAsia="zh-CN"/>
              </w:rPr>
              <w:t>再生产品堆场装卸粉尘</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产生量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（G3）</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根据骨料及混凝土装卸过程中产生粉尘，参照《污染源源强核算技术指南准则》（</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HJ884-2018</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）要求，本次源强核算采用产排污系数法。</w:t>
            </w:r>
            <w:r>
              <w:rPr>
                <w:rFonts w:hint="eastAsia" w:eastAsia="仿宋_GB2312" w:cs="Times New Roman"/>
                <w:color w:val="auto"/>
                <w:sz w:val="24"/>
                <w:szCs w:val="24"/>
                <w:highlight w:val="none"/>
                <w:lang w:val="en-US" w:eastAsia="zh-CN"/>
              </w:rPr>
              <w:t>再生产品堆场</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装卸过程扬尘排放系数参考《扬尘源颗粒物排放清单编制技术指南（试行）》（环境保护部公告</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2014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年第</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24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m:oMathPara>
              <m:oMath>
                <m:sSub>
                  <m:sSubP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Sub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E</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e>
                  <m: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ℎ</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ub>
                </m:s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sSub>
                  <m:sSubP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Sub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k</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e>
                  <m: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i</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ub>
                </m:sSub>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0.0016</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sSup>
                      <m:sSup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u</m:t>
                            </m: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2.2</m:t>
                            </m: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1.3</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up>
                    </m:sSup>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sSup>
                      <m:sSup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2</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1.4</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up>
                    </m:sSup>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m:t>
                </m:r>
                <m:r>
                  <m:rPr>
                    <m:sty m:val="p"/>
                  </m:rPr>
                  <w:rPr>
                    <w:rFonts w:hint="default"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m:t>η</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oMath>
            </m:oMathPara>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式中：</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E</w:t>
            </w:r>
            <w:r>
              <w:rPr>
                <w:rFonts w:hint="default" w:ascii="Times New Roman" w:hAnsi="Times New Roman" w:eastAsia="仿宋_GB2312" w:cs="Times New Roman"/>
                <w:b w:val="0"/>
                <w:bCs w:val="0"/>
                <w:color w:val="000000" w:themeColor="text1"/>
                <w:kern w:val="16"/>
                <w:sz w:val="24"/>
                <w:szCs w:val="24"/>
                <w:highlight w:val="none"/>
                <w:vertAlign w:val="subscript"/>
                <w:lang w:val="en-US" w:eastAsia="zh-CN" w:bidi="ar-SA"/>
                <w14:textFill>
                  <w14:solidFill>
                    <w14:schemeClr w14:val="tx1"/>
                  </w14:solidFill>
                </w14:textFill>
              </w:rPr>
              <w:t>h</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堆场装卸扬尘的排放系数，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ki——</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物料的粒度乘数；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u——</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地面平均风速，</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m/s</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物料含水量，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η——</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污染控制技术对扬尘的去除效率，</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eastAsia="黑体" w:cs="Times New Roman"/>
                <w:color w:val="000000"/>
                <w:sz w:val="24"/>
                <w:szCs w:val="24"/>
                <w:lang w:bidi="ar"/>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本项目建筑垃圾再生骨料装卸扬尘相关计算参数见表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4。</w:t>
            </w:r>
          </w:p>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表4-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w:t>
            </w:r>
            <w:r>
              <w:rPr>
                <w:rFonts w:eastAsia="黑体" w:cs="Times New Roman"/>
                <w:color w:val="000000" w:themeColor="text1"/>
                <w:sz w:val="24"/>
                <w:szCs w:val="24"/>
                <w:lang w:bidi="ar"/>
                <w14:textFill>
                  <w14:solidFill>
                    <w14:schemeClr w14:val="tx1"/>
                  </w14:solidFill>
                </w14:textFill>
              </w:rPr>
              <w:t xml:space="preserve"> </w:t>
            </w:r>
            <w:r>
              <w:rPr>
                <w:rFonts w:hint="eastAsia" w:eastAsia="黑体" w:cs="Times New Roman"/>
                <w:color w:val="000000" w:themeColor="text1"/>
                <w:sz w:val="24"/>
                <w:szCs w:val="24"/>
                <w:lang w:val="en-US" w:eastAsia="zh-CN" w:bidi="ar"/>
                <w14:textFill>
                  <w14:solidFill>
                    <w14:schemeClr w14:val="tx1"/>
                  </w14:solidFill>
                </w14:textFill>
              </w:rPr>
              <w:t xml:space="preserve"> </w:t>
            </w:r>
            <w:r>
              <w:rPr>
                <w:rFonts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建筑垃圾再生骨料装卸扬尘产生量计算参数一览表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54"/>
              <w:gridCol w:w="1688"/>
              <w:gridCol w:w="8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参数符号</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单位</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取值</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取值依据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K</w:t>
                  </w:r>
                  <w:r>
                    <w:rPr>
                      <w:rFonts w:hint="default" w:cs="Times New Roman"/>
                      <w:b w:val="0"/>
                      <w:bCs w:val="0"/>
                      <w:sz w:val="21"/>
                      <w:szCs w:val="21"/>
                      <w:vertAlign w:val="subscript"/>
                    </w:rPr>
                    <w:t>i</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0.74</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根据《扬尘源颗粒物排放清单编制技术指南（试行）》表10，TSP粒度乘数为0.74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u</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m/s</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eastAsia" w:cs="Times New Roman"/>
                      <w:b w:val="0"/>
                      <w:bCs w:val="0"/>
                      <w:sz w:val="21"/>
                      <w:szCs w:val="21"/>
                    </w:rPr>
                    <w:t>2</w:t>
                  </w:r>
                </w:p>
              </w:tc>
              <w:tc>
                <w:tcPr>
                  <w:tcW w:w="5377" w:type="dxa"/>
                  <w:tcBorders>
                    <w:tl2br w:val="nil"/>
                    <w:tr2bl w:val="nil"/>
                  </w:tcBorders>
                  <w:vAlign w:val="center"/>
                </w:tcPr>
                <w:p>
                  <w:pPr>
                    <w:pStyle w:val="34"/>
                    <w:keepNext w:val="0"/>
                    <w:keepLines w:val="0"/>
                    <w:widowControl/>
                    <w:suppressLineNumbers w:val="0"/>
                    <w:adjustRightInd w:val="0"/>
                    <w:snapToGrid w:val="0"/>
                    <w:spacing w:beforeAutospacing="0" w:afterAutospacing="0"/>
                    <w:ind w:left="0" w:right="0"/>
                    <w:rPr>
                      <w:rFonts w:hint="default" w:ascii="Times New Roman" w:hAnsi="Times New Roman" w:cs="Times New Roman"/>
                      <w:b w:val="0"/>
                      <w:bCs w:val="0"/>
                      <w:sz w:val="21"/>
                    </w:rPr>
                  </w:pPr>
                  <w:r>
                    <w:rPr>
                      <w:rFonts w:hint="default" w:ascii="Times New Roman" w:hAnsi="Times New Roman" w:cs="Times New Roman"/>
                      <w:b w:val="0"/>
                      <w:bCs w:val="0"/>
                      <w:sz w:val="21"/>
                    </w:rPr>
                    <w:t>根据</w:t>
                  </w:r>
                  <w:r>
                    <w:rPr>
                      <w:rFonts w:hint="default" w:ascii="Times New Roman" w:hAnsi="Times New Roman" w:cs="Times New Roman"/>
                      <w:b w:val="0"/>
                      <w:bCs w:val="0"/>
                      <w:color w:val="171A1D"/>
                      <w:sz w:val="21"/>
                    </w:rPr>
                    <w:t>宁夏彭阳县区域地质、气象概况中的信息，彭阳县的多年平均风速为2米/秒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M</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3</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根据建设单位提供资料，含水率为3%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η</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0</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合算产生系数时，η取0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E</w:t>
                  </w:r>
                  <w:r>
                    <w:rPr>
                      <w:rFonts w:hint="default" w:cs="Times New Roman"/>
                      <w:b w:val="0"/>
                      <w:bCs w:val="0"/>
                      <w:sz w:val="21"/>
                      <w:szCs w:val="21"/>
                      <w:vertAlign w:val="subscript"/>
                    </w:rPr>
                    <w:t>h</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eastAsia" w:cs="Times New Roman"/>
                      <w:b w:val="0"/>
                      <w:bCs w:val="0"/>
                      <w:sz w:val="21"/>
                      <w:szCs w:val="21"/>
                    </w:rPr>
                    <w:t>k</w:t>
                  </w:r>
                  <w:r>
                    <w:rPr>
                      <w:rFonts w:hint="default" w:cs="Times New Roman"/>
                      <w:b w:val="0"/>
                      <w:bCs w:val="0"/>
                      <w:sz w:val="21"/>
                      <w:szCs w:val="21"/>
                    </w:rPr>
                    <w:t>g/t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eastAsia="宋体" w:cs="Times New Roman"/>
                      <w:b w:val="0"/>
                      <w:bCs w:val="0"/>
                      <w:sz w:val="21"/>
                      <w:szCs w:val="21"/>
                      <w:lang w:val="en-US" w:eastAsia="zh-CN"/>
                    </w:rPr>
                  </w:pPr>
                  <w:r>
                    <w:rPr>
                      <w:rFonts w:hint="eastAsia" w:cs="Times New Roman"/>
                      <w:b w:val="0"/>
                      <w:bCs w:val="0"/>
                      <w:sz w:val="21"/>
                      <w:szCs w:val="21"/>
                      <w:lang w:val="en-US" w:eastAsia="zh-CN"/>
                    </w:rPr>
                    <w:t>0.0027</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计算得出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t/a</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eastAsia="宋体" w:cs="Times New Roman"/>
                      <w:b w:val="0"/>
                      <w:bCs w:val="0"/>
                      <w:sz w:val="21"/>
                      <w:szCs w:val="21"/>
                      <w:lang w:val="en-US" w:eastAsia="zh-CN"/>
                    </w:rPr>
                  </w:pPr>
                  <w:r>
                    <w:rPr>
                      <w:rFonts w:hint="eastAsia" w:cs="Times New Roman"/>
                      <w:b w:val="0"/>
                      <w:bCs w:val="0"/>
                      <w:sz w:val="21"/>
                      <w:szCs w:val="21"/>
                      <w:lang w:val="en-US" w:eastAsia="zh-CN"/>
                    </w:rPr>
                    <w:t>0.19</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rPr>
                    <w:t>颗粒物产生量，根据E</w:t>
                  </w:r>
                  <w:r>
                    <w:rPr>
                      <w:rFonts w:hint="default" w:ascii="Times New Roman" w:hAnsi="Times New Roman" w:cs="Times New Roman"/>
                      <w:b w:val="0"/>
                      <w:bCs w:val="0"/>
                      <w:sz w:val="21"/>
                      <w:szCs w:val="21"/>
                      <w:vertAlign w:val="subscript"/>
                    </w:rPr>
                    <w:t>h</w:t>
                  </w:r>
                  <w:r>
                    <w:rPr>
                      <w:rFonts w:hint="default" w:ascii="Times New Roman" w:hAnsi="Times New Roman" w:cs="Times New Roman"/>
                      <w:b w:val="0"/>
                      <w:bCs w:val="0"/>
                      <w:sz w:val="21"/>
                      <w:szCs w:val="21"/>
                    </w:rPr>
                    <w:t>与全年</w:t>
                  </w:r>
                  <w:r>
                    <w:rPr>
                      <w:rFonts w:hint="eastAsia" w:ascii="Times New Roman" w:hAnsi="Times New Roman" w:eastAsia="宋体" w:cs="Times New Roman"/>
                      <w:b w:val="0"/>
                      <w:bCs w:val="0"/>
                      <w:sz w:val="21"/>
                      <w:szCs w:val="21"/>
                      <w:lang w:val="en-US" w:eastAsia="zh-CN"/>
                    </w:rPr>
                    <w:t>建筑垃圾再生骨料</w:t>
                  </w:r>
                  <w:r>
                    <w:rPr>
                      <w:rFonts w:hint="default" w:ascii="Times New Roman" w:hAnsi="Times New Roman" w:cs="Times New Roman"/>
                      <w:b w:val="0"/>
                      <w:bCs w:val="0"/>
                      <w:sz w:val="21"/>
                      <w:szCs w:val="21"/>
                    </w:rPr>
                    <w:t>的装卸量的乘积计算，年装卸量取值</w:t>
                  </w:r>
                  <w:r>
                    <w:rPr>
                      <w:rFonts w:hint="eastAsia" w:ascii="Times New Roman" w:hAnsi="Times New Roman" w:cs="Times New Roman"/>
                      <w:b w:val="0"/>
                      <w:bCs w:val="0"/>
                      <w:sz w:val="21"/>
                      <w:szCs w:val="21"/>
                      <w:lang w:val="en-US" w:eastAsia="zh-CN"/>
                    </w:rPr>
                    <w:t>70500</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本项目混合骨料暂存间无组织粉尘的产生量为0.19t/a，0.11kg/h，通过洒水抑尘，粉尘抑制率可达74%，无组织粉尘排放量为0.05t/a，0.029kg/h。</w:t>
            </w:r>
          </w:p>
          <w:p>
            <w:pPr>
              <w:pStyle w:val="36"/>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④</w:t>
            </w:r>
            <w:r>
              <w:rPr>
                <w:rFonts w:hint="eastAsia" w:eastAsia="仿宋_GB2312" w:cs="Times New Roman"/>
                <w:b w:val="0"/>
                <w:bCs w:val="0"/>
                <w:color w:val="000000" w:themeColor="text1"/>
                <w:kern w:val="16"/>
                <w:sz w:val="24"/>
                <w:szCs w:val="24"/>
                <w:highlight w:val="none"/>
                <w:lang w:val="en-US" w:eastAsia="zh-CN"/>
                <w14:textFill>
                  <w14:solidFill>
                    <w14:schemeClr w14:val="tx1"/>
                  </w14:solidFill>
                </w14:textFill>
              </w:rPr>
              <w:t>粉料筒仓罐</w:t>
            </w:r>
            <w:r>
              <w:rPr>
                <w:rFonts w:hint="default" w:ascii="Times New Roman" w:hAnsi="Times New Roman" w:eastAsia="仿宋_GB2312" w:cs="Times New Roman"/>
                <w:b w:val="0"/>
                <w:bCs w:val="0"/>
                <w:color w:val="000000" w:themeColor="text1"/>
                <w:kern w:val="16"/>
                <w:sz w:val="24"/>
                <w:szCs w:val="24"/>
                <w:highlight w:val="none"/>
                <w14:textFill>
                  <w14:solidFill>
                    <w14:schemeClr w14:val="tx1"/>
                  </w14:solidFill>
                </w14:textFill>
              </w:rPr>
              <w:t>输送储存</w:t>
            </w:r>
            <w:r>
              <w:rPr>
                <w:rFonts w:ascii="Times New Roman" w:hAnsi="Times New Roman" w:eastAsia="仿宋_GB2312" w:cs="Times New Roman"/>
                <w:b w:val="0"/>
                <w:bCs w:val="0"/>
                <w:color w:val="000000" w:themeColor="text1"/>
                <w:kern w:val="16"/>
                <w:sz w:val="24"/>
                <w:szCs w:val="24"/>
                <w:highlight w:val="none"/>
                <w14:textFill>
                  <w14:solidFill>
                    <w14:schemeClr w14:val="tx1"/>
                  </w14:solidFill>
                </w14:textFill>
              </w:rPr>
              <w:t>粉尘</w:t>
            </w:r>
            <w:r>
              <w:rPr>
                <w:rFonts w:hint="eastAsia" w:eastAsia="仿宋_GB2312" w:cs="Times New Roman"/>
                <w:b w:val="0"/>
                <w:bCs w:val="0"/>
                <w:color w:val="000000" w:themeColor="text1"/>
                <w:kern w:val="16"/>
                <w:sz w:val="24"/>
                <w:szCs w:val="24"/>
                <w:highlight w:val="none"/>
                <w:lang w:val="en-US" w:eastAsia="zh-CN"/>
                <w14:textFill>
                  <w14:solidFill>
                    <w14:schemeClr w14:val="tx1"/>
                  </w14:solidFill>
                </w14:textFill>
              </w:rPr>
              <w:t>量（G4）</w:t>
            </w:r>
          </w:p>
          <w:p>
            <w:pPr>
              <w:keepNext w:val="0"/>
              <w:keepLines w:val="0"/>
              <w:widowControl/>
              <w:suppressLineNumbers w:val="0"/>
              <w:spacing w:before="0" w:beforeAutospacing="0" w:after="0" w:afterAutospacing="0" w:line="360" w:lineRule="auto"/>
              <w:ind w:left="0" w:right="0" w:firstLine="480" w:firstLineChars="200"/>
              <w:jc w:val="left"/>
              <w:rPr>
                <w:rFonts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本项目水泥、粉煤灰采用</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贮存</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eastAsia" w:eastAsia="仿宋_GB2312"/>
                <w:color w:val="000000" w:themeColor="text1"/>
                <w:kern w:val="16"/>
                <w:sz w:val="24"/>
                <w:szCs w:val="24"/>
                <w:highlight w:val="none"/>
                <w14:textFill>
                  <w14:solidFill>
                    <w14:schemeClr w14:val="tx1"/>
                  </w14:solidFill>
                </w14:textFill>
              </w:rPr>
              <w:t>再生混凝土生产线和水稳料生产线各配套2</w:t>
            </w:r>
            <w:r>
              <w:rPr>
                <w:rFonts w:hint="eastAsia" w:eastAsia="仿宋_GB2312"/>
                <w:color w:val="000000" w:themeColor="text1"/>
                <w:kern w:val="16"/>
                <w:sz w:val="24"/>
                <w:szCs w:val="24"/>
                <w:highlight w:val="none"/>
                <w:lang w:val="en-US" w:eastAsia="zh-CN"/>
                <w14:textFill>
                  <w14:solidFill>
                    <w14:schemeClr w14:val="tx1"/>
                  </w14:solidFill>
                </w14:textFill>
              </w:rPr>
              <w:t>座</w:t>
            </w:r>
            <w:r>
              <w:rPr>
                <w:rFonts w:hint="eastAsia" w:eastAsia="仿宋_GB2312"/>
                <w:color w:val="000000" w:themeColor="text1"/>
                <w:kern w:val="16"/>
                <w:sz w:val="24"/>
                <w:szCs w:val="24"/>
                <w:highlight w:val="none"/>
                <w14:textFill>
                  <w14:solidFill>
                    <w14:schemeClr w14:val="tx1"/>
                  </w14:solidFill>
                </w14:textFill>
              </w:rPr>
              <w:t>粉料筒仓罐，储量60~100吨左右，主要是不同标号水泥胶凝材料</w:t>
            </w:r>
            <w:r>
              <w:rPr>
                <w:rFonts w:hint="eastAsia" w:eastAsia="仿宋_GB2312"/>
                <w:color w:val="000000" w:themeColor="text1"/>
                <w:kern w:val="16"/>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每个</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t>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顶均有</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台布袋除尘器。在水泥、粉煤灰的灌装过程中，由于通过管道进入</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时进料口在</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下方，灌装车通过</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管式螺旋</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输送将粉料送至</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，此时粉尘会随</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里的空气从</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顶部的排气孔排出。产污系数参考《排放源统计调查产排污核算方法和系数手册》</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公告</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2021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年第</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24</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号</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中“</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水泥制品制造</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含</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3022</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砼结构构件制造、</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3029</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其他水泥类似制品制造</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行业系数手册，相关系数见表</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4-</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5</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eastAsia="宋体" w:cs="Times New Roman"/>
                <w:b/>
                <w:bCs/>
                <w:snapToGrid/>
                <w:color w:val="auto"/>
                <w:kern w:val="0"/>
                <w:sz w:val="24"/>
                <w:szCs w:val="24"/>
                <w:highlight w:val="none"/>
              </w:rPr>
            </w:pPr>
            <w:r>
              <w:rPr>
                <w:rFonts w:eastAsia="宋体" w:cs="Times New Roman"/>
                <w:bCs w:val="0"/>
                <w:snapToGrid/>
                <w:color w:val="auto"/>
                <w:kern w:val="0"/>
                <w:sz w:val="21"/>
                <w:szCs w:val="21"/>
                <w:highlight w:val="none"/>
              </w:rPr>
              <w:t>表4-</w:t>
            </w:r>
            <w:r>
              <w:rPr>
                <w:rFonts w:hint="eastAsia" w:cs="Times New Roman"/>
                <w:bCs w:val="0"/>
                <w:snapToGrid/>
                <w:color w:val="auto"/>
                <w:kern w:val="0"/>
                <w:sz w:val="21"/>
                <w:szCs w:val="21"/>
                <w:highlight w:val="none"/>
                <w:lang w:val="en-US" w:eastAsia="zh-CN"/>
              </w:rPr>
              <w:t>5</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ascii="Times New Roman" w:hAnsi="Times New Roman" w:eastAsia="宋体" w:cs="Times New Roman"/>
                <w:b/>
                <w:bCs/>
                <w:color w:val="auto"/>
                <w:kern w:val="0"/>
                <w:sz w:val="24"/>
                <w:szCs w:val="24"/>
                <w:highlight w:val="none"/>
                <w:lang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403"/>
              <w:gridCol w:w="1211"/>
              <w:gridCol w:w="1142"/>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物料输送</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各种水泥</w:t>
                  </w:r>
                  <w:r>
                    <w:rPr>
                      <w:rFonts w:hint="eastAsia" w:cs="Times New Roman" w:eastAsiaTheme="minorEastAsia"/>
                      <w:bCs/>
                      <w:snapToGrid/>
                      <w:szCs w:val="20"/>
                    </w:rPr>
                    <w:t>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输送储存</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41.82</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0.19</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99</w:t>
                  </w:r>
                  <w:r>
                    <w:rPr>
                      <w:rFonts w:hint="eastAsia" w:cs="Times New Roman" w:eastAsiaTheme="minorEastAsia"/>
                      <w:bCs/>
                      <w:snapToGrid/>
                      <w:szCs w:val="20"/>
                      <w:lang w:val="en-US" w:eastAsia="zh-CN"/>
                    </w:rPr>
                    <w:t>.7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keepNext w:val="0"/>
              <w:keepLines w:val="0"/>
              <w:widowControl/>
              <w:suppressLineNumbers w:val="0"/>
              <w:adjustRightInd w:val="0"/>
              <w:snapToGrid w:val="0"/>
              <w:spacing w:before="0" w:beforeAutospacing="0" w:after="0" w:afterAutospacing="0"/>
              <w:ind w:left="0" w:right="0"/>
              <w:jc w:val="center"/>
              <w:rPr>
                <w:rFonts w:eastAsia="宋体" w:cs="Times New Roman"/>
                <w:b/>
                <w:bCs/>
                <w:snapToGrid/>
                <w:color w:val="auto"/>
                <w:kern w:val="0"/>
                <w:sz w:val="24"/>
                <w:szCs w:val="24"/>
                <w:highlight w:val="none"/>
              </w:rPr>
            </w:pPr>
            <w:r>
              <w:rPr>
                <w:rFonts w:hint="eastAsia" w:cs="Times New Roman"/>
                <w:bCs w:val="0"/>
                <w:snapToGrid/>
                <w:color w:val="auto"/>
                <w:kern w:val="0"/>
                <w:sz w:val="21"/>
                <w:szCs w:val="21"/>
                <w:highlight w:val="none"/>
                <w:lang w:val="en-US" w:eastAsia="zh-CN"/>
              </w:rPr>
              <w:t>续</w:t>
            </w:r>
            <w:r>
              <w:rPr>
                <w:rFonts w:eastAsia="宋体" w:cs="Times New Roman"/>
                <w:bCs w:val="0"/>
                <w:snapToGrid/>
                <w:color w:val="auto"/>
                <w:kern w:val="0"/>
                <w:sz w:val="21"/>
                <w:szCs w:val="21"/>
                <w:highlight w:val="none"/>
              </w:rPr>
              <w:t>表4-</w:t>
            </w:r>
            <w:r>
              <w:rPr>
                <w:rFonts w:hint="eastAsia" w:cs="Times New Roman"/>
                <w:bCs w:val="0"/>
                <w:snapToGrid/>
                <w:color w:val="auto"/>
                <w:kern w:val="0"/>
                <w:sz w:val="21"/>
                <w:szCs w:val="21"/>
                <w:highlight w:val="none"/>
                <w:lang w:val="en-US" w:eastAsia="zh-CN"/>
              </w:rPr>
              <w:t>5</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ascii="Times New Roman" w:hAnsi="Times New Roman" w:eastAsia="宋体" w:cs="Times New Roman"/>
                <w:b/>
                <w:bCs/>
                <w:color w:val="auto"/>
                <w:kern w:val="0"/>
                <w:sz w:val="24"/>
                <w:szCs w:val="24"/>
                <w:highlight w:val="none"/>
                <w:lang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403"/>
              <w:gridCol w:w="1211"/>
              <w:gridCol w:w="1142"/>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10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140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121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11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物料输送</w:t>
                  </w:r>
                </w:p>
              </w:tc>
              <w:tc>
                <w:tcPr>
                  <w:tcW w:w="109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混凝土</w:t>
                  </w:r>
                  <w:r>
                    <w:rPr>
                      <w:rFonts w:hint="eastAsia" w:cs="Times New Roman" w:eastAsiaTheme="minorEastAsia"/>
                      <w:bCs/>
                      <w:snapToGrid/>
                      <w:szCs w:val="20"/>
                    </w:rPr>
                    <w:t>制品</w:t>
                  </w:r>
                </w:p>
              </w:tc>
              <w:tc>
                <w:tcPr>
                  <w:tcW w:w="140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1211"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输送储存</w:t>
                  </w:r>
                </w:p>
              </w:tc>
              <w:tc>
                <w:tcPr>
                  <w:tcW w:w="114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22</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09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40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211"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1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bCs/>
                      <w:snapToGrid/>
                      <w:szCs w:val="20"/>
                      <w:lang w:eastAsia="zh-CN"/>
                    </w:rPr>
                  </w:pPr>
                  <w:r>
                    <w:rPr>
                      <w:rFonts w:hint="eastAsia" w:cs="Times New Roman" w:eastAsiaTheme="minorEastAsia"/>
                      <w:bCs/>
                      <w:snapToGrid/>
                      <w:szCs w:val="20"/>
                    </w:rPr>
                    <w:t>0.1</w:t>
                  </w:r>
                  <w:r>
                    <w:rPr>
                      <w:rFonts w:hint="eastAsia" w:cs="Times New Roman" w:eastAsiaTheme="minorEastAsia"/>
                      <w:bCs/>
                      <w:snapToGrid/>
                      <w:szCs w:val="20"/>
                      <w:lang w:val="en-US" w:eastAsia="zh-CN"/>
                    </w:rPr>
                    <w:t>2</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99</w:t>
                  </w:r>
                  <w:r>
                    <w:rPr>
                      <w:rFonts w:hint="eastAsia" w:cs="Times New Roman" w:eastAsiaTheme="minorEastAsia"/>
                      <w:bCs/>
                      <w:snapToGrid/>
                      <w:szCs w:val="20"/>
                      <w:lang w:val="en-US" w:eastAsia="zh-CN"/>
                    </w:rPr>
                    <w:t>.7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5"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pStyle w:val="36"/>
              <w:keepNext w:val="0"/>
              <w:keepLines w:val="0"/>
              <w:suppressLineNumbers w:val="0"/>
              <w:spacing w:before="0" w:beforeAutospacing="0" w:afterAutospacing="0" w:line="360" w:lineRule="auto"/>
              <w:ind w:left="0" w:right="0" w:firstLine="480" w:firstLineChars="200"/>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pP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1）</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本项目</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再生混凝土制品（</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以</w:t>
            </w:r>
            <w:r>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t>水泥、粉煤灰消耗量计，</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5565.43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因此物料储存工序废气量为</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72.88</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m</w:t>
            </w:r>
            <w:r>
              <w:rPr>
                <w:rFonts w:ascii="Times New Roman" w:hAnsi="Times New Roman" w:eastAsia="仿宋_GB2312" w:cs="Times New Roman"/>
                <w:b w:val="0"/>
                <w:bCs w:val="0"/>
                <w:snapToGrid/>
                <w:color w:val="000000" w:themeColor="text1"/>
                <w:kern w:val="16"/>
                <w:sz w:val="24"/>
                <w:szCs w:val="24"/>
                <w:highlight w:val="none"/>
                <w:vertAlign w:val="superscript"/>
                <w14:textFill>
                  <w14:solidFill>
                    <w14:schemeClr w14:val="tx1"/>
                  </w14:solidFill>
                </w14:textFill>
              </w:rPr>
              <w:t>3</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/h，粉尘产生总量为</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0.67</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t/a</w:t>
            </w:r>
            <w:r>
              <w:rPr>
                <w:rFonts w:hint="eastAsia" w:ascii="Times New Roman" w:hAnsi="Times New Roman" w:eastAsia="仿宋_GB2312" w:cs="Times New Roman"/>
                <w:b w:val="0"/>
                <w:bCs w:val="0"/>
                <w:snapToGrid/>
                <w:color w:val="000000" w:themeColor="text1"/>
                <w:kern w:val="16"/>
                <w:sz w:val="24"/>
                <w:szCs w:val="24"/>
                <w:highlight w:val="none"/>
                <w:vertAlign w:val="baseline"/>
                <w:lang w:eastAsia="zh-CN"/>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项目每个</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排气孔处均安装有布袋除尘器</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除尘效率</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99.7</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，在往</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中输送时，产生的粉尘经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顶的布袋除尘器处理</w:t>
            </w:r>
            <w:r>
              <w:rPr>
                <w:rFonts w:hint="default"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后</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，排放量为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0.002</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t/a</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，产生的粉尘通过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呼吸口排出，属于无组织排放。</w:t>
            </w:r>
          </w:p>
          <w:p>
            <w:pPr>
              <w:pStyle w:val="36"/>
              <w:keepNext w:val="0"/>
              <w:keepLines w:val="0"/>
              <w:suppressLineNumbers w:val="0"/>
              <w:spacing w:before="0" w:beforeAutospacing="0" w:afterAutospacing="0" w:line="360" w:lineRule="auto"/>
              <w:ind w:left="0" w:right="0" w:firstLine="480" w:firstLineChars="200"/>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14.5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吨水泥稳定再生骨料无机混合料</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（以</w:t>
            </w:r>
            <w:r>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t>水泥消耗量计，</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7000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390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物料储存工序废气量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750.62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1.33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项目每个</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排气孔处均安装有布袋除尘器</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除尘效率</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99.7</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，在往</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中输送时，产生的粉尘经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顶的布袋除尘器处理</w:t>
            </w:r>
            <w:r>
              <w:rPr>
                <w:rFonts w:hint="default"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后</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，排放量为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0.004</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t/a，</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产生的粉尘通过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呼吸口排出，属于无组织排放。</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⑤</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搅拌机逸散</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（G5）</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各种物料进入搅拌设备时，小粒径颗粒物会飘散形成粉尘，尤其是加入搅拌设备内的水泥、粉煤灰。虽然由于水的加入在一定程度上可抑制粉尘的产生，但在水泥、粉煤灰落料过程中会有少量粉尘产生。产污系数参考《排放源统计调查产排污核算方法和系数手册》(公告2021年第24号)中“3021水泥制品制造</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含3022砼结构构件制造、3029其他水泥类似制品制造</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行业系数手册，相关系数见表4-</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6</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6</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hint="default" w:ascii="Times New Roman" w:hAnsi="Times New Roman" w:eastAsia="宋体" w:cs="Times New Roman"/>
                <w:b/>
                <w:bCs/>
                <w:color w:val="auto"/>
                <w:kern w:val="0"/>
                <w:sz w:val="24"/>
                <w:szCs w:val="24"/>
                <w:highlight w:val="none"/>
                <w:lang w:val="en-US" w:eastAsia="zh-CN"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6"/>
              <w:gridCol w:w="1403"/>
              <w:gridCol w:w="1212"/>
              <w:gridCol w:w="1143"/>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搅拌</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各种水泥</w:t>
                  </w:r>
                  <w:r>
                    <w:rPr>
                      <w:rFonts w:hint="eastAsia" w:cs="Times New Roman" w:eastAsiaTheme="minorEastAsia"/>
                      <w:bCs/>
                      <w:snapToGrid/>
                      <w:szCs w:val="20"/>
                    </w:rPr>
                    <w:t>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混合搅拌</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129</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0.523</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w:t>
                  </w:r>
                  <w:r>
                    <w:rPr>
                      <w:rFonts w:hint="eastAsia" w:cs="Times New Roman" w:eastAsiaTheme="minorEastAsia"/>
                      <w:bCs/>
                      <w:snapToGrid/>
                      <w:szCs w:val="20"/>
                      <w:lang w:val="en-US" w:eastAsia="zh-CN"/>
                    </w:rPr>
                    <w:t>9.7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101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直排</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eastAsia" w:cs="Times New Roman"/>
                <w:color w:val="auto"/>
                <w:kern w:val="0"/>
                <w:sz w:val="21"/>
                <w:szCs w:val="21"/>
                <w:highlight w:val="none"/>
                <w:lang w:val="en-US" w:eastAsia="zh-CN" w:bidi="ar-SA"/>
              </w:rPr>
              <w:t>续</w:t>
            </w: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6</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hint="default" w:ascii="Times New Roman" w:hAnsi="Times New Roman" w:eastAsia="宋体" w:cs="Times New Roman"/>
                <w:b/>
                <w:bCs/>
                <w:color w:val="auto"/>
                <w:kern w:val="0"/>
                <w:sz w:val="24"/>
                <w:szCs w:val="24"/>
                <w:highlight w:val="none"/>
                <w:lang w:val="en-US" w:eastAsia="zh-CN"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6"/>
              <w:gridCol w:w="1403"/>
              <w:gridCol w:w="1212"/>
              <w:gridCol w:w="1143"/>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搅拌</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混凝土制品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混合搅拌</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25</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0.13</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w:t>
                  </w:r>
                  <w:r>
                    <w:rPr>
                      <w:rFonts w:hint="eastAsia" w:cs="Times New Roman" w:eastAsiaTheme="minorEastAsia"/>
                      <w:bCs/>
                      <w:snapToGrid/>
                      <w:szCs w:val="20"/>
                      <w:lang w:val="en-US" w:eastAsia="zh-CN"/>
                    </w:rPr>
                    <w:t>9.7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101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直排</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再生</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混凝土</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制</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品（折算</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36915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h，因此搅拌过程废气量为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549.33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20.15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再生混凝土</w:t>
            </w:r>
            <w:r>
              <w:rPr>
                <w:rFonts w:hint="eastAsia"/>
                <w:color w:val="000000" w:themeColor="text1"/>
                <w:highlight w:val="none"/>
                <w:lang w:val="en-US" w:eastAsia="zh-CN"/>
                <w14:textFill>
                  <w14:solidFill>
                    <w14:schemeClr w14:val="tx1"/>
                  </w14:solidFill>
                </w14:textFill>
              </w:rPr>
              <w:t>生产线采用</w:t>
            </w:r>
            <w:r>
              <w:rPr>
                <w:rFonts w:hint="default"/>
                <w:color w:val="000000" w:themeColor="text1"/>
                <w:highlight w:val="none"/>
                <w14:textFill>
                  <w14:solidFill>
                    <w14:schemeClr w14:val="tx1"/>
                  </w14:solidFill>
                </w14:textFill>
              </w:rPr>
              <w:t>密闭型搅拌机，另外再生混凝土制品和水稳料均为湿法作业，搅拌过程粉尘产生量较低。</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99.7</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内进行除尘处理后，粉尘排放量为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0.06</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落料</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14.5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吨水泥稳定再生骨料无机混合料</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390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h，因此搅拌过程废气量为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47961.54</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75.84</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本项目水稳料生产线采用</w:t>
            </w:r>
            <w:r>
              <w:rPr>
                <w:rFonts w:hint="default"/>
                <w:color w:val="000000" w:themeColor="text1"/>
                <w:highlight w:val="none"/>
                <w14:textFill>
                  <w14:solidFill>
                    <w14:schemeClr w14:val="tx1"/>
                  </w14:solidFill>
                </w14:textFill>
              </w:rPr>
              <w:t>密闭型搅拌机，另外再生混凝土制品和水稳料均为湿法作业，搅拌过程粉尘产生量较低。</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99.7</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粉尘排放量为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0.23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落料</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表4-</w:t>
            </w:r>
            <w:r>
              <w:rPr>
                <w:rFonts w:hint="eastAsia" w:cs="Times New Roman"/>
                <w:color w:val="000000" w:themeColor="text1"/>
                <w:kern w:val="0"/>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本项目无组织废气粉尘污染物排放情况一览表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2609"/>
              <w:gridCol w:w="1674"/>
              <w:gridCol w:w="1952"/>
              <w:gridCol w:w="1813"/>
              <w:gridCol w:w="1813"/>
              <w:gridCol w:w="1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eastAsia="宋体" w:cs="Times New Roman"/>
                      <w:b/>
                      <w:bCs/>
                      <w:color w:val="000000" w:themeColor="text1"/>
                      <w:sz w:val="21"/>
                      <w:szCs w:val="21"/>
                      <w:lang w:eastAsia="zh-CN" w:bidi="ar"/>
                      <w14:textFill>
                        <w14:solidFill>
                          <w14:schemeClr w14:val="tx1"/>
                        </w14:solidFill>
                      </w14:textFill>
                    </w:rPr>
                    <w:t>污染源</w:t>
                  </w:r>
                </w:p>
              </w:tc>
              <w:tc>
                <w:tcPr>
                  <w:tcW w:w="1674" w:type="dxa"/>
                  <w:tcBorders>
                    <w:tl2br w:val="nil"/>
                    <w:tr2bl w:val="nil"/>
                  </w:tcBorders>
                  <w:vAlign w:val="center"/>
                </w:tcPr>
                <w:p>
                  <w:pPr>
                    <w:pStyle w:val="9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outlineLvl w:val="2"/>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车辆运输</w:t>
                  </w:r>
                </w:p>
              </w:tc>
              <w:tc>
                <w:tcPr>
                  <w:tcW w:w="1952" w:type="dxa"/>
                  <w:tcBorders>
                    <w:tl2br w:val="nil"/>
                    <w:tr2bl w:val="nil"/>
                  </w:tcBorders>
                  <w:vAlign w:val="center"/>
                </w:tcPr>
                <w:p>
                  <w:pPr>
                    <w:pStyle w:val="9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2"/>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建筑垃圾原料堆场</w:t>
                  </w:r>
                </w:p>
              </w:tc>
              <w:tc>
                <w:tcPr>
                  <w:tcW w:w="181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t>再生产品堆场</w:t>
                  </w:r>
                </w:p>
              </w:tc>
              <w:tc>
                <w:tcPr>
                  <w:tcW w:w="181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eastAsia="宋体" w:cs="Times New Roman"/>
                      <w:b/>
                      <w:bCs/>
                      <w:color w:val="000000" w:themeColor="text1"/>
                      <w:kern w:val="2"/>
                      <w:sz w:val="21"/>
                      <w:szCs w:val="21"/>
                      <w:lang w:val="en-US" w:eastAsia="zh-CN" w:bidi="ar"/>
                      <w14:textFill>
                        <w14:solidFill>
                          <w14:schemeClr w14:val="tx1"/>
                        </w14:solidFill>
                      </w14:textFill>
                    </w:rPr>
                    <w:t>粉料筒仓罐</w:t>
                  </w:r>
                </w:p>
              </w:tc>
              <w:tc>
                <w:tcPr>
                  <w:tcW w:w="181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cs="Times New Roman"/>
                      <w:b/>
                      <w:bCs/>
                      <w:color w:val="000000" w:themeColor="text1"/>
                      <w:sz w:val="21"/>
                      <w:szCs w:val="21"/>
                      <w:lang w:val="en-US" w:eastAsia="zh-CN" w:bidi="ar"/>
                      <w14:textFill>
                        <w14:solidFill>
                          <w14:schemeClr w14:val="tx1"/>
                        </w14:solidFill>
                      </w14:textFill>
                    </w:rPr>
                    <w:t>搅拌机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污染物种类</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颗粒物</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颗粒物</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污染物产生量</w:t>
                  </w:r>
                  <w:r>
                    <w:rPr>
                      <w:rFonts w:hint="eastAsia" w:eastAsia="宋体" w:cs="Times New Roman"/>
                      <w:b w:val="0"/>
                      <w:bCs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t/a</w:t>
                  </w:r>
                  <w:r>
                    <w:rPr>
                      <w:rFonts w:hint="eastAsia" w:eastAsia="宋体" w:cs="Times New Roman"/>
                      <w:b w:val="0"/>
                      <w:bCs w:val="0"/>
                      <w:color w:val="000000" w:themeColor="text1"/>
                      <w:sz w:val="21"/>
                      <w:szCs w:val="21"/>
                      <w:lang w:eastAsia="zh-CN" w:bidi="ar"/>
                      <w14:textFill>
                        <w14:solidFill>
                          <w14:schemeClr w14:val="tx1"/>
                        </w14:solidFill>
                      </w14:textFill>
                    </w:rPr>
                    <w:t>）</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0.074</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30.41</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0.19</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2.00</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95.99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排放形式</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无组织</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治理设施</w:t>
                  </w:r>
                </w:p>
              </w:tc>
              <w:tc>
                <w:tcPr>
                  <w:tcW w:w="26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处理能力</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31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6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治理工艺</w:t>
                  </w:r>
                </w:p>
              </w:tc>
              <w:tc>
                <w:tcPr>
                  <w:tcW w:w="9068" w:type="dxa"/>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14:textFill>
                        <w14:solidFill>
                          <w14:schemeClr w14:val="tx1"/>
                        </w14:solidFill>
                      </w14:textFill>
                    </w:rPr>
                  </w:pPr>
                  <w:r>
                    <w:rPr>
                      <w:rFonts w:hint="default" w:eastAsia="宋体" w:cs="Times New Roman"/>
                      <w:b w:val="0"/>
                      <w:bCs w:val="0"/>
                      <w:color w:val="000000" w:themeColor="text1"/>
                      <w:sz w:val="21"/>
                      <w:szCs w:val="21"/>
                      <w14:textFill>
                        <w14:solidFill>
                          <w14:schemeClr w14:val="tx1"/>
                        </w14:solidFill>
                      </w14:textFill>
                    </w:rPr>
                    <w:t>每日对运输车辆及运输道路进行清扫，车辆减速慢行，运输车辆加盖，厂区进出道路两旁设置4台雾炮环保系统降尘，对道路进行抑尘，非雨天对产尘区域进行洒水除尘。</w:t>
                  </w:r>
                  <w:r>
                    <w:rPr>
                      <w:rFonts w:hint="eastAsia" w:cs="Times New Roman"/>
                      <w:b w:val="0"/>
                      <w:bCs w:val="0"/>
                      <w:color w:val="000000" w:themeColor="text1"/>
                      <w:sz w:val="21"/>
                      <w:szCs w:val="21"/>
                      <w:lang w:val="en-US" w:eastAsia="zh-CN"/>
                      <w14:textFill>
                        <w14:solidFill>
                          <w14:schemeClr w14:val="tx1"/>
                        </w14:solidFill>
                      </w14:textFill>
                    </w:rPr>
                    <w:t>卸料仓和</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混合骨料暂存间</w:t>
                  </w:r>
                  <w:r>
                    <w:rPr>
                      <w:rFonts w:hint="eastAsia" w:cs="Times New Roman"/>
                      <w:b w:val="0"/>
                      <w:bCs w:val="0"/>
                      <w:color w:val="000000" w:themeColor="text1"/>
                      <w:sz w:val="21"/>
                      <w:szCs w:val="21"/>
                      <w:lang w:val="en-US" w:eastAsia="zh-CN"/>
                      <w14:textFill>
                        <w14:solidFill>
                          <w14:schemeClr w14:val="tx1"/>
                        </w14:solidFill>
                      </w14:textFill>
                    </w:rPr>
                    <w:t>采用洒水抑尘。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污染物排放量t/a</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0.074</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4.26</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0.05</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0.006</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t>合计</w:t>
                  </w:r>
                </w:p>
              </w:tc>
              <w:tc>
                <w:tcPr>
                  <w:tcW w:w="9068" w:type="dxa"/>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4.68</w:t>
                  </w:r>
                </w:p>
              </w:tc>
            </w:tr>
          </w:tbl>
          <w:p>
            <w:pPr>
              <w:pStyle w:val="64"/>
              <w:keepNext w:val="0"/>
              <w:keepLines w:val="0"/>
              <w:pageBreakBefore w:val="0"/>
              <w:suppressLineNumbers w:val="0"/>
              <w:kinsoku/>
              <w:wordWrap/>
              <w:topLinePunct w:val="0"/>
              <w:bidi w:val="0"/>
              <w:adjustRightInd w:val="0"/>
              <w:snapToGrid w:val="0"/>
              <w:spacing w:before="157" w:beforeLines="50" w:beforeAutospacing="0" w:after="0" w:afterAutospacing="0" w:line="360" w:lineRule="auto"/>
              <w:ind w:left="0" w:leftChars="0" w:right="0" w:firstLine="482" w:firstLineChars="20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⑵有组织废气</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begin"/>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separate"/>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end"/>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颚式破碎机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（G6）</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szCs w:val="22"/>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渣土含量较多的建筑垃圾进入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移动式重型筛分机先进行</w:t>
            </w:r>
            <w:r>
              <w:rPr>
                <w:rFonts w:hint="eastAsia" w:eastAsia="仿宋_GB2312" w:cs="Times New Roman"/>
                <w:color w:val="000000" w:themeColor="text1"/>
                <w:sz w:val="24"/>
                <w:szCs w:val="24"/>
                <w:highlight w:val="none"/>
                <w:lang w:val="en-US" w:eastAsia="zh-CN"/>
                <w14:textFill>
                  <w14:solidFill>
                    <w14:schemeClr w14:val="tx1"/>
                  </w14:solidFill>
                </w14:textFill>
              </w:rPr>
              <w:t>一次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除土处理再进入一次破碎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混凝土为主的建筑垃圾进入重型振动给料机和颚式破碎机进行一次除土和一次破碎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。此过程会产生粉尘。</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根据《逸散性工业粉尘控制技术》（中国环境科学出版社），进料产生粉尘按0.5kg/t计（破碎料），项目年处理</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w:t>
            </w:r>
            <w:r>
              <w:rPr>
                <w:rFonts w:hint="eastAsia" w:eastAsia="仿宋_GB2312" w:cs="Times New Roman"/>
                <w:b w:val="0"/>
                <w:bCs w:val="0"/>
                <w:color w:val="auto"/>
                <w:kern w:val="16"/>
                <w:sz w:val="24"/>
                <w:szCs w:val="24"/>
                <w:highlight w:val="none"/>
                <w:lang w:val="en-US" w:eastAsia="zh-CN" w:bidi="ar-SA"/>
              </w:rPr>
              <w:t>150000</w:t>
            </w:r>
            <w:r>
              <w:rPr>
                <w:rFonts w:hint="default" w:ascii="Times New Roman" w:hAnsi="Times New Roman" w:eastAsia="仿宋_GB2312" w:cs="Times New Roman"/>
                <w:b w:val="0"/>
                <w:bCs w:val="0"/>
                <w:color w:val="auto"/>
                <w:kern w:val="16"/>
                <w:sz w:val="24"/>
                <w:szCs w:val="24"/>
                <w:highlight w:val="none"/>
                <w:lang w:val="en-US" w:eastAsia="zh-CN" w:bidi="ar-SA"/>
              </w:rPr>
              <w:t>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则粉尘产生量为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75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②</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风选机风选阶段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经颚式破碎机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破碎后的物料</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经过人工分拣平台除去大块轻物质，金属等杂质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随后进入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移动式反击破碎机进行二次破碎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。经二次破碎后的物料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先进入二次除土筛降低再生骨料含泥（土）量，再进入风选机除去小块轻物质</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出料口会产生粉尘，根据《逸散性工业粉尘控制技术》（中国环境科学出版社），出料产生粉尘按0.15kg/t计（储料），项目年产生骨料和混凝土料约为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181915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（其中骨料为145000t/a，混凝土料为36915t/a）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，则粉尘产生量为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27.29</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本项目上料工序、破碎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环节均位于密闭厂房</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机上方</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上方均设置相同集气罩，设置集气罩截面积为1.25m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，罩口平均风速本次取1.2m/s，则：集气罩的计算风量均为L1=V0×S×3600=1.2×1.25×3600=5400m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/h，厂房共设计</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个集气罩，则布袋除尘器风量为1</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000m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/h。本项目运行时间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h/a，集气罩收集效率采用95%，则</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集气罩收集粉尘量为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71.25t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收集速率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42.41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粉尘收集量为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25.93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t/a，收集速率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15.43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kg/h。未收集到的粉尘通过加强厂房封闭，厂房</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内</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设置</w:t>
            </w:r>
            <w:r>
              <w:rPr>
                <w:rFonts w:hint="eastAsia" w:ascii="Times New Roman" w:hAnsi="Times New Roman" w:eastAsia="仿宋_GB2312" w:cs="Times New Roman"/>
                <w:color w:val="auto"/>
                <w:sz w:val="24"/>
                <w:szCs w:val="24"/>
                <w:highlight w:val="none"/>
                <w:lang w:val="en-US" w:eastAsia="zh-CN"/>
              </w:rPr>
              <w:t>活性干雾机</w:t>
            </w:r>
            <w:r>
              <w:rPr>
                <w:rFonts w:hint="default" w:ascii="Times New Roman" w:hAnsi="Times New Roman" w:eastAsia="仿宋_GB2312" w:cs="Times New Roman"/>
                <w:color w:val="auto"/>
                <w:sz w:val="24"/>
                <w:szCs w:val="24"/>
                <w:highlight w:val="none"/>
                <w:lang w:val="en-US" w:eastAsia="zh-CN"/>
              </w:rPr>
              <w:t>，从而有效降低粉尘排放</w:t>
            </w:r>
            <w:r>
              <w:rPr>
                <w:rFonts w:hint="eastAsia"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机上方</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集气罩收集的粉尘通过负压收集后配布袋除尘器+排气筒（DA001），布袋除尘器除尘器效率按99%计，则排放量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为0.72</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t/a，排放速率为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0.43</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kg/h，排放浓度为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38.96</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mg/m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风选机上方</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集气罩收集的粉尘通过负压收集后配布袋除尘器+排气筒（DA00</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），布袋除尘器除尘器效率按99%计，则排放量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0.26</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t/a，排放速率为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0.15</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kg/h，排放浓度为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14.07</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mg/m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本项目有组织废气产排情况见下表。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8</w:t>
            </w:r>
            <w:r>
              <w:rPr>
                <w:rFonts w:hint="eastAsia"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本项目有组织废气产排情况一览表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55"/>
              <w:gridCol w:w="907"/>
              <w:gridCol w:w="1201"/>
              <w:gridCol w:w="1116"/>
              <w:gridCol w:w="1039"/>
              <w:gridCol w:w="1259"/>
              <w:gridCol w:w="1031"/>
              <w:gridCol w:w="920"/>
              <w:gridCol w:w="1063"/>
              <w:gridCol w:w="1137"/>
              <w:gridCol w:w="1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污染工序</w:t>
                  </w:r>
                </w:p>
              </w:tc>
              <w:tc>
                <w:tcPr>
                  <w:tcW w:w="655"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（t/a）</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产生速率</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（kg/h）</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产生浓度</w:t>
                  </w:r>
                  <w:r>
                    <w:rPr>
                      <w:rFonts w:hint="default" w:ascii="Times New Roman" w:hAnsi="Times New Roman" w:eastAsia="宋体" w:cs="Times New Roman"/>
                      <w:b/>
                      <w:bCs/>
                      <w:color w:val="auto"/>
                      <w:sz w:val="21"/>
                      <w:szCs w:val="21"/>
                      <w:highlight w:val="none"/>
                      <w:vertAlign w:val="baseli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0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风</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/h</w:t>
                  </w:r>
                </w:p>
              </w:tc>
              <w:tc>
                <w:tcPr>
                  <w:tcW w:w="2290" w:type="dxa"/>
                  <w:gridSpan w:val="2"/>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环保措施</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排放量（t/a）</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排放速率（kg/h）</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排放浓度（mg/m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52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颚式</w:t>
                  </w:r>
                  <w:r>
                    <w:rPr>
                      <w:rFonts w:hint="eastAsia" w:eastAsia="宋体" w:cs="Times New Roman"/>
                      <w:color w:val="000000" w:themeColor="text1"/>
                      <w:sz w:val="21"/>
                      <w:szCs w:val="21"/>
                      <w:vertAlign w:val="baseline"/>
                      <w:lang w:val="en-US" w:eastAsia="zh-CN"/>
                      <w14:textFill>
                        <w14:solidFill>
                          <w14:schemeClr w14:val="tx1"/>
                        </w14:solidFill>
                      </w14:textFill>
                    </w:rPr>
                    <w:t>破碎</w:t>
                  </w:r>
                  <w:r>
                    <w:rPr>
                      <w:rFonts w:hint="eastAsia" w:cs="Times New Roman"/>
                      <w:color w:val="000000" w:themeColor="text1"/>
                      <w:sz w:val="21"/>
                      <w:szCs w:val="21"/>
                      <w:vertAlign w:val="baseline"/>
                      <w:lang w:val="en-US" w:eastAsia="zh-CN"/>
                      <w14:textFill>
                        <w14:solidFill>
                          <w14:schemeClr w14:val="tx1"/>
                        </w14:solidFill>
                      </w14:textFill>
                    </w:rPr>
                    <w:t>机破碎阶段</w:t>
                  </w:r>
                </w:p>
              </w:tc>
              <w:tc>
                <w:tcPr>
                  <w:tcW w:w="655"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颗粒物</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71.25</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42.41</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3855.52</w:t>
                  </w:r>
                </w:p>
              </w:tc>
              <w:tc>
                <w:tcPr>
                  <w:tcW w:w="1039"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000</w:t>
                  </w:r>
                </w:p>
              </w:tc>
              <w:tc>
                <w:tcPr>
                  <w:tcW w:w="125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eastAsia="宋体" w:cs="Times New Roman"/>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3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布袋除尘器+</w:t>
                  </w:r>
                  <w:r>
                    <w:rPr>
                      <w:rFonts w:hint="eastAsia" w:cs="Times New Roman"/>
                      <w:color w:val="000000" w:themeColor="text1"/>
                      <w:sz w:val="21"/>
                      <w:szCs w:val="21"/>
                      <w:vertAlign w:val="baseline"/>
                      <w:lang w:val="en-US" w:eastAsia="zh-CN"/>
                      <w14:textFill>
                        <w14:solidFill>
                          <w14:schemeClr w14:val="tx1"/>
                        </w14:solidFill>
                      </w14:textFill>
                    </w:rPr>
                    <w:t>15</w:t>
                  </w:r>
                  <w:r>
                    <w:rPr>
                      <w:rFonts w:hint="eastAsia" w:eastAsia="宋体" w:cs="Times New Roman"/>
                      <w:color w:val="000000" w:themeColor="text1"/>
                      <w:sz w:val="21"/>
                      <w:szCs w:val="21"/>
                      <w:vertAlign w:val="baseline"/>
                      <w:lang w:val="en-US" w:eastAsia="zh-CN"/>
                      <w14:textFill>
                        <w14:solidFill>
                          <w14:schemeClr w14:val="tx1"/>
                        </w14:solidFill>
                      </w14:textFill>
                    </w:rPr>
                    <w:t>m高排气筒（DA001）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eastAsia="宋体" w:cs="Times New Roman"/>
                      <w:color w:val="000000" w:themeColor="text1"/>
                      <w:sz w:val="21"/>
                      <w:szCs w:val="21"/>
                      <w:vertAlign w:val="baseline"/>
                      <w:lang w:val="en-US" w:eastAsia="zh-CN"/>
                      <w14:textFill>
                        <w14:solidFill>
                          <w14:schemeClr w14:val="tx1"/>
                        </w14:solidFill>
                      </w14:textFill>
                    </w:rPr>
                    <w:t>99</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0.72</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0.43</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38.96</w:t>
                  </w:r>
                </w:p>
              </w:tc>
              <w:tc>
                <w:tcPr>
                  <w:tcW w:w="1523"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风选机风选阶段</w:t>
                  </w:r>
                </w:p>
              </w:tc>
              <w:tc>
                <w:tcPr>
                  <w:tcW w:w="655"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FF0000"/>
                      <w:sz w:val="21"/>
                      <w:szCs w:val="21"/>
                      <w:vertAlign w:val="baseline"/>
                      <w:lang w:val="en-US" w:eastAsia="zh-CN"/>
                    </w:rPr>
                  </w:pPr>
                  <w:r>
                    <w:rPr>
                      <w:rFonts w:hint="eastAsia" w:cs="Times New Roman"/>
                      <w:color w:val="000000" w:themeColor="text1"/>
                      <w:sz w:val="21"/>
                      <w:szCs w:val="21"/>
                      <w:vertAlign w:val="baseline"/>
                      <w:lang w:val="en-US" w:eastAsia="zh-CN"/>
                      <w14:textFill>
                        <w14:solidFill>
                          <w14:schemeClr w14:val="tx1"/>
                        </w14:solidFill>
                      </w14:textFill>
                    </w:rPr>
                    <w:t>25.93</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15.43</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1403.14</w:t>
                  </w:r>
                </w:p>
              </w:tc>
              <w:tc>
                <w:tcPr>
                  <w:tcW w:w="1039"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5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eastAsia="宋体" w:cs="Times New Roman"/>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3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布袋除尘器+</w:t>
                  </w:r>
                  <w:r>
                    <w:rPr>
                      <w:rFonts w:hint="eastAsia" w:cs="Times New Roman"/>
                      <w:color w:val="000000" w:themeColor="text1"/>
                      <w:sz w:val="21"/>
                      <w:szCs w:val="21"/>
                      <w:vertAlign w:val="baseline"/>
                      <w:lang w:val="en-US" w:eastAsia="zh-CN"/>
                      <w14:textFill>
                        <w14:solidFill>
                          <w14:schemeClr w14:val="tx1"/>
                        </w14:solidFill>
                      </w14:textFill>
                    </w:rPr>
                    <w:t>15</w:t>
                  </w:r>
                  <w:r>
                    <w:rPr>
                      <w:rFonts w:hint="eastAsia" w:eastAsia="宋体" w:cs="Times New Roman"/>
                      <w:color w:val="000000" w:themeColor="text1"/>
                      <w:sz w:val="21"/>
                      <w:szCs w:val="21"/>
                      <w:vertAlign w:val="baseline"/>
                      <w:lang w:val="en-US" w:eastAsia="zh-CN"/>
                      <w14:textFill>
                        <w14:solidFill>
                          <w14:schemeClr w14:val="tx1"/>
                        </w14:solidFill>
                      </w14:textFill>
                    </w:rPr>
                    <w:t>m高排气筒（DA00</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eastAsia="宋体" w:cs="Times New Roman"/>
                      <w:color w:val="000000" w:themeColor="text1"/>
                      <w:sz w:val="21"/>
                      <w:szCs w:val="21"/>
                      <w:vertAlign w:val="baseline"/>
                      <w:lang w:val="en-US" w:eastAsia="zh-CN"/>
                      <w14:textFill>
                        <w14:solidFill>
                          <w14:schemeClr w14:val="tx1"/>
                        </w14:solidFill>
                      </w14:textFill>
                    </w:rPr>
                    <w:t>99</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0.26</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0.15</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14.07</w:t>
                  </w:r>
                </w:p>
              </w:tc>
              <w:tc>
                <w:tcPr>
                  <w:tcW w:w="1523"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1796" w:type="dxa"/>
                  <w:gridSpan w:val="2"/>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合计</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97.18</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3329" w:type="dxa"/>
                  <w:gridSpan w:val="3"/>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0.98</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152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本项目</w:t>
            </w:r>
            <w:r>
              <w:rPr>
                <w:rFonts w:hint="eastAsia" w:cs="Times New Roman"/>
                <w:b/>
                <w:bCs/>
                <w:color w:val="auto"/>
                <w:kern w:val="0"/>
                <w:sz w:val="24"/>
                <w:szCs w:val="24"/>
                <w:highlight w:val="none"/>
                <w:lang w:val="en-US" w:eastAsia="zh-CN" w:bidi="ar-SA"/>
              </w:rPr>
              <w:t>其他阶段</w:t>
            </w:r>
            <w:r>
              <w:rPr>
                <w:rFonts w:hint="eastAsia" w:ascii="Times New Roman" w:hAnsi="Times New Roman" w:eastAsia="宋体" w:cs="Times New Roman"/>
                <w:b/>
                <w:bCs/>
                <w:color w:val="auto"/>
                <w:kern w:val="0"/>
                <w:sz w:val="24"/>
                <w:szCs w:val="24"/>
                <w:highlight w:val="none"/>
                <w:lang w:val="en-US" w:eastAsia="zh-CN" w:bidi="ar-SA"/>
              </w:rPr>
              <w:t>无组织废气产排情况一览表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72"/>
              <w:gridCol w:w="3275"/>
              <w:gridCol w:w="3422"/>
              <w:gridCol w:w="1305"/>
              <w:gridCol w:w="2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990" w:type="dxa"/>
                  <w:gridSpan w:val="6"/>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
                      <w:bCs w:val="0"/>
                      <w:color w:val="000000" w:themeColor="text1"/>
                      <w:w w:val="100"/>
                      <w:kern w:val="0"/>
                      <w:sz w:val="21"/>
                      <w:szCs w:val="21"/>
                      <w:lang w:val="en-US" w:eastAsia="zh-CN" w:bidi="ar-SA"/>
                      <w14:textFill>
                        <w14:solidFill>
                          <w14:schemeClr w14:val="tx1"/>
                        </w14:solidFill>
                      </w14:textFill>
                    </w:rPr>
                    <w:t>无组织</w:t>
                  </w: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废气，集气装置未能收集的粉尘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生产线</w:t>
                  </w: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产污工段</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无组织粉尘产生量t/a</w:t>
                  </w:r>
                </w:p>
              </w:tc>
              <w:tc>
                <w:tcPr>
                  <w:tcW w:w="342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治理措施</w:t>
                  </w: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排放速率kg/h</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88" w:type="dxa"/>
                  <w:vMerge w:val="restart"/>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厂房</w:t>
                  </w: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上料工序</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0.14</w:t>
                  </w:r>
                </w:p>
              </w:tc>
              <w:tc>
                <w:tcPr>
                  <w:tcW w:w="3422" w:type="dxa"/>
                  <w:vMerge w:val="restart"/>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密闭厂房</w:t>
                  </w:r>
                  <w:r>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t>，</w:t>
                  </w: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厂房内设置4台活性干雾机，从而有效降低粉尘排放。</w:t>
                  </w:r>
                </w:p>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0.013</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88"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其他</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0.2</w:t>
                  </w:r>
                </w:p>
              </w:tc>
              <w:tc>
                <w:tcPr>
                  <w:tcW w:w="3422"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0.018</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gridSpan w:val="2"/>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总计</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0.24</w:t>
                  </w:r>
                </w:p>
              </w:tc>
              <w:tc>
                <w:tcPr>
                  <w:tcW w:w="3422"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0.051</w:t>
                  </w:r>
                </w:p>
              </w:tc>
            </w:tr>
          </w:tbl>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p>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1.2</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非</w:t>
            </w: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正常工况产排污环节及源强核算</w:t>
            </w:r>
          </w:p>
          <w:p>
            <w:pPr>
              <w:pStyle w:val="7"/>
              <w:keepNext w:val="0"/>
              <w:keepLines w:val="0"/>
              <w:pageBreakBefore w:val="0"/>
              <w:suppressLineNumbers w:val="0"/>
              <w:kinsoku/>
              <w:wordWrap/>
              <w:topLinePunct w:val="0"/>
              <w:bidi w:val="0"/>
              <w:adjustRightInd w:val="0"/>
              <w:snapToGrid w:val="0"/>
              <w:spacing w:before="0" w:beforeLines="0" w:beforeAutospacing="0" w:after="0" w:afterAutospacing="0" w:line="360" w:lineRule="auto"/>
              <w:ind w:left="0" w:right="0" w:firstLine="420"/>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非正常情况下</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考虑</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废气处理设施出现故障</w:t>
            </w:r>
            <w:r>
              <w:rPr>
                <w:rFonts w:hint="eastAsia"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效率降至50%</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，大气污染物排放情况见表</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4-</w:t>
            </w:r>
            <w:r>
              <w:rPr>
                <w:rFonts w:hint="eastAsia"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10</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大气污染物非正常排放量核算表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730"/>
              <w:gridCol w:w="1395"/>
              <w:gridCol w:w="1826"/>
              <w:gridCol w:w="1496"/>
              <w:gridCol w:w="1497"/>
              <w:gridCol w:w="1506"/>
              <w:gridCol w:w="1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3" w:hRule="atLeast"/>
                <w:jc w:val="center"/>
              </w:trPr>
              <w:tc>
                <w:tcPr>
                  <w:tcW w:w="166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非正常排放源</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非正常排放原因</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18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非正常排放速</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（kg/h）</w:t>
                  </w:r>
                </w:p>
              </w:tc>
              <w:tc>
                <w:tcPr>
                  <w:tcW w:w="149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非正常排放浓度（mg/m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单次持续时间</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年发生频次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0"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废气治理设施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故障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效率降至50%</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颗粒物</w:t>
                  </w:r>
                </w:p>
              </w:tc>
              <w:tc>
                <w:tcPr>
                  <w:tcW w:w="18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21.21</w:t>
                  </w:r>
                </w:p>
              </w:tc>
              <w:tc>
                <w:tcPr>
                  <w:tcW w:w="14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1928.03</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立即检修；加强日常</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环保设施的巡检维修工作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0"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废气治理设施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故障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效率降至50%</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颗粒物</w:t>
                  </w:r>
                </w:p>
              </w:tc>
              <w:tc>
                <w:tcPr>
                  <w:tcW w:w="18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7.72</w:t>
                  </w:r>
                </w:p>
              </w:tc>
              <w:tc>
                <w:tcPr>
                  <w:tcW w:w="14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701.84</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立即检修；加强日常</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环保设施的巡检维修工作</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仿宋_GB2312"/>
                <w:b/>
                <w:bCs/>
                <w:color w:val="000000" w:themeColor="text1"/>
                <w:kern w:val="16"/>
                <w:sz w:val="24"/>
                <w:szCs w:val="24"/>
                <w:highlight w:val="none"/>
                <w:lang w:val="en-US" w:eastAsia="zh-CN"/>
                <w14:textFill>
                  <w14:solidFill>
                    <w14:schemeClr w14:val="tx1"/>
                  </w14:solidFill>
                </w14:textFill>
              </w:rPr>
            </w:pPr>
            <w:r>
              <w:rPr>
                <w:rFonts w:hint="default" w:eastAsia="仿宋_GB2312"/>
                <w:b/>
                <w:bCs/>
                <w:color w:val="000000" w:themeColor="text1"/>
                <w:kern w:val="16"/>
                <w:sz w:val="24"/>
                <w:szCs w:val="24"/>
                <w:highlight w:val="none"/>
                <w:lang w:val="en-US" w:eastAsia="zh-CN"/>
                <w14:textFill>
                  <w14:solidFill>
                    <w14:schemeClr w14:val="tx1"/>
                  </w14:solidFill>
                </w14:textFill>
              </w:rPr>
              <w:t>1.3</w:t>
            </w:r>
            <w:r>
              <w:rPr>
                <w:rFonts w:hint="default" w:ascii="Times New Roman" w:hAnsi="Times New Roman" w:eastAsia="仿宋_GB2312" w:cs="Times New Roman"/>
                <w:b/>
                <w:bCs/>
                <w:color w:val="000000" w:themeColor="text1"/>
                <w:kern w:val="16"/>
                <w:sz w:val="24"/>
                <w:szCs w:val="24"/>
                <w:highlight w:val="none"/>
                <w:lang w:val="en-US" w:eastAsia="zh-CN"/>
                <w14:textFill>
                  <w14:solidFill>
                    <w14:schemeClr w14:val="tx1"/>
                  </w14:solidFill>
                </w14:textFill>
              </w:rPr>
              <w:t>废气处理措施可行性分析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项目涉及行业暂无相关行业排污许可证申请与核发技术规范，项目排放的废气污染物主要为颗粒物</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⑴</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建筑、装修垃圾运输和粗选工段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运输工段：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联网系统：进入生产区的建筑、装修垃圾收集车辆需称重计量，随后驶向车辆的卸料位置。建筑、装修垃圾收集车辆进出站称重计量的目的在于准确记录每天的装修垃圾处理量，便于实现企业化管理，便于建筑、装修垃圾收集车在厂区内的作业调度，便于掌握建筑、装修垃圾收集车辆的运行情况，便于了解和掌握服务区域内建筑、装修垃圾产出量的变化规律和增长趋势。称重计量系统由计算机管理，并与监控系统联网。整个系统由项目公司负责建设并统一纳入数字城市管理平台由政府进行强制管理，强化监督管理机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粗选工段：为稳定建筑、装修垃圾成分不再交叉污染。上述各类垃圾在生产作业场地内按规定分区域进行堆放。因本项目建筑、装修垃圾总量不大，预处理粗选工段采用机械+人工方式进行。首先通过工程机械进行预拣将大块团状钢筋、大块木质材料、有机复合材质门窗等大件垃圾分拣出来，运输至场地规定区域堆存，并将大块钢筋砼构件、砌块墙体等粗破碎至600mm以下；再由人工对堆积体上肉眼可见金属、油漆桶、木质材料、废旧电池、液体容器、有机物材料或其他具有腐蚀性、破坏性的垃圾进行粗选，避免进入后端工艺环节破坏生产设备或污染再生骨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⑵</w:t>
            </w: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建筑、装修垃圾粗筛工段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szCs w:val="22"/>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粗筛（渣土筛分）“移动式+固定式结合”工段：该工段处理600mm以下建筑和装修垃圾混合垃圾，“移动”方式是利用移动型重型筛分机，上层筛面80mm，底层筛10mm。主要针对粗料大块和细料粉状混合型垃圾的分离处理，“固定”方式是利用振动给料机（棒式）的篦板，间距10mm，通过给料过程进行骨料和渣土类原料的分离。渣土筛分工段主要作用筛除垃圾中渣土和粉料成分，提高再生骨料成品质量，降低后端工艺环节的粉尘污染。</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⑶</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建筑、装修垃圾粗破碎工段</w:t>
            </w:r>
          </w:p>
          <w:p>
            <w:pPr>
              <w:keepNext w:val="0"/>
              <w:keepLines w:val="0"/>
              <w:suppressLineNumbers w:val="0"/>
              <w:adjustRightInd w:val="0"/>
              <w:spacing w:before="0" w:beforeAutospacing="0" w:after="0" w:afterAutospacing="0" w:line="360" w:lineRule="auto"/>
              <w:ind w:left="0" w:right="0" w:firstLine="480" w:firstLineChars="200"/>
              <w:rPr>
                <w:rFonts w:hint="default" w:eastAsia="仿宋_GB2312" w:cs="Times New Roman"/>
                <w:color w:val="000000" w:themeColor="text1"/>
                <w:sz w:val="24"/>
                <w:szCs w:val="24"/>
                <w:highlight w:val="none"/>
                <w:lang w:val="en-US" w:eastAsia="zh-CN"/>
                <w14:textFill>
                  <w14:solidFill>
                    <w14:schemeClr w14:val="tx1"/>
                  </w14:solidFill>
                </w14:textFill>
              </w:rPr>
            </w:pPr>
            <w:r>
              <w:rPr>
                <w:rFonts w:hint="default" w:eastAsia="仿宋_GB2312" w:cs="Times New Roman"/>
                <w:color w:val="000000" w:themeColor="text1"/>
                <w:sz w:val="24"/>
                <w:szCs w:val="24"/>
                <w:highlight w:val="none"/>
                <w:lang w:val="en-US" w:eastAsia="zh-CN"/>
                <w14:textFill>
                  <w14:solidFill>
                    <w14:schemeClr w14:val="tx1"/>
                  </w14:solidFill>
                </w14:textFill>
              </w:rPr>
              <w:t>固定式粗破碎工段：该工段处理经过粗筛（渣土筛分）的建筑垃圾原料，选择颚式破碎机作为一破粗破</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eastAsia="仿宋_GB2312" w:cs="Times New Roman"/>
                <w:color w:val="000000" w:themeColor="text1"/>
                <w:sz w:val="24"/>
                <w:szCs w:val="24"/>
                <w:highlight w:val="none"/>
                <w:lang w:val="en-US" w:eastAsia="zh-CN"/>
                <w14:textFill>
                  <w14:solidFill>
                    <w14:schemeClr w14:val="tx1"/>
                  </w14:solidFill>
                </w14:textFill>
              </w:rPr>
              <w:t>其原因主要有：</w:t>
            </w: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default" w:eastAsia="仿宋_GB2312" w:cs="Times New Roman"/>
                <w:color w:val="000000" w:themeColor="text1"/>
                <w:sz w:val="24"/>
                <w:szCs w:val="24"/>
                <w:highlight w:val="none"/>
                <w:lang w:val="en-US" w:eastAsia="zh-CN"/>
                <w14:textFill>
                  <w14:solidFill>
                    <w14:schemeClr w14:val="tx1"/>
                  </w14:solidFill>
                </w14:textFill>
              </w:rPr>
              <w:t>该设备构造简单、坚固耐用、维护检修方便、生产费用较低。因建筑垃圾来料成分复杂，特别是其中的金属组分对一破粗破设备存在潜在危害。因此一破设备构造不能太复杂，既要又要达到生产时耐用的要求，又要方便后期应急检修等情况。</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eastAsia="仿宋_GB2312" w:cs="Times New Roman"/>
                <w:color w:val="000000" w:themeColor="text1"/>
                <w:sz w:val="24"/>
                <w:szCs w:val="24"/>
                <w:highlight w:val="none"/>
                <w:lang w:val="en-US" w:eastAsia="zh-CN"/>
                <w14:textFill>
                  <w14:solidFill>
                    <w14:schemeClr w14:val="tx1"/>
                  </w14:solidFill>
                </w14:textFill>
              </w:rPr>
              <w:t>物料在破碎颚板之间除受挤压作用，同时还受研磨力的作用，破碎效率较高，可以满足后续分拣和二次渣土筛分工序的要求。</w:t>
            </w:r>
            <w:r>
              <w:rPr>
                <w:rFonts w:hint="eastAsia" w:eastAsia="仿宋_GB2312" w:cs="Times New Roman"/>
                <w:color w:val="000000" w:themeColor="text1"/>
                <w:sz w:val="24"/>
                <w:szCs w:val="24"/>
                <w:highlight w:val="none"/>
                <w:lang w:val="en-US" w:eastAsia="zh-CN"/>
                <w14:textFill>
                  <w14:solidFill>
                    <w14:schemeClr w14:val="tx1"/>
                  </w14:solidFill>
                </w14:textFill>
              </w:rPr>
              <w:t>3)</w:t>
            </w:r>
            <w:r>
              <w:rPr>
                <w:rFonts w:hint="default" w:eastAsia="仿宋_GB2312" w:cs="Times New Roman"/>
                <w:color w:val="000000" w:themeColor="text1"/>
                <w:sz w:val="24"/>
                <w:szCs w:val="24"/>
                <w:highlight w:val="none"/>
                <w:lang w:val="en-US" w:eastAsia="zh-CN"/>
                <w14:textFill>
                  <w14:solidFill>
                    <w14:schemeClr w14:val="tx1"/>
                  </w14:solidFill>
                </w14:textFill>
              </w:rPr>
              <w:t>进料尺寸较大，满足一破要适应来料粒度差异性较大的要求。皮带输送机上方增设除铁器。</w:t>
            </w:r>
          </w:p>
          <w:p>
            <w:pPr>
              <w:keepNext w:val="0"/>
              <w:keepLines w:val="0"/>
              <w:suppressLineNumbers w:val="0"/>
              <w:adjustRightInd w:val="0"/>
              <w:spacing w:before="0" w:beforeAutospacing="0" w:after="0" w:afterAutospacing="0" w:line="360" w:lineRule="auto"/>
              <w:ind w:left="0" w:right="0" w:firstLine="480" w:firstLineChars="200"/>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⑷</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建筑、装修垃圾人工分拣工段</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固定式人工分拣工段：该工段处理经过粗破碎工段100~150mm粒径垃圾物料或粉料含量很低的其他大块垃圾物料，上述物料由皮带输送机分散摊铺。由皮带输送机旁人工分拣工位对如加气块、保温板、石膏板、木块、金属、废纸、大件塑料、大件编织袋等类别的物质进行回收再生利用。砖混、混凝土等可综合利用重物质随皮带进行下个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⑸</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建筑、装修垃圾细破碎工段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移动式破碎工段：该工段处理经过粗破碎和人工分拣工段的100~150mm之间的重物质垃圾物料或其他粒度适应成分为砖混为主的垃圾物料。上述物料送至移动式反击破碎机料仓经过破碎后得到31.5mm以下再生骨料，31.5以上再生骨料通过回料皮带输送机再次进入反击式破碎机。整个过程在各主要节点通过降尘装置、帆布罩、活性干雾机控制或降低粉尘产生。选择反击式破碎机作为二破细破的原因：1）该设备生产效率高，破碎比大，适用于建筑垃圾这类中硬脆性物料的细破。2）反击破碎机可以通过调整反击板和板锤的距离和转子转速等参数，控制产品粒度方便后续筛分工序和生产控制调整。</w:t>
            </w:r>
          </w:p>
          <w:p>
            <w:pPr>
              <w:pStyle w:val="49"/>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⑹建筑、装修垃圾“除土筛分+风选”工段</w:t>
            </w:r>
          </w:p>
          <w:p>
            <w:pPr>
              <w:pStyle w:val="49"/>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固定式风选工段：该工段处理经过细破碎的建筑垃圾物料或其他粒度适宜的垃圾物料，其工作主要为原理先利用固定式二次渣土筛分将破碎后物料内的渣土或者0~5mm再生骨料进行分离，再利用风选（轻物质分离器）设备内风机吹动轻物质，轻物质进分离器收集，其他粉料随负压风扇收集，再将洁净气体排出。重物质垃圾物料不受风机气流影响，落入重物质输送带，进入下个工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⑺建筑、装修垃圾细筛工段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移动式细筛工段：该工段处理经过破碎工段的31.5mm以下物料，选用移动式三层筛分机，上层为20mm、中层为10mm、下层为5mm。筛分后得到0~5mm、5~10mm、10~20mm、20~31.5mm四种再生粗细骨料，便于下游综合利用产业使用。也可以不进入筛分系统，直接由原生混合再生骨料状态进入独立的暂存系统之内。</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⑻</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搅拌机搅拌阶段</w:t>
            </w:r>
          </w:p>
          <w:p>
            <w:pPr>
              <w:pStyle w:val="64"/>
              <w:keepNext w:val="0"/>
              <w:keepLines w:val="0"/>
              <w:suppressLineNumbers w:val="0"/>
              <w:spacing w:before="0" w:beforeAutospacing="0" w:after="0" w:afterAutospacing="0" w:line="360" w:lineRule="auto"/>
              <w:ind w:left="0" w:right="0" w:firstLine="480" w:firstLineChars="200"/>
              <w:rPr>
                <w:rFonts w:hint="default" w:eastAsia="仿宋_GB2312" w:cs="Times New Roman"/>
                <w:color w:val="000000" w:themeColor="text1"/>
                <w:kern w:val="2"/>
                <w:sz w:val="24"/>
                <w:szCs w:val="24"/>
                <w:highlight w:val="none"/>
                <w:lang w:val="en-US" w:eastAsia="zh-CN" w:bidi="ar-SA"/>
                <w14:textFill>
                  <w14:solidFill>
                    <w14:schemeClr w14:val="tx1"/>
                  </w14:solidFill>
                </w14:textFill>
              </w:rPr>
            </w:pPr>
            <w:r>
              <w:rPr>
                <w:rFonts w:hint="eastAsia" w:eastAsia="仿宋_GB2312" w:cs="Times New Roman"/>
                <w:color w:val="auto"/>
                <w:sz w:val="24"/>
                <w:szCs w:val="24"/>
                <w:highlight w:val="none"/>
                <w:lang w:val="en-US" w:eastAsia="zh-CN"/>
              </w:rPr>
              <w:t>储存在粉料筒仓罐里的粉料（水泥或粉煤灰）通过螺旋输送机将水泥或粉煤灰输送至搅拌机内。在集料的堆棚里用装载机将原材料骨料（如：建筑垃圾再生骨料，砂子，石子、炉渣、矿渣等）运输至混凝土制品车间的三级配料仓，通过计量，送到强制式搅拌机的提升斗里，提升至搅拌机里进行搅拌。本项目再生混凝土制品生产线和水稳料生产线采用密闭性搅拌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除尘效率9</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逸散</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未收集的粉尘通过</w:t>
            </w:r>
            <w:r>
              <w:rPr>
                <w:rFonts w:hint="eastAsia" w:eastAsia="仿宋_GB2312"/>
                <w:color w:val="000000" w:themeColor="text1"/>
                <w:sz w:val="24"/>
                <w:szCs w:val="24"/>
                <w14:textFill>
                  <w14:solidFill>
                    <w14:schemeClr w14:val="tx1"/>
                  </w14:solidFill>
                </w14:textFill>
              </w:rPr>
              <w:t>活性干雾机</w:t>
            </w:r>
            <w:r>
              <w:rPr>
                <w:rFonts w:hint="eastAsia" w:eastAsia="仿宋_GB2312"/>
                <w:color w:val="000000" w:themeColor="text1"/>
                <w:sz w:val="24"/>
                <w:szCs w:val="24"/>
                <w:lang w:val="en-US" w:eastAsia="zh-CN"/>
                <w14:textFill>
                  <w14:solidFill>
                    <w14:schemeClr w14:val="tx1"/>
                  </w14:solidFill>
                </w14:textFill>
              </w:rPr>
              <w:t>进行降尘</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49"/>
              <w:keepNext w:val="0"/>
              <w:keepLines w:val="0"/>
              <w:suppressLineNumbers w:val="0"/>
              <w:adjustRightInd w:val="0"/>
              <w:snapToGrid w:val="0"/>
              <w:spacing w:before="0" w:beforeAutospacing="0" w:after="0" w:afterAutospacing="0" w:line="360" w:lineRule="auto"/>
              <w:ind w:left="0" w:right="0"/>
              <w:jc w:val="left"/>
              <w:rPr>
                <w:rFonts w:hint="default" w:eastAsia="仿宋_GB2312"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本项目粉尘</w:t>
            </w:r>
            <w:r>
              <w:rPr>
                <w:rFonts w:hint="default" w:eastAsia="仿宋_GB2312" w:cs="Times New Roman"/>
                <w:color w:val="000000" w:themeColor="text1"/>
                <w:sz w:val="24"/>
                <w:highlight w:val="none"/>
                <w:lang w:val="en-US" w:eastAsia="zh-CN"/>
                <w14:textFill>
                  <w14:solidFill>
                    <w14:schemeClr w14:val="tx1"/>
                  </w14:solidFill>
                </w14:textFill>
              </w:rPr>
              <w:t>有组织排放</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措施参照《排污许可证申请与核发技术规范 总则》（HJ942-2018）4.5</w:t>
            </w:r>
            <w:r>
              <w:rPr>
                <w:rFonts w:hint="default"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废气污染治理设施工艺包括除尘设施</w:t>
            </w:r>
            <w:r>
              <w:rPr>
                <w:rFonts w:hint="eastAsia"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袋式除尘器、电除尘器、电袋复合除尘器、其他</w:t>
            </w:r>
            <w:r>
              <w:rPr>
                <w:rFonts w:hint="eastAsia" w:eastAsia="仿宋_GB2312" w:cs="Times New Roman"/>
                <w:color w:val="000000" w:themeColor="text1"/>
                <w:sz w:val="24"/>
                <w:highlight w:val="none"/>
                <w:lang w:val="en-US" w:eastAsia="zh-CN"/>
                <w14:textFill>
                  <w14:solidFill>
                    <w14:schemeClr w14:val="tx1"/>
                  </w14:solidFill>
                </w14:textFill>
              </w:rPr>
              <w:t>）</w:t>
            </w:r>
            <w:r>
              <w:rPr>
                <w:rFonts w:hint="default"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项目使用的</w:t>
            </w:r>
            <w:r>
              <w:rPr>
                <w:rFonts w:hint="default" w:eastAsia="仿宋_GB2312" w:cs="Times New Roman"/>
                <w:color w:val="000000" w:themeColor="text1"/>
                <w:sz w:val="24"/>
                <w:highlight w:val="none"/>
                <w:lang w:val="en-US" w:eastAsia="zh-CN"/>
                <w14:textFill>
                  <w14:solidFill>
                    <w14:schemeClr w14:val="tx1"/>
                  </w14:solidFill>
                </w14:textFill>
              </w:rPr>
              <w:t>布袋</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除尘器属于袋式除尘器的一种属于可行技术，根据源强核算结果可以看出，采取以上措施后，</w:t>
            </w:r>
            <w:r>
              <w:rPr>
                <w:rFonts w:hint="default" w:eastAsia="仿宋_GB2312" w:cs="Times New Roman"/>
                <w:color w:val="000000" w:themeColor="text1"/>
                <w:sz w:val="24"/>
                <w:highlight w:val="none"/>
                <w:lang w:val="en-US" w:eastAsia="zh-CN"/>
                <w14:textFill>
                  <w14:solidFill>
                    <w14:schemeClr w14:val="tx1"/>
                  </w14:solidFill>
                </w14:textFill>
              </w:rPr>
              <w:t>产生的</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废气均可达标排放</w:t>
            </w:r>
            <w:r>
              <w:rPr>
                <w:rFonts w:hint="default" w:eastAsia="仿宋_GB2312"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eastAsia="仿宋_GB2312" w:cs="Times New Roman"/>
                <w:color w:val="000000" w:themeColor="text1"/>
                <w:sz w:val="24"/>
                <w:szCs w:val="22"/>
                <w:highlight w:val="none"/>
                <w:lang w:val="en-US" w:eastAsia="zh-CN"/>
                <w14:textFill>
                  <w14:solidFill>
                    <w14:schemeClr w14:val="tx1"/>
                  </w14:solidFill>
                </w14:textFill>
              </w:rPr>
              <w:t>综上所述，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建筑垃圾再生线</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rPr>
              <w:t>颗粒物排放执行</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《大气污染物综合排放标准》（GB16297-1996）表2新污染源大气污染物排放限值</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2"/>
                <w:highlight w:val="none"/>
                <w:lang w:val="en-US" w:eastAsia="zh-CN"/>
                <w14:textFill>
                  <w14:solidFill>
                    <w14:schemeClr w14:val="tx1"/>
                  </w14:solidFill>
                </w14:textFill>
              </w:rPr>
              <w:t>本项目</w:t>
            </w:r>
            <w:r>
              <w:rPr>
                <w:rFonts w:hint="eastAsia" w:eastAsia="仿宋_GB2312" w:cs="Times New Roman"/>
                <w:color w:val="000000" w:themeColor="text1"/>
                <w:sz w:val="24"/>
                <w:szCs w:val="22"/>
                <w:highlight w:val="none"/>
                <w:lang w:val="en-US" w:eastAsia="zh-CN"/>
                <w14:textFill>
                  <w14:solidFill>
                    <w14:schemeClr w14:val="tx1"/>
                  </w14:solidFill>
                </w14:textFill>
              </w:rPr>
              <w:t>再生混凝土制品生产线和水稳料生产线</w:t>
            </w:r>
            <w:r>
              <w:rPr>
                <w:rFonts w:hint="default" w:ascii="Times New Roman" w:hAnsi="Times New Roman" w:eastAsia="仿宋_GB2312" w:cs="Times New Roman"/>
                <w:color w:val="000000" w:themeColor="text1"/>
                <w:sz w:val="24"/>
                <w:szCs w:val="22"/>
                <w:highlight w:val="none"/>
                <w:lang w:val="en-US" w:eastAsia="zh-CN"/>
                <w14:textFill>
                  <w14:solidFill>
                    <w14:schemeClr w14:val="tx1"/>
                  </w14:solidFill>
                </w14:textFill>
              </w:rPr>
              <w:t>通过以上废气处理措施后可满足</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宁夏回族自治区地方标准《水泥工业大气污染物排放标准》（DB 64/1995-2024）表1散装水泥中转及水泥制品生产过程排放限值要求</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颗粒物有组织排放浓度≤10mg/m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eastAsia="仿宋_GB2312" w:cs="Times New Roman"/>
                <w:color w:val="000000" w:themeColor="text1"/>
                <w:sz w:val="24"/>
                <w:szCs w:val="2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w:t>
            </w:r>
            <w:r>
              <w:rPr>
                <w:rFonts w:hint="eastAsia" w:eastAsia="仿宋_GB2312" w:cs="Times New Roman"/>
                <w:color w:val="000000" w:themeColor="text1"/>
                <w:sz w:val="24"/>
                <w:szCs w:val="22"/>
                <w:highlight w:val="none"/>
                <w:lang w:val="en-US" w:eastAsia="zh-CN"/>
                <w14:textFill>
                  <w14:solidFill>
                    <w14:schemeClr w14:val="tx1"/>
                  </w14:solidFill>
                </w14:textFill>
              </w:rPr>
              <w:t>再生混凝土制品生产线和水稳料生产线</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无组织排放的粉尘满足宁夏回族自治区地方标准《水泥工业大气污染物排放标准》（DB 64/1995-2024）中表2排放限值</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无组织颗粒物排放限值0.5mg/m</w:t>
            </w:r>
            <w:r>
              <w:rPr>
                <w:rFonts w:hint="eastAsia" w:ascii="Times New Roman" w:hAnsi="Times New Roman" w:eastAsia="仿宋_GB2312" w:cs="Times New Roman"/>
                <w:color w:val="000000" w:themeColor="text1"/>
                <w:sz w:val="24"/>
                <w:szCs w:val="24"/>
                <w:highlight w:val="none"/>
                <w:vertAlign w:val="superscript"/>
                <w:lang w:val="en-US" w:eastAsia="zh-CN"/>
                <w14:textFill>
                  <w14:solidFill>
                    <w14:schemeClr w14:val="tx1"/>
                  </w14:solidFill>
                </w14:textFill>
              </w:rPr>
              <w:t>3</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，对环境的影响将会大大降低。</w:t>
            </w:r>
          </w:p>
          <w:p>
            <w:pPr>
              <w:pStyle w:val="49"/>
              <w:keepNext w:val="0"/>
              <w:keepLines w:val="0"/>
              <w:suppressLineNumbers w:val="0"/>
              <w:adjustRightInd w:val="0"/>
              <w:snapToGrid w:val="0"/>
              <w:spacing w:before="0" w:beforeAutospacing="0" w:after="0" w:afterAutospacing="0" w:line="360" w:lineRule="auto"/>
              <w:ind w:left="0" w:right="0"/>
              <w:jc w:val="left"/>
              <w:rPr>
                <w:rFonts w:hint="default"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4"/>
                <w:highlight w:val="none"/>
                <w:lang w:eastAsia="zh-CN"/>
                <w14:textFill>
                  <w14:solidFill>
                    <w14:schemeClr w14:val="tx1"/>
                  </w14:solidFill>
                </w14:textFill>
              </w:rPr>
              <w:t>本项目废气对大气环境影响较轻微，措施可行</w:t>
            </w:r>
            <w:r>
              <w:rPr>
                <w:rFonts w:hint="default" w:ascii="Times New Roman" w:hAnsi="Times New Roman" w:eastAsia="仿宋_GB2312" w:cs="Times New Roman"/>
                <w:color w:val="000000" w:themeColor="text1"/>
                <w:sz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4</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废气排放口基本情况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本项目废气排放口基本情况见表4-</w:t>
            </w:r>
            <w:r>
              <w:rPr>
                <w:rFonts w:hint="eastAsia" w:eastAsia="仿宋_GB2312" w:cs="Times New Roman"/>
                <w:b w:val="0"/>
                <w:bCs w:val="0"/>
                <w:color w:val="000000" w:themeColor="text1"/>
                <w:kern w:val="0"/>
                <w:sz w:val="24"/>
                <w:szCs w:val="24"/>
                <w:highlight w:val="none"/>
                <w:lang w:val="en-US" w:eastAsia="zh-CN"/>
                <w14:textFill>
                  <w14:solidFill>
                    <w14:schemeClr w14:val="tx1"/>
                  </w14:solidFill>
                </w14:textFill>
              </w:rPr>
              <w:t>11</w:t>
            </w: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11</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废气排放口基本情况一览表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4006"/>
              <w:gridCol w:w="1494"/>
              <w:gridCol w:w="1766"/>
              <w:gridCol w:w="1901"/>
              <w:gridCol w:w="1052"/>
              <w:gridCol w:w="1172"/>
              <w:gridCol w:w="1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475"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4006"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排放口编号</w:t>
                  </w: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及</w:t>
                  </w: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1494"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类型</w:t>
                  </w:r>
                </w:p>
              </w:tc>
              <w:tc>
                <w:tcPr>
                  <w:tcW w:w="366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排放口地理坐标</w:t>
                  </w:r>
                </w:p>
              </w:tc>
              <w:tc>
                <w:tcPr>
                  <w:tcW w:w="1052"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排气筒高度（m）</w:t>
                  </w:r>
                </w:p>
              </w:tc>
              <w:tc>
                <w:tcPr>
                  <w:tcW w:w="1172"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排气筒出口内径（m）</w:t>
                  </w:r>
                </w:p>
              </w:tc>
              <w:tc>
                <w:tcPr>
                  <w:tcW w:w="1060"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6"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4"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经度</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纬度</w:t>
                  </w:r>
                </w:p>
              </w:tc>
              <w:tc>
                <w:tcPr>
                  <w:tcW w:w="10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1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0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1</w:t>
                  </w:r>
                </w:p>
              </w:tc>
              <w:tc>
                <w:tcPr>
                  <w:tcW w:w="4006"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建筑垃圾再生利用车间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4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一般排放口</w:t>
                  </w: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106.345</w:t>
                  </w:r>
                  <w:r>
                    <w:rPr>
                      <w:rFonts w:hint="eastAsia" w:eastAsia="宋体" w:cs="Times New Roman"/>
                      <w:color w:val="000000" w:themeColor="text1"/>
                      <w:spacing w:val="4"/>
                      <w:sz w:val="21"/>
                      <w:szCs w:val="21"/>
                      <w:highlight w:val="none"/>
                      <w:lang w:val="en-US" w:eastAsia="zh-CN"/>
                      <w14:textFill>
                        <w14:solidFill>
                          <w14:schemeClr w14:val="tx1"/>
                        </w14:solidFill>
                      </w14:textFill>
                    </w:rPr>
                    <w:t>601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35.49</w:t>
                  </w:r>
                  <w:r>
                    <w:rPr>
                      <w:rFonts w:hint="eastAsia" w:eastAsia="宋体" w:cs="Times New Roman"/>
                      <w:color w:val="000000" w:themeColor="text1"/>
                      <w:spacing w:val="4"/>
                      <w:sz w:val="21"/>
                      <w:szCs w:val="21"/>
                      <w:highlight w:val="none"/>
                      <w:lang w:val="en-US" w:eastAsia="zh-CN"/>
                      <w14:textFill>
                        <w14:solidFill>
                          <w14:schemeClr w14:val="tx1"/>
                        </w14:solidFill>
                      </w14:textFill>
                    </w:rPr>
                    <w:t>4913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w:t>
                  </w:r>
                </w:p>
              </w:tc>
              <w:tc>
                <w:tcPr>
                  <w:tcW w:w="11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0.</w:t>
                  </w:r>
                  <w:r>
                    <w:rPr>
                      <w:rFonts w:hint="eastAsia" w:cs="Times New Roman"/>
                      <w:bCs/>
                      <w:color w:val="000000" w:themeColor="text1"/>
                      <w:kern w:val="0"/>
                      <w:sz w:val="21"/>
                      <w:szCs w:val="21"/>
                      <w:highlight w:val="none"/>
                      <w:lang w:val="en-US" w:eastAsia="zh-CN"/>
                      <w14:textFill>
                        <w14:solidFill>
                          <w14:schemeClr w14:val="tx1"/>
                        </w14:solidFill>
                      </w14:textFill>
                    </w:rPr>
                    <w:t>8</w:t>
                  </w:r>
                </w:p>
              </w:tc>
              <w:tc>
                <w:tcPr>
                  <w:tcW w:w="1060" w:type="dxa"/>
                  <w:tcBorders>
                    <w:tl2br w:val="nil"/>
                    <w:tr2bl w:val="nil"/>
                  </w:tcBorders>
                  <w:noWrap w:val="0"/>
                  <w:vAlign w:val="center"/>
                </w:tcPr>
                <w:p>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w:t>
                  </w:r>
                </w:p>
              </w:tc>
              <w:tc>
                <w:tcPr>
                  <w:tcW w:w="4006"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建筑垃圾再生利用车间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4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一般排放口</w:t>
                  </w: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106.345</w:t>
                  </w:r>
                  <w:r>
                    <w:rPr>
                      <w:rFonts w:hint="eastAsia" w:cs="Times New Roman"/>
                      <w:color w:val="000000" w:themeColor="text1"/>
                      <w:spacing w:val="4"/>
                      <w:sz w:val="21"/>
                      <w:szCs w:val="21"/>
                      <w:highlight w:val="none"/>
                      <w:lang w:val="en-US" w:eastAsia="zh-CN"/>
                      <w14:textFill>
                        <w14:solidFill>
                          <w14:schemeClr w14:val="tx1"/>
                        </w14:solidFill>
                      </w14:textFill>
                    </w:rPr>
                    <w:t>646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35.49</w:t>
                  </w:r>
                  <w:r>
                    <w:rPr>
                      <w:rFonts w:hint="eastAsia" w:cs="Times New Roman"/>
                      <w:color w:val="000000" w:themeColor="text1"/>
                      <w:spacing w:val="4"/>
                      <w:sz w:val="21"/>
                      <w:szCs w:val="21"/>
                      <w:highlight w:val="none"/>
                      <w:lang w:val="en-US" w:eastAsia="zh-CN"/>
                      <w14:textFill>
                        <w14:solidFill>
                          <w14:schemeClr w14:val="tx1"/>
                        </w14:solidFill>
                      </w14:textFill>
                    </w:rPr>
                    <w:t>4941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w:t>
                  </w:r>
                </w:p>
              </w:tc>
              <w:tc>
                <w:tcPr>
                  <w:tcW w:w="11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0.</w:t>
                  </w:r>
                  <w:r>
                    <w:rPr>
                      <w:rFonts w:hint="eastAsia" w:cs="Times New Roman"/>
                      <w:bCs/>
                      <w:color w:val="000000" w:themeColor="text1"/>
                      <w:kern w:val="0"/>
                      <w:sz w:val="21"/>
                      <w:szCs w:val="21"/>
                      <w:highlight w:val="none"/>
                      <w:lang w:val="en-US" w:eastAsia="zh-CN"/>
                      <w14:textFill>
                        <w14:solidFill>
                          <w14:schemeClr w14:val="tx1"/>
                        </w14:solidFill>
                      </w14:textFill>
                    </w:rPr>
                    <w:t>8</w:t>
                  </w:r>
                </w:p>
              </w:tc>
              <w:tc>
                <w:tcPr>
                  <w:tcW w:w="1060" w:type="dxa"/>
                  <w:tcBorders>
                    <w:tl2br w:val="nil"/>
                    <w:tr2bl w:val="nil"/>
                  </w:tcBorders>
                  <w:noWrap w:val="0"/>
                  <w:vAlign w:val="center"/>
                </w:tcPr>
                <w:p>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5</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监测要求及排放标准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根据《排污单位自行监测技术指南 水泥工业》（HJ848-2017）中废气监测要求，并结合项目实际，监测计划详见表4-</w:t>
            </w:r>
            <w:r>
              <w:rPr>
                <w:rFonts w:hint="eastAsia" w:eastAsia="仿宋_GB2312" w:cs="Times New Roman"/>
                <w:b w:val="0"/>
                <w:bCs w:val="0"/>
                <w:color w:val="000000" w:themeColor="text1"/>
                <w:kern w:val="0"/>
                <w:sz w:val="24"/>
                <w:szCs w:val="24"/>
                <w:highlight w:val="none"/>
                <w:lang w:val="en-US" w:eastAsia="zh-CN" w:bidi="ar-SA"/>
                <w14:textFill>
                  <w14:solidFill>
                    <w14:schemeClr w14:val="tx1"/>
                  </w14:solidFill>
                </w14:textFill>
              </w:rPr>
              <w:t>12</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Cs w:val="22"/>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本项目废气监测要求及执行标准一览表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340"/>
              <w:gridCol w:w="1747"/>
              <w:gridCol w:w="1322"/>
              <w:gridCol w:w="1675"/>
              <w:gridCol w:w="5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154"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监测时期</w:t>
                  </w: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监测项目</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监测项目</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监测频次</w:t>
                  </w:r>
                </w:p>
              </w:tc>
              <w:tc>
                <w:tcPr>
                  <w:tcW w:w="575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54"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厂界</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每季度一次</w:t>
                  </w:r>
                </w:p>
              </w:tc>
              <w:tc>
                <w:tcPr>
                  <w:tcW w:w="5755"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auto"/>
                      <w:szCs w:val="22"/>
                      <w:highlight w:val="none"/>
                    </w:rPr>
                  </w:pPr>
                  <w:r>
                    <w:rPr>
                      <w:rFonts w:hint="default" w:cs="Times New Roman"/>
                      <w:color w:val="auto"/>
                      <w:szCs w:val="22"/>
                      <w:highlight w:val="none"/>
                    </w:rPr>
                    <w:t>《大气污染物综合排放标准》（GB16297-1996）</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auto"/>
                      <w:szCs w:val="22"/>
                      <w:highlight w:val="none"/>
                      <w:lang w:val="en-US" w:eastAsia="zh-CN"/>
                    </w:rPr>
                  </w:pPr>
                  <w:r>
                    <w:rPr>
                      <w:rFonts w:hint="default" w:ascii="Times New Roman" w:hAnsi="Times New Roman" w:eastAsia="宋体" w:cs="Times New Roman"/>
                      <w:color w:val="auto"/>
                      <w:sz w:val="21"/>
                      <w:szCs w:val="22"/>
                      <w:highlight w:val="none"/>
                    </w:rPr>
                    <w:t>《水泥工业大气污染物排放标准》（DB 64/1995-2024）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154"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eastAsia="宋体" w:cs="Times New Roman"/>
                      <w:color w:val="000000" w:themeColor="text1"/>
                      <w:kern w:val="0"/>
                      <w:sz w:val="21"/>
                      <w:szCs w:val="21"/>
                      <w:highlight w:val="none"/>
                      <w:lang w:eastAsia="zh-CN"/>
                      <w14:textFill>
                        <w14:solidFill>
                          <w14:schemeClr w14:val="tx1"/>
                        </w14:solidFill>
                      </w14:textFill>
                    </w:rPr>
                    <w:t>排气筒（DA001）</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两年一次</w:t>
                  </w:r>
                </w:p>
              </w:tc>
              <w:tc>
                <w:tcPr>
                  <w:tcW w:w="57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auto"/>
                      <w:szCs w:val="22"/>
                      <w:highlight w:val="none"/>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154"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color w:val="000000" w:themeColor="text1"/>
                      <w:kern w:val="0"/>
                      <w:sz w:val="21"/>
                      <w:szCs w:val="21"/>
                      <w:highlight w:val="none"/>
                      <w:lang w:eastAsia="zh-CN"/>
                      <w14:textFill>
                        <w14:solidFill>
                          <w14:schemeClr w14:val="tx1"/>
                        </w14:solidFill>
                      </w14:textFill>
                    </w:rPr>
                  </w:pPr>
                  <w:r>
                    <w:rPr>
                      <w:rFonts w:hint="eastAsia" w:eastAsia="宋体" w:cs="Times New Roman"/>
                      <w:color w:val="000000" w:themeColor="text1"/>
                      <w:kern w:val="0"/>
                      <w:sz w:val="21"/>
                      <w:szCs w:val="21"/>
                      <w:highlight w:val="none"/>
                      <w:lang w:eastAsia="zh-CN"/>
                      <w14:textFill>
                        <w14:solidFill>
                          <w14:schemeClr w14:val="tx1"/>
                        </w14:solidFill>
                      </w14:textFill>
                    </w:rPr>
                    <w:t>排气筒（DA00</w:t>
                  </w:r>
                  <w:r>
                    <w:rPr>
                      <w:rFonts w:hint="eastAsia" w:eastAsia="宋体" w:cs="Times New Roman"/>
                      <w:color w:val="000000" w:themeColor="text1"/>
                      <w:kern w:val="0"/>
                      <w:sz w:val="21"/>
                      <w:szCs w:val="21"/>
                      <w:highlight w:val="none"/>
                      <w:lang w:val="en-US" w:eastAsia="zh-CN"/>
                      <w14:textFill>
                        <w14:solidFill>
                          <w14:schemeClr w14:val="tx1"/>
                        </w14:solidFill>
                      </w14:textFill>
                    </w:rPr>
                    <w:t>2</w:t>
                  </w:r>
                  <w:r>
                    <w:rPr>
                      <w:rFonts w:hint="eastAsia" w:eastAsia="宋体" w:cs="Times New Roman"/>
                      <w:color w:val="000000" w:themeColor="text1"/>
                      <w:kern w:val="0"/>
                      <w:sz w:val="21"/>
                      <w:szCs w:val="21"/>
                      <w:highlight w:val="none"/>
                      <w:lang w:eastAsia="zh-CN"/>
                      <w14:textFill>
                        <w14:solidFill>
                          <w14:schemeClr w14:val="tx1"/>
                        </w14:solidFill>
                      </w14:textFill>
                    </w:rPr>
                    <w:t>）</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两年一次</w:t>
                  </w:r>
                </w:p>
              </w:tc>
              <w:tc>
                <w:tcPr>
                  <w:tcW w:w="57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6</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达标排放情况分析</w:t>
            </w:r>
          </w:p>
          <w:p>
            <w:pPr>
              <w:pStyle w:val="64"/>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废气污染物源强分析，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本项目废气</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采取“</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密闭</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集气罩+</w:t>
            </w:r>
            <w:r>
              <w:rPr>
                <w:rFonts w:hint="eastAsia" w:eastAsia="仿宋_GB2312" w:cs="Times New Roman"/>
                <w:color w:val="000000" w:themeColor="text1"/>
                <w:sz w:val="24"/>
                <w:szCs w:val="24"/>
                <w:highlight w:val="none"/>
                <w:lang w:val="en-US" w:eastAsia="zh-CN"/>
                <w14:textFill>
                  <w14:solidFill>
                    <w14:schemeClr w14:val="tx1"/>
                  </w14:solidFill>
                </w14:textFill>
              </w:rPr>
              <w:t>布袋除尘器+15</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m排气筒”</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措施</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eastAsia" w:eastAsia="仿宋_GB2312" w:cs="Times New Roman"/>
                <w:color w:val="000000" w:themeColor="text1"/>
                <w:sz w:val="24"/>
                <w:szCs w:val="24"/>
                <w:highlight w:val="none"/>
                <w:lang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在厂房内设置4台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活性干雾机</w:t>
            </w:r>
            <w:r>
              <w:rPr>
                <w:rFonts w:hint="eastAsia" w:eastAsia="仿宋_GB2312" w:cs="Times New Roman"/>
                <w:color w:val="000000" w:themeColor="text1"/>
                <w:sz w:val="24"/>
                <w:szCs w:val="24"/>
                <w:highlight w:val="none"/>
                <w:lang w:val="en-US" w:eastAsia="zh-CN"/>
                <w14:textFill>
                  <w14:solidFill>
                    <w14:schemeClr w14:val="tx1"/>
                  </w14:solidFill>
                </w14:textFill>
              </w:rPr>
              <w:t>进行降尘，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从而降低粉尘无组织排放量</w:t>
            </w:r>
            <w:r>
              <w:rPr>
                <w:rFonts w:hint="eastAsia"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建筑</w:t>
            </w:r>
            <w:r>
              <w:rPr>
                <w:rFonts w:hint="eastAsia" w:eastAsia="仿宋_GB2312" w:cs="Times New Roman"/>
                <w:color w:val="000000" w:themeColor="text1"/>
                <w:sz w:val="24"/>
                <w:szCs w:val="24"/>
                <w:highlight w:val="none"/>
                <w:lang w:val="en-US" w:eastAsia="zh-CN"/>
                <w14:textFill>
                  <w14:solidFill>
                    <w14:schemeClr w14:val="tx1"/>
                  </w14:solidFill>
                </w14:textFill>
              </w:rPr>
              <w:t>垃圾</w:t>
            </w:r>
            <w:r>
              <w:rPr>
                <w:rFonts w:hint="eastAsia" w:eastAsia="仿宋_GB2312"/>
                <w:color w:val="000000" w:themeColor="text1"/>
                <w:sz w:val="24"/>
                <w:szCs w:val="24"/>
                <w:highlight w:val="none"/>
                <w:lang w:val="en-US" w:eastAsia="zh-CN"/>
                <w14:textFill>
                  <w14:solidFill>
                    <w14:schemeClr w14:val="tx1"/>
                  </w14:solidFill>
                </w14:textFill>
              </w:rPr>
              <w:t>原料采用</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编制覆盖及洒水措施</w:t>
            </w:r>
            <w:r>
              <w:rPr>
                <w:rFonts w:hint="eastAsia" w:eastAsia="仿宋_GB2312"/>
                <w:color w:val="000000" w:themeColor="text1"/>
                <w:sz w:val="24"/>
                <w:szCs w:val="24"/>
                <w:highlight w:val="none"/>
                <w14:textFill>
                  <w14:solidFill>
                    <w14:schemeClr w14:val="tx1"/>
                  </w14:solidFill>
                </w14:textFill>
              </w:rPr>
              <w:t>，避免扬尘飞起</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lang w:val="en-US" w:eastAsia="zh-CN"/>
                <w14:textFill>
                  <w14:solidFill>
                    <w14:schemeClr w14:val="tx1"/>
                  </w14:solidFill>
                </w14:textFill>
              </w:rPr>
              <w:t>并在道路两旁设置</w:t>
            </w:r>
            <w:r>
              <w:rPr>
                <w:rFonts w:hint="eastAsia" w:eastAsia="仿宋_GB2312"/>
                <w:color w:val="000000" w:themeColor="text1"/>
                <w:sz w:val="24"/>
                <w:szCs w:val="24"/>
                <w:highlight w:val="none"/>
                <w14:textFill>
                  <w14:solidFill>
                    <w14:schemeClr w14:val="tx1"/>
                  </w14:solidFill>
                </w14:textFill>
              </w:rPr>
              <w:t>雾炮环保系统降尘</w:t>
            </w:r>
            <w:r>
              <w:rPr>
                <w:rFonts w:hint="eastAsia" w:eastAsia="仿宋_GB2312"/>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使得废弃物卸料过程始终处于湿式状态，</w:t>
            </w:r>
            <w:r>
              <w:rPr>
                <w:rFonts w:hint="eastAsia" w:eastAsia="仿宋_GB2312" w:cs="Times New Roman"/>
                <w:color w:val="000000" w:themeColor="text1"/>
                <w:sz w:val="24"/>
                <w:szCs w:val="24"/>
                <w:highlight w:val="none"/>
                <w:lang w:val="en-US" w:eastAsia="zh-CN"/>
                <w14:textFill>
                  <w14:solidFill>
                    <w14:schemeClr w14:val="tx1"/>
                  </w14:solidFill>
                </w14:textFill>
              </w:rPr>
              <w:t>进而</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降低粉尘无组织排放量。</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本项目采取有效的粉尘处理措施后，</w:t>
            </w:r>
            <w:r>
              <w:rPr>
                <w:rFonts w:hint="eastAsia" w:eastAsia="仿宋_GB2312" w:cs="Times New Roman"/>
                <w:color w:val="000000" w:themeColor="text1"/>
                <w:sz w:val="24"/>
                <w:szCs w:val="24"/>
                <w:highlight w:val="none"/>
                <w:lang w:val="en-US" w:eastAsia="zh-CN"/>
                <w14:textFill>
                  <w14:solidFill>
                    <w14:schemeClr w14:val="tx1"/>
                  </w14:solidFill>
                </w14:textFill>
              </w:rPr>
              <w:t>再生混凝土生产线和水稳料生产线</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产生的颗粒物满足《水泥工业大气污染物排放标准》（DB 64/1995-2024）中表</w:t>
            </w: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标准限值要求，</w:t>
            </w:r>
            <w:r>
              <w:rPr>
                <w:rFonts w:hint="eastAsia" w:eastAsia="仿宋_GB2312" w:cs="Times New Roman"/>
                <w:color w:val="000000" w:themeColor="text1"/>
                <w:sz w:val="24"/>
                <w:szCs w:val="24"/>
                <w:highlight w:val="none"/>
                <w:lang w:val="en-US" w:eastAsia="zh-CN"/>
                <w14:textFill>
                  <w14:solidFill>
                    <w14:schemeClr w14:val="tx1"/>
                  </w14:solidFill>
                </w14:textFill>
              </w:rPr>
              <w:t>建筑垃圾再生线</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产生的颗粒物满足《大气污染物综合排放标准》（GB16297-1996）中</w:t>
            </w:r>
            <w:r>
              <w:rPr>
                <w:rFonts w:hint="default" w:cs="Times New Roman"/>
                <w:color w:val="auto"/>
                <w:highlight w:val="none"/>
              </w:rPr>
              <w:t>表2新污染源大气污染物排放限值</w:t>
            </w:r>
            <w:r>
              <w:rPr>
                <w:rFonts w:hint="eastAsia" w:cs="Times New Roman"/>
                <w:color w:val="auto"/>
                <w:highlight w:val="none"/>
                <w:lang w:eastAsia="zh-CN"/>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因此粉尘对环境影响可以接受。</w:t>
            </w:r>
          </w:p>
          <w:p>
            <w:pPr>
              <w:pStyle w:val="5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eastAsia" w:eastAsia="仿宋_GB2312" w:cs="Times New Roman"/>
                <w:b/>
                <w:bCs/>
                <w:color w:val="auto"/>
                <w:sz w:val="24"/>
                <w:szCs w:val="24"/>
                <w:highlight w:val="none"/>
                <w:lang w:val="en-US" w:eastAsia="zh-CN"/>
              </w:rPr>
            </w:pPr>
          </w:p>
          <w:p>
            <w:pPr>
              <w:pStyle w:val="5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auto"/>
                <w:sz w:val="24"/>
                <w:szCs w:val="24"/>
                <w:highlight w:val="none"/>
                <w:lang w:eastAsia="zh-CN"/>
              </w:rPr>
            </w:pPr>
            <w:r>
              <w:rPr>
                <w:rFonts w:hint="eastAsia" w:eastAsia="仿宋_GB2312" w:cs="Times New Roman"/>
                <w:b/>
                <w:bCs/>
                <w:color w:val="auto"/>
                <w:sz w:val="24"/>
                <w:szCs w:val="24"/>
                <w:highlight w:val="none"/>
                <w:lang w:val="en-US" w:eastAsia="zh-CN"/>
              </w:rPr>
              <w:t>1.7</w:t>
            </w:r>
            <w:r>
              <w:rPr>
                <w:rFonts w:hint="default" w:ascii="Times New Roman" w:hAnsi="Times New Roman" w:eastAsia="仿宋_GB2312" w:cs="Times New Roman"/>
                <w:b/>
                <w:bCs/>
                <w:color w:val="auto"/>
                <w:sz w:val="24"/>
                <w:szCs w:val="24"/>
                <w:highlight w:val="none"/>
                <w:lang w:eastAsia="zh-CN"/>
              </w:rPr>
              <w:t>废气排放环境影响分析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cs="Times New Roman"/>
                <w:b w:val="0"/>
                <w:bCs w:val="0"/>
                <w:color w:val="auto"/>
                <w:highlight w:val="none"/>
                <w:lang w:val="en-US" w:eastAsia="zh-CN"/>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cs="Times New Roman"/>
                <w:b w:val="0"/>
                <w:bCs w:val="0"/>
                <w:color w:val="auto"/>
                <w:highlight w:val="none"/>
                <w:lang w:val="en-US" w:eastAsia="zh-CN"/>
              </w:rPr>
              <w:t>，本项目厂界外500米范围内无自然环境保护区、风景名胜区、居住区、文化区和农村地区中人群较集中的区域；</w:t>
            </w:r>
            <w:r>
              <w:rPr>
                <w:rFonts w:hint="default" w:ascii="Times New Roman" w:hAnsi="Times New Roman" w:cs="Times New Roman"/>
                <w:color w:val="auto"/>
                <w:sz w:val="24"/>
                <w:szCs w:val="24"/>
                <w:highlight w:val="none"/>
                <w:lang w:eastAsia="zh-CN"/>
              </w:rPr>
              <w:t>根据源强核算及达标排放分析，</w:t>
            </w:r>
            <w:r>
              <w:rPr>
                <w:rFonts w:hint="default" w:ascii="Times New Roman" w:hAnsi="Times New Roman" w:eastAsia="仿宋_GB2312" w:cs="Times New Roman"/>
                <w:color w:val="auto"/>
                <w:sz w:val="24"/>
                <w:szCs w:val="24"/>
                <w:highlight w:val="none"/>
              </w:rPr>
              <w:t>项目生产过程中</w:t>
            </w:r>
            <w:r>
              <w:rPr>
                <w:rFonts w:hint="eastAsia" w:cs="Times New Roman"/>
                <w:color w:val="auto"/>
                <w:sz w:val="24"/>
                <w:szCs w:val="24"/>
                <w:highlight w:val="none"/>
                <w:lang w:val="en-US" w:eastAsia="zh-CN"/>
              </w:rPr>
              <w:t>扬尘</w:t>
            </w:r>
            <w:r>
              <w:rPr>
                <w:rFonts w:hint="default" w:ascii="Times New Roman" w:hAnsi="Times New Roman" w:eastAsia="仿宋_GB2312" w:cs="Times New Roman"/>
                <w:color w:val="auto"/>
                <w:sz w:val="24"/>
                <w:szCs w:val="24"/>
                <w:highlight w:val="none"/>
              </w:rPr>
              <w:t>经</w:t>
            </w:r>
            <w:r>
              <w:rPr>
                <w:rFonts w:hint="default" w:ascii="Times New Roman" w:hAnsi="Times New Roman" w:cs="Times New Roman"/>
                <w:color w:val="auto"/>
                <w:sz w:val="24"/>
                <w:szCs w:val="24"/>
                <w:highlight w:val="none"/>
                <w:lang w:eastAsia="zh-CN"/>
              </w:rPr>
              <w:t>相应措施</w:t>
            </w:r>
            <w:r>
              <w:rPr>
                <w:rFonts w:hint="default" w:ascii="Times New Roman" w:hAnsi="Times New Roman" w:eastAsia="仿宋_GB2312" w:cs="Times New Roman"/>
                <w:color w:val="auto"/>
                <w:sz w:val="24"/>
                <w:szCs w:val="24"/>
                <w:highlight w:val="none"/>
              </w:rPr>
              <w:t>处理后均可满足达标排放要求，</w:t>
            </w:r>
            <w:r>
              <w:rPr>
                <w:rFonts w:hint="default" w:ascii="Times New Roman" w:hAnsi="Times New Roman" w:cs="Times New Roman"/>
                <w:color w:val="auto"/>
                <w:sz w:val="24"/>
                <w:szCs w:val="24"/>
                <w:highlight w:val="none"/>
                <w:lang w:eastAsia="zh-CN"/>
              </w:rPr>
              <w:t>同时加强车间通风</w:t>
            </w:r>
            <w:r>
              <w:rPr>
                <w:rFonts w:hint="eastAsia" w:cs="Times New Roman"/>
                <w:color w:val="auto"/>
                <w:sz w:val="24"/>
                <w:szCs w:val="24"/>
                <w:highlight w:val="none"/>
                <w:lang w:eastAsia="zh-CN"/>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本项目</w:t>
            </w:r>
            <w:r>
              <w:rPr>
                <w:rFonts w:hint="eastAsia" w:ascii="Times New Roman" w:hAnsi="Times New Roman" w:eastAsia="仿宋_GB2312"/>
                <w:color w:val="000000" w:themeColor="text1"/>
                <w:kern w:val="16"/>
                <w:highlight w:val="none"/>
                <w:lang w:bidi="ar"/>
                <w14:textFill>
                  <w14:solidFill>
                    <w14:schemeClr w14:val="tx1"/>
                  </w14:solidFill>
                </w14:textFill>
              </w:rPr>
              <w:t>管理区内绿地面积约130.00m</w:t>
            </w:r>
            <w:r>
              <w:rPr>
                <w:rFonts w:hint="eastAsia"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cs="Times New Roman"/>
                <w:color w:val="auto"/>
                <w:sz w:val="24"/>
                <w:szCs w:val="22"/>
                <w:highlight w:val="none"/>
                <w:lang w:val="en-US" w:eastAsia="zh-CN"/>
              </w:rPr>
              <w:t>。</w:t>
            </w:r>
            <w:r>
              <w:rPr>
                <w:rFonts w:hint="default"/>
                <w:color w:val="auto"/>
                <w:szCs w:val="22"/>
                <w:highlight w:val="none"/>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default" w:ascii="Times New Roman" w:hAnsi="Times New Roman" w:cs="Times New Roman"/>
                <w:color w:val="auto"/>
                <w:sz w:val="24"/>
                <w:szCs w:val="24"/>
                <w:highlight w:val="none"/>
                <w:lang w:val="en-US" w:eastAsia="zh-CN"/>
              </w:rPr>
              <w:t>因此，本</w:t>
            </w:r>
            <w:r>
              <w:rPr>
                <w:rFonts w:hint="default" w:ascii="Times New Roman" w:hAnsi="Times New Roman" w:eastAsia="仿宋_GB2312" w:cs="Times New Roman"/>
                <w:color w:val="auto"/>
                <w:sz w:val="24"/>
                <w:szCs w:val="24"/>
                <w:highlight w:val="none"/>
              </w:rPr>
              <w:t>项目废气经处理后对周围环境影响</w:t>
            </w:r>
            <w:r>
              <w:rPr>
                <w:rFonts w:hint="default" w:ascii="Times New Roman" w:hAnsi="Times New Roman" w:cs="Times New Roman"/>
                <w:color w:val="auto"/>
                <w:sz w:val="24"/>
                <w:szCs w:val="24"/>
                <w:highlight w:val="none"/>
                <w:lang w:eastAsia="zh-CN"/>
              </w:rPr>
              <w:t>可接受</w:t>
            </w:r>
            <w:r>
              <w:rPr>
                <w:rFonts w:hint="default" w:ascii="Times New Roman" w:hAnsi="Times New Roman" w:eastAsia="仿宋_GB2312" w:cs="Times New Roman"/>
                <w:color w:val="auto"/>
                <w:sz w:val="24"/>
                <w:szCs w:val="24"/>
                <w:highlight w:val="none"/>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2.废水</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⑴废水污染源强核算及达标排放情况</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①废水源强核算</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本项目运营期生产废水</w:t>
            </w:r>
            <w:r>
              <w:rPr>
                <w:rFonts w:hint="eastAsia" w:cs="Times New Roman"/>
                <w:color w:val="000000" w:themeColor="text1"/>
                <w:sz w:val="24"/>
                <w:szCs w:val="24"/>
                <w:highlight w:val="none"/>
                <w:lang w:val="en-US" w:eastAsia="zh-CN"/>
                <w14:textFill>
                  <w14:solidFill>
                    <w14:schemeClr w14:val="tx1"/>
                  </w14:solidFill>
                </w14:textFill>
              </w:rPr>
              <w:t>通过</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生产废水收集沉淀池收集，经沉淀后，上清液循环使用</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生活污水产生及排放情况见表4-</w:t>
            </w:r>
            <w:r>
              <w:rPr>
                <w:rFonts w:hint="eastAsia"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56"/>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表4-</w:t>
            </w:r>
            <w:r>
              <w:rPr>
                <w:rFonts w:hint="eastAsia" w:cs="Times New Roman"/>
                <w:color w:val="000000" w:themeColor="text1"/>
                <w:kern w:val="0"/>
                <w:sz w:val="21"/>
                <w:szCs w:val="21"/>
                <w:highlight w:val="none"/>
                <w:lang w:val="en-US" w:eastAsia="zh-CN"/>
                <w14:textFill>
                  <w14:solidFill>
                    <w14:schemeClr w14:val="tx1"/>
                  </w14:solidFill>
                </w14:textFill>
              </w:rPr>
              <w:t>13</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本项目产排情况一览表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843"/>
              <w:gridCol w:w="1020"/>
              <w:gridCol w:w="1110"/>
              <w:gridCol w:w="855"/>
              <w:gridCol w:w="960"/>
              <w:gridCol w:w="1148"/>
              <w:gridCol w:w="937"/>
              <w:gridCol w:w="1095"/>
              <w:gridCol w:w="990"/>
              <w:gridCol w:w="855"/>
              <w:gridCol w:w="645"/>
              <w:gridCol w:w="915"/>
              <w:gridCol w:w="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9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废水类别</w:t>
                  </w:r>
                </w:p>
              </w:tc>
              <w:tc>
                <w:tcPr>
                  <w:tcW w:w="84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02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废水量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1965"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产生情况</w:t>
                  </w:r>
                </w:p>
              </w:tc>
              <w:tc>
                <w:tcPr>
                  <w:tcW w:w="4140" w:type="dxa"/>
                  <w:gridSpan w:val="4"/>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处理措施</w:t>
                  </w:r>
                </w:p>
              </w:tc>
              <w:tc>
                <w:tcPr>
                  <w:tcW w:w="1845"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排放情况</w:t>
                  </w:r>
                </w:p>
              </w:tc>
              <w:tc>
                <w:tcPr>
                  <w:tcW w:w="645"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排放方式</w:t>
                  </w:r>
                </w:p>
              </w:tc>
              <w:tc>
                <w:tcPr>
                  <w:tcW w:w="915"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排放去向</w:t>
                  </w:r>
                </w:p>
              </w:tc>
              <w:tc>
                <w:tcPr>
                  <w:tcW w:w="616"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4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产生浓度(mg/L)</w:t>
                  </w:r>
                </w:p>
              </w:tc>
              <w:tc>
                <w:tcPr>
                  <w:tcW w:w="8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产生量(t/a)</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处理能力</w:t>
                  </w:r>
                </w:p>
              </w:tc>
              <w:tc>
                <w:tcPr>
                  <w:tcW w:w="114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治理</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工艺</w:t>
                  </w:r>
                </w:p>
              </w:tc>
              <w:tc>
                <w:tcPr>
                  <w:tcW w:w="93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效率%</w:t>
                  </w:r>
                </w:p>
              </w:tc>
              <w:tc>
                <w:tcPr>
                  <w:tcW w:w="109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是否为可行技术</w:t>
                  </w:r>
                </w:p>
              </w:tc>
              <w:tc>
                <w:tcPr>
                  <w:tcW w:w="99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排放浓度</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(mg/L)</w:t>
                  </w:r>
                </w:p>
              </w:tc>
              <w:tc>
                <w:tcPr>
                  <w:tcW w:w="8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(t/a)</w:t>
                  </w:r>
                </w:p>
              </w:tc>
              <w:tc>
                <w:tcPr>
                  <w:tcW w:w="645"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9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w:t>
                  </w:r>
                  <w:r>
                    <w:rPr>
                      <w:rFonts w:hint="default" w:ascii="Times New Roman" w:hAnsi="Times New Roman" w:cs="Times New Roman"/>
                      <w:color w:val="000000" w:themeColor="text1"/>
                      <w:sz w:val="21"/>
                      <w:szCs w:val="21"/>
                      <w:highlight w:val="none"/>
                      <w:lang w:eastAsia="zh-CN"/>
                      <w14:textFill>
                        <w14:solidFill>
                          <w14:schemeClr w14:val="tx1"/>
                        </w14:solidFill>
                      </w14:textFill>
                    </w:rPr>
                    <w:t>污</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1020"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300</w:t>
                  </w: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室外1座20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，室内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1座1</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4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化粪池</w:t>
                  </w: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109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是</w:t>
                  </w: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425</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64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6"/>
                      <w:sz w:val="18"/>
                      <w:szCs w:val="18"/>
                      <w:highlight w:val="none"/>
                      <w:vertAlign w:val="baseline"/>
                      <w:lang w:val="en-US" w:eastAsia="zh-CN" w:bidi="ar"/>
                      <w14:textFill>
                        <w14:solidFill>
                          <w14:schemeClr w14:val="tx1"/>
                        </w14:solidFill>
                      </w14:textFill>
                    </w:rPr>
                    <w:t>间接排放</w:t>
                  </w:r>
                </w:p>
              </w:tc>
              <w:tc>
                <w:tcPr>
                  <w:tcW w:w="91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kern w:val="16"/>
                      <w:sz w:val="18"/>
                      <w:szCs w:val="18"/>
                      <w:highlight w:val="none"/>
                      <w:vertAlign w:val="baseline"/>
                      <w:lang w:val="en-US" w:eastAsia="zh-CN" w:bidi="ar"/>
                      <w14:textFill>
                        <w14:solidFill>
                          <w14:schemeClr w14:val="tx1"/>
                        </w14:solidFill>
                      </w14:textFill>
                    </w:rPr>
                    <w:t>拉运至</w:t>
                  </w:r>
                  <w:r>
                    <w:rPr>
                      <w:rFonts w:hint="default" w:ascii="Times New Roman" w:hAnsi="Times New Roman" w:eastAsia="宋体" w:cs="Times New Roman"/>
                      <w:color w:val="000000" w:themeColor="text1"/>
                      <w:kern w:val="16"/>
                      <w:sz w:val="18"/>
                      <w:szCs w:val="18"/>
                      <w:highlight w:val="none"/>
                      <w:vertAlign w:val="baseline"/>
                      <w:lang w:val="en-US" w:eastAsia="zh-CN" w:bidi="ar"/>
                      <w14:textFill>
                        <w14:solidFill>
                          <w14:schemeClr w14:val="tx1"/>
                        </w14:solidFill>
                      </w14:textFill>
                    </w:rPr>
                    <w:t>彭阳县第二污水处理厂</w:t>
                  </w:r>
                </w:p>
              </w:tc>
              <w:tc>
                <w:tcPr>
                  <w:tcW w:w="616"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间歇排放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180</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273</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240</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012</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19.4</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t>②</w:t>
            </w: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达标排放情况分析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废水污染物源强分析，本项目</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生活</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废水</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通过现有化粪池处理后</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各污染物均可满足</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彭阳县第二污水处理厂接管标准，</w:t>
            </w:r>
            <w:r>
              <w:rPr>
                <w:rFonts w:hint="default" w:ascii="Times New Roman" w:hAnsi="Times New Roman" w:cs="Times New Roman"/>
                <w:color w:val="000000" w:themeColor="text1"/>
                <w:highlight w:val="none"/>
                <w:lang w:eastAsia="zh-CN"/>
                <w14:textFill>
                  <w14:solidFill>
                    <w14:schemeClr w14:val="tx1"/>
                  </w14:solidFill>
                </w14:textFill>
              </w:rPr>
              <w:t>即</w:t>
            </w:r>
            <w:r>
              <w:rPr>
                <w:rFonts w:hint="default" w:ascii="Times New Roman" w:hAnsi="Times New Roman" w:cs="Times New Roman"/>
                <w:color w:val="000000" w:themeColor="text1"/>
                <w:highlight w:val="none"/>
                <w14:textFill>
                  <w14:solidFill>
                    <w14:schemeClr w14:val="tx1"/>
                  </w14:solidFill>
                </w14:textFill>
              </w:rPr>
              <w:t>《污水综合排放标准》(GB8978-1996)中的三级标准</w:t>
            </w:r>
            <w:r>
              <w:rPr>
                <w:rFonts w:hint="default" w:ascii="Times New Roman" w:hAnsi="Times New Roman" w:cs="Times New Roman"/>
                <w:color w:val="000000" w:themeColor="text1"/>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24"/>
                <w:szCs w:val="24"/>
                <w:highlight w:val="none"/>
                <w:lang w:val="en-US" w:eastAsia="zh-CN"/>
                <w14:textFill>
                  <w14:solidFill>
                    <w14:schemeClr w14:val="tx1"/>
                  </w14:solidFill>
                </w14:textFill>
              </w:rPr>
              <w:t>⑵依托化粪池及彭阳县第二污水处理厂可行性分析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生活污水产生量为</w:t>
            </w:r>
            <w:r>
              <w:rPr>
                <w:rFonts w:hint="eastAsia" w:cs="Times New Roman"/>
                <w:color w:val="000000" w:themeColor="text1"/>
                <w:highlight w:val="none"/>
                <w:lang w:val="en-US" w:eastAsia="zh-CN"/>
                <w14:textFill>
                  <w14:solidFill>
                    <w14:schemeClr w14:val="tx1"/>
                  </w14:solidFill>
                </w14:textFill>
              </w:rPr>
              <w:t>2.86</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，车辆冲洗废水0.63</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/d。系统共设有2座化粪池，管理用房生活污水经管道排至室外20m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化粪池，生产区卫生间污水经管道排至卫生间下方设置的12m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化粪池，由专业人员定期清理外运至彭阳县第二污水处理厂。因此，现有化粪池满足项目生活污水预处理需求。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w:t>
            </w:r>
            <w:r>
              <w:rPr>
                <w:rFonts w:hint="default" w:ascii="Times New Roman" w:hAnsi="Times New Roman" w:cs="Times New Roman"/>
                <w:color w:val="000000" w:themeColor="text1"/>
                <w:highlight w:val="none"/>
                <w14:textFill>
                  <w14:solidFill>
                    <w14:schemeClr w14:val="tx1"/>
                  </w14:solidFill>
                </w14:textFill>
              </w:rPr>
              <w:t>坐落于宁夏</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14:textFill>
                  <w14:solidFill>
                    <w14:schemeClr w14:val="tx1"/>
                  </w14:solidFill>
                </w14:textFill>
              </w:rPr>
              <w:t>市</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厂区具体位于宁夏固原市彭阳县王洼产业园县城特色加工制造产业区（区块三）（原彭阳县工业园区东侧），茹河以北</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设计规模1万m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w:t>
            </w:r>
            <w:r>
              <w:rPr>
                <w:rFonts w:hint="eastAsia" w:cs="Times New Roman"/>
                <w:color w:val="000000" w:themeColor="text1"/>
                <w:highlight w:val="none"/>
                <w:lang w:eastAsia="zh-CN"/>
                <w14:textFill>
                  <w14:solidFill>
                    <w14:schemeClr w14:val="tx1"/>
                  </w14:solidFill>
                </w14:textFill>
              </w:rPr>
              <w:t>，并配套建设1条长1.87km污水管网。</w:t>
            </w:r>
            <w:r>
              <w:rPr>
                <w:rFonts w:hint="default" w:ascii="Times New Roman" w:hAnsi="Times New Roman" w:cs="Times New Roman"/>
                <w:color w:val="000000" w:themeColor="text1"/>
                <w:highlight w:val="none"/>
                <w14:textFill>
                  <w14:solidFill>
                    <w14:schemeClr w14:val="tx1"/>
                  </w14:solidFill>
                </w14:textFill>
              </w:rPr>
              <w:t>污水经处理后达到国家一级A排放标准</w:t>
            </w:r>
            <w:r>
              <w:rPr>
                <w:rFonts w:hint="eastAsia" w:cs="Times New Roman"/>
                <w:color w:val="000000" w:themeColor="text1"/>
                <w:highlight w:val="none"/>
                <w:lang w:eastAsia="zh-CN"/>
                <w14:textFill>
                  <w14:solidFill>
                    <w14:schemeClr w14:val="tx1"/>
                  </w14:solidFill>
                </w14:textFill>
              </w:rPr>
              <w:t>，用于接纳处理彭阳县县城及周边区域生活污水。污水处理厂拟采取预处理+调节池+生化池（AAOAO）+沉淀池+反硝化生物滤池+微砂高速沉淀池+接触消毒池处理工艺，处理后外排废水量为9301.15m</w:t>
            </w:r>
            <w:r>
              <w:rPr>
                <w:rFonts w:hint="eastAsia" w:cs="Times New Roman"/>
                <w:color w:val="000000" w:themeColor="text1"/>
                <w:highlight w:val="none"/>
                <w:vertAlign w:val="superscript"/>
                <w:lang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/d，主要污染因子COD、BOD</w:t>
            </w:r>
            <w:r>
              <w:rPr>
                <w:rFonts w:hint="eastAsia" w:cs="Times New Roman"/>
                <w:color w:val="000000" w:themeColor="text1"/>
                <w:highlight w:val="none"/>
                <w:vertAlign w:val="subscript"/>
                <w:lang w:eastAsia="zh-CN"/>
                <w14:textFill>
                  <w14:solidFill>
                    <w14:schemeClr w14:val="tx1"/>
                  </w14:solidFill>
                </w14:textFill>
              </w:rPr>
              <w:t>5</w:t>
            </w:r>
            <w:r>
              <w:rPr>
                <w:rFonts w:hint="eastAsia" w:cs="Times New Roman"/>
                <w:color w:val="000000" w:themeColor="text1"/>
                <w:highlight w:val="none"/>
                <w:lang w:eastAsia="zh-CN"/>
                <w14:textFill>
                  <w14:solidFill>
                    <w14:schemeClr w14:val="tx1"/>
                  </w14:solidFill>
                </w14:textFill>
              </w:rPr>
              <w:t>、氨氮、总磷、总氮排放浓度均可达到《城镇污水处理厂污染物排放标准》(GB18918-2002)一级A标准。</w:t>
            </w:r>
            <w:r>
              <w:rPr>
                <w:rFonts w:hint="default" w:ascii="Times New Roman" w:hAnsi="Times New Roman" w:cs="Times New Roman"/>
                <w:color w:val="000000" w:themeColor="text1"/>
                <w:highlight w:val="none"/>
                <w14:textFill>
                  <w14:solidFill>
                    <w14:schemeClr w14:val="tx1"/>
                  </w14:solidFill>
                </w14:textFill>
              </w:rPr>
              <w:t>本项目位于</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宁夏回族自治区</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新集乡与白阳镇交界处，彭沟公路西侧</w:t>
            </w:r>
            <w:r>
              <w:rPr>
                <w:rFonts w:hint="default" w:ascii="Times New Roman" w:hAnsi="Times New Roman" w:cs="Times New Roman"/>
                <w:color w:val="000000" w:themeColor="text1"/>
                <w:highlight w:val="none"/>
                <w14:textFill>
                  <w14:solidFill>
                    <w14:schemeClr w14:val="tx1"/>
                  </w14:solidFill>
                </w14:textFill>
              </w:rPr>
              <w:t>，在</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w:t>
            </w:r>
            <w:r>
              <w:rPr>
                <w:rFonts w:hint="default" w:ascii="Times New Roman" w:hAnsi="Times New Roman" w:cs="Times New Roman"/>
                <w:color w:val="000000" w:themeColor="text1"/>
                <w:highlight w:val="none"/>
                <w14:textFill>
                  <w14:solidFill>
                    <w14:schemeClr w14:val="tx1"/>
                  </w14:solidFill>
                </w14:textFill>
              </w:rPr>
              <w:t>的接收范围内</w:t>
            </w:r>
            <w:r>
              <w:rPr>
                <w:rFonts w:hint="default" w:ascii="Times New Roman" w:hAnsi="Times New Roman" w:cs="Times New Roman"/>
                <w:color w:val="000000" w:themeColor="text1"/>
                <w:highlight w:val="none"/>
                <w:lang w:eastAsia="zh-CN"/>
                <w14:textFill>
                  <w14:solidFill>
                    <w14:schemeClr w14:val="tx1"/>
                  </w14:solidFill>
                </w14:textFill>
              </w:rPr>
              <w:t>。因此，本项目生活污水排入</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彭阳县第二污水处理厂可行。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3.噪声</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⑴</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噪声源强及降噪措施</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项目噪声来自于各种机械传动装置、转动设备、泵等设备运转时产生的噪声以及气流产生的噪声等。</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本项目噪声源主要来自生产运行过程中</w:t>
            </w:r>
            <w:r>
              <w:rPr>
                <w:rFonts w:hint="eastAsia" w:cs="Times New Roman"/>
                <w:color w:val="000000" w:themeColor="text1"/>
                <w:sz w:val="24"/>
                <w:szCs w:val="24"/>
                <w:highlight w:val="none"/>
                <w:lang w:val="en-US" w:eastAsia="zh-CN"/>
                <w14:textFill>
                  <w14:solidFill>
                    <w14:schemeClr w14:val="tx1"/>
                  </w14:solidFill>
                </w14:textFill>
              </w:rPr>
              <w:t>筛分机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给料机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、风</w:t>
            </w:r>
            <w:r>
              <w:rPr>
                <w:rFonts w:hint="eastAsia" w:cs="Times New Roman"/>
                <w:color w:val="000000" w:themeColor="text1"/>
                <w:sz w:val="24"/>
                <w:szCs w:val="24"/>
                <w:highlight w:val="none"/>
                <w:lang w:val="en-US" w:eastAsia="zh-CN"/>
                <w14:textFill>
                  <w14:solidFill>
                    <w14:schemeClr w14:val="tx1"/>
                  </w14:solidFill>
                </w14:textFill>
              </w:rPr>
              <w:t>选</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机等设备运行时产生的机械噪声以及运输车辆产生的交通噪声，通过选择低噪声设备，各设备安装减振基垫，并采取隔声、减振、设置于车间、运输车辆限速，禁止鸣笛等综合降噪</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措施</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降低噪声强度值。针对空气动力性噪声设备，可对其安装消声装置，削减噪声传播。其他高噪声设备可根据实地情况安装隔声罩，阻隔噪声向外传播。另外可对车间顶部及墙面安装吸声材料，减少混响降低噪声，并将门窗更换成隔音门窗减小噪声对外界的影响。</w:t>
            </w:r>
          </w:p>
          <w:p>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主要生产设备噪声源强见下表4-</w:t>
            </w:r>
            <w:r>
              <w:rPr>
                <w:rFonts w:hint="eastAsia"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widowControl w:val="0"/>
              <w:suppressLineNumbers w:val="0"/>
              <w:tabs>
                <w:tab w:val="left" w:pos="1883"/>
                <w:tab w:val="center" w:pos="6567"/>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表4-</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本项目主要噪声一览表</w:t>
            </w:r>
          </w:p>
          <w:tbl>
            <w:tblPr>
              <w:tblStyle w:val="37"/>
              <w:tblW w:w="499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361"/>
              <w:gridCol w:w="531"/>
              <w:gridCol w:w="506"/>
              <w:gridCol w:w="373"/>
              <w:gridCol w:w="450"/>
              <w:gridCol w:w="585"/>
              <w:gridCol w:w="537"/>
              <w:gridCol w:w="612"/>
              <w:gridCol w:w="420"/>
              <w:gridCol w:w="516"/>
              <w:gridCol w:w="516"/>
              <w:gridCol w:w="516"/>
              <w:gridCol w:w="519"/>
              <w:gridCol w:w="513"/>
              <w:gridCol w:w="513"/>
              <w:gridCol w:w="513"/>
              <w:gridCol w:w="516"/>
              <w:gridCol w:w="997"/>
              <w:gridCol w:w="864"/>
              <w:gridCol w:w="535"/>
              <w:gridCol w:w="535"/>
              <w:gridCol w:w="535"/>
              <w:gridCol w:w="537"/>
              <w:gridCol w:w="4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PrEx>
              <w:trPr>
                <w:trHeight w:val="23" w:hRule="atLeast"/>
                <w:tblHeader/>
                <w:jc w:val="center"/>
              </w:trPr>
              <w:tc>
                <w:tcPr>
                  <w:tcW w:w="361"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序号</w:t>
                  </w:r>
                </w:p>
              </w:tc>
              <w:tc>
                <w:tcPr>
                  <w:tcW w:w="531"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建筑物名称</w:t>
                  </w:r>
                </w:p>
              </w:tc>
              <w:tc>
                <w:tcPr>
                  <w:tcW w:w="506"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声源名称</w:t>
                  </w:r>
                </w:p>
              </w:tc>
              <w:tc>
                <w:tcPr>
                  <w:tcW w:w="373"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型号</w:t>
                  </w:r>
                </w:p>
              </w:tc>
              <w:tc>
                <w:tcPr>
                  <w:tcW w:w="450" w:type="dxa"/>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声源源强</w:t>
                  </w:r>
                </w:p>
              </w:tc>
              <w:tc>
                <w:tcPr>
                  <w:tcW w:w="585"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声源控制措施</w:t>
                  </w:r>
                </w:p>
              </w:tc>
              <w:tc>
                <w:tcPr>
                  <w:tcW w:w="1569" w:type="dxa"/>
                  <w:gridSpan w:val="3"/>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空间相对位置/m</w:t>
                  </w:r>
                </w:p>
              </w:tc>
              <w:tc>
                <w:tcPr>
                  <w:tcW w:w="2067" w:type="dxa"/>
                  <w:gridSpan w:val="4"/>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距室内边界距离/m</w:t>
                  </w:r>
                </w:p>
              </w:tc>
              <w:tc>
                <w:tcPr>
                  <w:tcW w:w="2055" w:type="dxa"/>
                  <w:gridSpan w:val="4"/>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室内边界声级/dB(A)</w:t>
                  </w:r>
                </w:p>
              </w:tc>
              <w:tc>
                <w:tcPr>
                  <w:tcW w:w="997"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运行时段</w:t>
                  </w:r>
                </w:p>
              </w:tc>
              <w:tc>
                <w:tcPr>
                  <w:tcW w:w="864" w:type="dxa"/>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建筑物插入损失 /dB(A)</w:t>
                  </w:r>
                </w:p>
              </w:tc>
              <w:tc>
                <w:tcPr>
                  <w:tcW w:w="2626" w:type="dxa"/>
                  <w:gridSpan w:val="5"/>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建筑物外噪声声压级/dB(A)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PrEx>
              <w:trPr>
                <w:trHeight w:val="23" w:hRule="atLeast"/>
                <w:tblHeader/>
                <w:jc w:val="center"/>
              </w:trPr>
              <w:tc>
                <w:tcPr>
                  <w:tcW w:w="36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06"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373"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声功率级/dB(A)</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X</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Y</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Z</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建筑物外距离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1"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建筑垃圾再生利用车间</w:t>
                  </w: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履带移动式重型筛分机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选择低噪声设备，各设备安装减振基垫，并采取隔声、减振、设置于车间。</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-33.</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9</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10.27</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4.98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6.78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21.80</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72.52</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昼间</w:t>
                  </w: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50.52</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50.58</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50.54</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履带移动式成品筛分机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-39.66</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27.71</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6.15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13.63</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20.79</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50.55</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重型</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振动给料机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-43.71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19.04</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3.53</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15.71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13.37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11.22</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72.65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72.51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50.65</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鄂式破碎机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-34.55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30.44</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6.82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1.42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10.28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25.44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78.37</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55.54</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55.37</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55.52</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除土筛分机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-38.21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32.11</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1.56</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14.3</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25.39</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22.00</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73.23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51.23</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固定式风选机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both"/>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-42.35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35.04</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2.55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5.87</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14.63</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21.55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磁选机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-35.55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32.45</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5.88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15.68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21.75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53.24</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53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53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8</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搅拌机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-38.57</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34.45</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6.45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11.87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23.74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75.28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77.16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75.24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75.77</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9</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履带移动反击式破碎机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6.45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11.87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24.33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皮带输送机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-41.23</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35.33</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6.28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19.82</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26.54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2</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color w:val="FF0000"/>
                <w:sz w:val="24"/>
                <w:szCs w:val="24"/>
                <w:highlight w:val="none"/>
                <w:lang w:val="en-US" w:eastAsia="zh-CN"/>
              </w:rPr>
            </w:pPr>
          </w:p>
        </w:tc>
      </w:tr>
    </w:tbl>
    <w:p>
      <w:pPr>
        <w:pageBreakBefore w:val="0"/>
        <w:kinsoku/>
        <w:wordWrap/>
        <w:topLinePunct w:val="0"/>
        <w:bidi w:val="0"/>
        <w:adjustRightInd w:val="0"/>
        <w:snapToGrid w:val="0"/>
        <w:rPr>
          <w:rFonts w:hint="default" w:ascii="Times New Roman" w:hAnsi="Times New Roman" w:eastAsia="黑体" w:cs="Times New Roman"/>
          <w:b/>
          <w:color w:val="FF0000"/>
          <w:sz w:val="28"/>
          <w:highlight w:val="none"/>
        </w:rPr>
        <w:sectPr>
          <w:pgSz w:w="16838" w:h="11905" w:orient="landscape"/>
          <w:pgMar w:top="1587" w:right="1417" w:bottom="1587"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7"/>
        <w:gridCol w:w="8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282" w:hRule="atLeast"/>
          <w:jc w:val="center"/>
        </w:trPr>
        <w:tc>
          <w:tcPr>
            <w:tcW w:w="72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eastAsia" w:eastAsia="宋体" w:cs="Times New Roman"/>
                <w:b/>
                <w:bCs/>
                <w:color w:val="000000" w:themeColor="text1"/>
                <w:kern w:val="2"/>
                <w:sz w:val="24"/>
                <w:szCs w:val="24"/>
                <w:highlight w:val="none"/>
                <w:lang w:val="en-US" w:eastAsia="zh-CN" w:bidi="ar-SA"/>
                <w14:textFill>
                  <w14:solidFill>
                    <w14:schemeClr w14:val="tx1"/>
                  </w14:solidFill>
                </w14:textFill>
              </w:rPr>
              <w:t>运</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营期环境影响和保护措施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eastAsia" w:eastAsia="宋体" w:cs="Times New Roman"/>
                <w:b/>
                <w:bCs/>
                <w:color w:val="auto"/>
                <w:kern w:val="2"/>
                <w:sz w:val="24"/>
                <w:szCs w:val="24"/>
                <w:highlight w:val="none"/>
                <w:lang w:val="en-US" w:eastAsia="zh-CN" w:bidi="ar-SA"/>
              </w:rPr>
              <w:t>运</w:t>
            </w:r>
            <w:r>
              <w:rPr>
                <w:rFonts w:hint="default" w:ascii="Times New Roman" w:hAnsi="Times New Roman" w:eastAsia="宋体" w:cs="Times New Roman"/>
                <w:b/>
                <w:bCs/>
                <w:color w:val="auto"/>
                <w:kern w:val="2"/>
                <w:sz w:val="24"/>
                <w:szCs w:val="24"/>
                <w:highlight w:val="none"/>
                <w:lang w:val="en-US" w:eastAsia="zh-CN" w:bidi="ar-SA"/>
              </w:rPr>
              <w:t>营期环境影响和保护措施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tc>
        <w:tc>
          <w:tcPr>
            <w:tcW w:w="8627"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ind w:left="0" w:leftChars="0" w:right="0" w:firstLine="482" w:firstLineChars="200"/>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⑵厂界标达标情况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本项目噪声源按衰减模式计算，本次评价将噪声源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按照</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点声源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考虑</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，传播方式为半自由空间。若在距离声源</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处的声压级为L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时，则在</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处的噪声为（忽略空气吸收的作用）：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1200" w:firstLineChars="500"/>
              <w:jc w:val="both"/>
              <w:textAlignment w:val="auto"/>
              <w:outlineLvl w:val="9"/>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lang w:val="en-US" w:eastAsia="zh-CN"/>
                <w14:textFill>
                  <w14:solidFill>
                    <w14:schemeClr w14:val="tx1"/>
                  </w14:solidFill>
                </w14:textFill>
              </w:rPr>
              <w:t>p</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－20lg(r/r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式中：</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、r —离声源的距离（m）；</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—距声源距离为</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处的等效A声级值，dB（A）；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lang w:val="en-US" w:eastAsia="zh-CN"/>
                <w14:textFill>
                  <w14:solidFill>
                    <w14:schemeClr w14:val="tx1"/>
                  </w14:solidFill>
                </w14:textFill>
              </w:rPr>
              <w:t>p</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—离声源距离r处的声压级 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△L—各种衰减量，dB(A)。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现场有多台设备同时运转，其噪声情况应是这些设备总迭加。多个噪声源迭加后的总声压级，按下式计算：</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L＝10lg(∑10</w:t>
            </w:r>
            <w:r>
              <w:rPr>
                <w:rFonts w:hint="default" w:ascii="Times New Roman" w:hAnsi="Times New Roman" w:eastAsia="仿宋_GB2312" w:cs="Times New Roman"/>
                <w:color w:val="000000" w:themeColor="text1"/>
                <w:sz w:val="24"/>
                <w:szCs w:val="24"/>
                <w:highlight w:val="none"/>
                <w:vertAlign w:val="superscript"/>
                <w14:textFill>
                  <w14:solidFill>
                    <w14:schemeClr w14:val="tx1"/>
                  </w14:solidFill>
                </w14:textFill>
              </w:rPr>
              <w:t>0.1Li</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式中：L—预侧点噪声叠加值，dB（A）；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—第i个声源的声压级，dB（A）；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1200" w:firstLineChars="50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n—声源数量。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根据上述公式，本项目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噪声</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预测结果</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见表4-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p>
          <w:p>
            <w:pPr>
              <w:pStyle w:val="2"/>
              <w:keepNext w:val="0"/>
              <w:keepLines w:val="0"/>
              <w:suppressLineNumbers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厂界噪声预测结果与达标分析表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1"/>
              <w:gridCol w:w="912"/>
              <w:gridCol w:w="912"/>
              <w:gridCol w:w="912"/>
              <w:gridCol w:w="976"/>
              <w:gridCol w:w="1390"/>
              <w:gridCol w:w="1391"/>
              <w:gridCol w:w="11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721" w:type="dxa"/>
                  <w:vMerge w:val="restart"/>
                  <w:tcBorders>
                    <w:top w:val="single" w:color="auto" w:sz="12"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预测方位</w:t>
                  </w:r>
                </w:p>
              </w:tc>
              <w:tc>
                <w:tcPr>
                  <w:tcW w:w="2736" w:type="dxa"/>
                  <w:gridSpan w:val="3"/>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最大值点空间相对位置/m</w:t>
                  </w:r>
                </w:p>
              </w:tc>
              <w:tc>
                <w:tcPr>
                  <w:tcW w:w="976"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时段</w:t>
                  </w:r>
                </w:p>
              </w:tc>
              <w:tc>
                <w:tcPr>
                  <w:tcW w:w="1390"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贡献值（dB(A)）</w:t>
                  </w:r>
                </w:p>
              </w:tc>
              <w:tc>
                <w:tcPr>
                  <w:tcW w:w="1391"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标准限值（dB(A)）</w:t>
                  </w:r>
                </w:p>
              </w:tc>
              <w:tc>
                <w:tcPr>
                  <w:tcW w:w="1167" w:type="dxa"/>
                  <w:vMerge w:val="restart"/>
                  <w:tcBorders>
                    <w:top w:val="single" w:color="auto" w:sz="12"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vMerge w:val="continue"/>
                  <w:tcBorders>
                    <w:top w:val="single" w:color="auto" w:sz="4" w:space="0"/>
                    <w:left w:val="single" w:color="auto" w:sz="12"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X</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Y</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Z</w:t>
                  </w:r>
                </w:p>
              </w:tc>
              <w:tc>
                <w:tcPr>
                  <w:tcW w:w="976"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391"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167" w:type="dxa"/>
                  <w:vMerge w:val="continue"/>
                  <w:tcBorders>
                    <w:top w:val="single" w:color="auto" w:sz="4" w:space="0"/>
                    <w:left w:val="single" w:color="auto" w:sz="4" w:space="0"/>
                    <w:bottom w:val="single" w:color="auto" w:sz="4" w:space="0"/>
                    <w:right w:val="single" w:color="auto" w:sz="12"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57.35</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-33.53</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.92</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南侧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-44.14</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-11.31</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5.11</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西侧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-56.39</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38.93</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5.37</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北侧</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-33.13</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41.60</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6.99</w:t>
                  </w:r>
                </w:p>
              </w:tc>
              <w:tc>
                <w:tcPr>
                  <w:tcW w:w="13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keepNext w:val="0"/>
              <w:keepLines w:val="0"/>
              <w:suppressLineNumbers w:val="0"/>
              <w:adjustRightInd w:val="0"/>
              <w:snapToGrid w:val="0"/>
              <w:spacing w:before="0" w:beforeLines="0" w:beforeAutospacing="0" w:after="0" w:afterLines="0" w:afterAutospacing="0" w:line="360" w:lineRule="auto"/>
              <w:ind w:left="0" w:right="0" w:firstLine="361" w:firstLineChars="200"/>
              <w:jc w:val="both"/>
              <w:rPr>
                <w:rFonts w:hint="default" w:ascii="Times New Roman" w:hAnsi="Times New Roman" w:eastAsia="仿宋_GB2312"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仿宋_GB2312" w:cs="Times New Roman"/>
                <w:b/>
                <w:color w:val="000000" w:themeColor="text1"/>
                <w:sz w:val="18"/>
                <w:szCs w:val="18"/>
                <w:highlight w:val="none"/>
                <w14:textFill>
                  <w14:solidFill>
                    <w14:schemeClr w14:val="tx1"/>
                  </w14:solidFill>
                </w14:textFill>
              </w:rPr>
              <w:t>注：表中坐标以厂界（106.345850,35.495061）为坐标原点，正东向为X轴正方向，正北向为Y轴正方向。</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由预测结果可见，本项目投入运行后噪声源在厂界四周的昼间、夜间贡献值均可满足《工业企业厂界环境噪声排放标准》（GB12348-2008）中</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类标准限值要求，</w:t>
            </w:r>
            <w:r>
              <w:rPr>
                <w:rFonts w:hint="default" w:ascii="Times New Roman" w:hAnsi="Times New Roman" w:eastAsia="仿宋_GB2312" w:cs="Times New Roman"/>
                <w:color w:val="000000" w:themeColor="text1"/>
                <w:kern w:val="0"/>
                <w:sz w:val="24"/>
                <w:highlight w:val="none"/>
                <w:shd w:val="clear" w:color="auto" w:fill="auto"/>
                <w:lang w:val="en-US" w:eastAsia="zh-CN"/>
                <w14:textFill>
                  <w14:solidFill>
                    <w14:schemeClr w14:val="tx1"/>
                  </w14:solidFill>
                </w14:textFill>
              </w:rPr>
              <w:t>并且本项目声环境影响评价范围内不存在敏感点，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因此本项目建成后产生的噪声对周围声环境的影响</w:t>
            </w:r>
            <w:r>
              <w:rPr>
                <w:rFonts w:hint="default" w:ascii="Times New Roman" w:hAnsi="Times New Roman" w:cs="Times New Roman"/>
                <w:color w:val="000000" w:themeColor="text1"/>
                <w:sz w:val="24"/>
                <w:szCs w:val="24"/>
                <w:highlight w:val="none"/>
                <w:lang w:eastAsia="zh-CN"/>
                <w14:textFill>
                  <w14:solidFill>
                    <w14:schemeClr w14:val="tx1"/>
                  </w14:solidFill>
                </w14:textFill>
              </w:rPr>
              <w:t>可接受。</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⑶监测要求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0"/>
                <w:kern w:val="2"/>
                <w:sz w:val="24"/>
                <w:szCs w:val="24"/>
                <w:highlight w:val="none"/>
                <w:lang w:val="en-US" w:eastAsia="zh-CN" w:bidi="ar-SA"/>
                <w14:textFill>
                  <w14:solidFill>
                    <w14:schemeClr w14:val="tx1"/>
                  </w14:solidFill>
                </w14:textFill>
              </w:rPr>
              <w:t>本项目厂界噪声监测见</w:t>
            </w:r>
            <w:r>
              <w:rPr>
                <w:rFonts w:hint="default" w:ascii="Times New Roman" w:hAnsi="Times New Roman" w:cs="Times New Roman"/>
                <w:color w:val="000000" w:themeColor="text1"/>
                <w:highlight w:val="none"/>
                <w:lang w:val="en-US" w:eastAsia="zh-CN"/>
                <w14:textFill>
                  <w14:solidFill>
                    <w14:schemeClr w14:val="tx1"/>
                  </w14:solidFill>
                </w14:textFill>
              </w:rPr>
              <w:t>表4-1</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表</w:t>
            </w:r>
            <w: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4-1</w:t>
            </w: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cs="Times New Roman"/>
                <w:b/>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噪声监测内容及监测计划</w:t>
            </w:r>
          </w:p>
          <w:tbl>
            <w:tblPr>
              <w:tblStyle w:val="38"/>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31"/>
              <w:gridCol w:w="1791"/>
              <w:gridCol w:w="1266"/>
              <w:gridCol w:w="3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7"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项目</w:t>
                  </w:r>
                </w:p>
              </w:tc>
              <w:tc>
                <w:tcPr>
                  <w:tcW w:w="733"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监测项目</w:t>
                  </w:r>
                </w:p>
              </w:tc>
              <w:tc>
                <w:tcPr>
                  <w:tcW w:w="106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监测点</w:t>
                  </w:r>
                </w:p>
              </w:tc>
              <w:tc>
                <w:tcPr>
                  <w:tcW w:w="754"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监测频次</w:t>
                  </w:r>
                </w:p>
              </w:tc>
              <w:tc>
                <w:tcPr>
                  <w:tcW w:w="199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噪声</w:t>
                  </w:r>
                </w:p>
              </w:tc>
              <w:tc>
                <w:tcPr>
                  <w:tcW w:w="733"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Leq(A)</w:t>
                  </w:r>
                </w:p>
              </w:tc>
              <w:tc>
                <w:tcPr>
                  <w:tcW w:w="106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厂界外1m处</w:t>
                  </w:r>
                </w:p>
              </w:tc>
              <w:tc>
                <w:tcPr>
                  <w:tcW w:w="754"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1次/季度</w:t>
                  </w:r>
                </w:p>
              </w:tc>
              <w:tc>
                <w:tcPr>
                  <w:tcW w:w="1997" w:type="pc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《工业企业厂界环境噪声排放标准》（GB12348-2008）中</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auto"/>
                <w:kern w:val="0"/>
                <w:sz w:val="24"/>
                <w:szCs w:val="24"/>
                <w:highlight w:val="none"/>
                <w:lang w:val="en-US" w:eastAsia="zh-CN"/>
              </w:rPr>
            </w:pPr>
            <w:r>
              <w:rPr>
                <w:rFonts w:hint="default" w:ascii="Times New Roman" w:hAnsi="Times New Roman" w:eastAsia="仿宋_GB2312" w:cs="Times New Roman"/>
                <w:b/>
                <w:bCs/>
                <w:color w:val="auto"/>
                <w:kern w:val="0"/>
                <w:sz w:val="24"/>
                <w:szCs w:val="24"/>
                <w:highlight w:val="none"/>
                <w:lang w:val="en-US" w:eastAsia="zh-CN"/>
              </w:rPr>
              <w:t>4.固体废物</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⑴固废产生情况</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根据《固体废物鉴别标准通则》（GB 34330-20</w:t>
            </w:r>
            <w:r>
              <w:rPr>
                <w:rFonts w:hint="eastAsia" w:cs="Times New Roman"/>
                <w:color w:val="000000" w:themeColor="text1"/>
                <w:highlight w:val="none"/>
                <w:lang w:val="en-US" w:eastAsia="zh-CN"/>
                <w14:textFill>
                  <w14:solidFill>
                    <w14:schemeClr w14:val="tx1"/>
                  </w14:solidFill>
                </w14:textFill>
              </w:rPr>
              <w:t>25代替</w:t>
            </w:r>
            <w:r>
              <w:rPr>
                <w:rFonts w:hint="default" w:ascii="Times New Roman" w:hAnsi="Times New Roman" w:cs="Times New Roman"/>
                <w:color w:val="000000" w:themeColor="text1"/>
                <w:highlight w:val="none"/>
                <w:lang w:val="en-US" w:eastAsia="zh-CN"/>
                <w14:textFill>
                  <w14:solidFill>
                    <w14:schemeClr w14:val="tx1"/>
                  </w14:solidFill>
                </w14:textFill>
              </w:rPr>
              <w:t>GB 34330-20</w:t>
            </w:r>
            <w:r>
              <w:rPr>
                <w:rFonts w:hint="eastAsia" w:cs="Times New Roman"/>
                <w:color w:val="000000" w:themeColor="text1"/>
                <w:highlight w:val="none"/>
                <w:lang w:val="en-US" w:eastAsia="zh-CN"/>
                <w14:textFill>
                  <w14:solidFill>
                    <w14:schemeClr w14:val="tx1"/>
                  </w14:solidFill>
                </w14:textFill>
              </w:rPr>
              <w:t>17</w:t>
            </w:r>
            <w:r>
              <w:rPr>
                <w:rFonts w:hint="default" w:ascii="Times New Roman" w:hAnsi="Times New Roman" w:cs="Times New Roman"/>
                <w:color w:val="000000" w:themeColor="text1"/>
                <w:highlight w:val="none"/>
                <w:lang w:val="en-US" w:eastAsia="zh-CN"/>
                <w14:textFill>
                  <w14:solidFill>
                    <w14:schemeClr w14:val="tx1"/>
                  </w14:solidFill>
                </w14:textFill>
              </w:rPr>
              <w:t>）、《国家危险废物名录》（2025年版）等相关文件，对本项目产生的固体废物进行判定，并按照《固体废物分类与代码目录》（公告2024年第4号）、《国家危险废物名录》（2025年版）的要求确定一般固废和危废的代码。本项目产生的固体废物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建筑固废中其他组成</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Cs w:val="22"/>
                <w:highlight w:val="none"/>
                <w:lang w:val="en-US" w:eastAsia="zh-CN"/>
                <w14:textFill>
                  <w14:solidFill>
                    <w14:schemeClr w14:val="tx1"/>
                  </w14:solidFill>
                </w14:textFill>
              </w:rPr>
              <w:t>建筑固废中的品质较差骨料和渣土类、生产线废水沉淀泥浆</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color w:val="000000" w:themeColor="text1"/>
                <w:szCs w:val="22"/>
                <w:highlight w:val="none"/>
                <w:lang w:val="en-US" w:eastAsia="zh-CN"/>
                <w14:textFill>
                  <w14:solidFill>
                    <w14:schemeClr w14:val="tx1"/>
                  </w14:solidFill>
                </w14:textFill>
              </w:rPr>
              <w:t>各类型收尘器集灰系统、其他各类废料</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生活垃圾、废润滑油</w:t>
            </w:r>
            <w:r>
              <w:rPr>
                <w:rFonts w:hint="eastAsia"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①建筑固废中其他组成：本项目设计中主要利用建筑固废中混凝土、砂石等组分，其他组分如沥青</w:t>
            </w:r>
            <w:r>
              <w:rPr>
                <w:rFonts w:hint="eastAsia" w:cs="Times New Roman"/>
                <w:color w:val="000000" w:themeColor="text1"/>
                <w:highlight w:val="none"/>
                <w:lang w:val="en-US" w:eastAsia="zh-CN"/>
                <w14:textFill>
                  <w14:solidFill>
                    <w14:schemeClr w14:val="tx1"/>
                  </w14:solidFill>
                </w14:textFill>
              </w:rPr>
              <w:t>（0.225万t）</w:t>
            </w:r>
            <w:r>
              <w:rPr>
                <w:rFonts w:hint="eastAsia" w:ascii="Times New Roman" w:hAnsi="Times New Roman" w:cs="Times New Roman"/>
                <w:color w:val="000000" w:themeColor="text1"/>
                <w:highlight w:val="none"/>
                <w:lang w:val="en-US" w:eastAsia="zh-CN"/>
                <w14:textFill>
                  <w14:solidFill>
                    <w14:schemeClr w14:val="tx1"/>
                  </w14:solidFill>
                </w14:textFill>
              </w:rPr>
              <w:t>、玻璃</w:t>
            </w:r>
            <w:r>
              <w:rPr>
                <w:rFonts w:hint="eastAsia" w:cs="Times New Roman"/>
                <w:color w:val="000000" w:themeColor="text1"/>
                <w:highlight w:val="none"/>
                <w:lang w:val="en-US" w:eastAsia="zh-CN"/>
                <w14:textFill>
                  <w14:solidFill>
                    <w14:schemeClr w14:val="tx1"/>
                  </w14:solidFill>
                </w14:textFill>
              </w:rPr>
              <w:t>（0.03万t）</w:t>
            </w: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s="Times New Roman"/>
                <w:color w:val="000000" w:themeColor="text1"/>
                <w:highlight w:val="none"/>
                <w:lang w:val="en-US" w:eastAsia="zh-CN"/>
                <w14:textFill>
                  <w14:solidFill>
                    <w14:schemeClr w14:val="tx1"/>
                  </w14:solidFill>
                </w14:textFill>
              </w:rPr>
              <w:t>（0.525万t）</w:t>
            </w: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s="Times New Roman"/>
                <w:color w:val="000000" w:themeColor="text1"/>
                <w:highlight w:val="none"/>
                <w:lang w:val="en-US" w:eastAsia="zh-CN"/>
                <w14:textFill>
                  <w14:solidFill>
                    <w14:schemeClr w14:val="tx1"/>
                  </w14:solidFill>
                </w14:textFill>
              </w:rPr>
              <w:t>（0.09万t）</w:t>
            </w:r>
            <w:r>
              <w:rPr>
                <w:rFonts w:hint="eastAsia" w:ascii="Times New Roman" w:hAnsi="Times New Roman" w:cs="Times New Roman"/>
                <w:color w:val="000000" w:themeColor="text1"/>
                <w:highlight w:val="none"/>
                <w:lang w:val="en-US" w:eastAsia="zh-CN"/>
                <w14:textFill>
                  <w14:solidFill>
                    <w14:schemeClr w14:val="tx1"/>
                  </w14:solidFill>
                </w14:textFill>
              </w:rPr>
              <w:t>、竹木料</w:t>
            </w:r>
            <w:r>
              <w:rPr>
                <w:rFonts w:hint="eastAsia" w:cs="Times New Roman"/>
                <w:color w:val="000000" w:themeColor="text1"/>
                <w:highlight w:val="none"/>
                <w:lang w:val="en-US" w:eastAsia="zh-CN"/>
                <w14:textFill>
                  <w14:solidFill>
                    <w14:schemeClr w14:val="tx1"/>
                  </w14:solidFill>
                </w14:textFill>
              </w:rPr>
              <w:t>（1.125万t）</w:t>
            </w:r>
            <w:r>
              <w:rPr>
                <w:rFonts w:hint="eastAsia" w:ascii="Times New Roman" w:hAnsi="Times New Roman" w:cs="Times New Roman"/>
                <w:color w:val="000000" w:themeColor="text1"/>
                <w:highlight w:val="none"/>
                <w:lang w:val="en-US" w:eastAsia="zh-CN"/>
                <w14:textFill>
                  <w14:solidFill>
                    <w14:schemeClr w14:val="tx1"/>
                  </w14:solidFill>
                </w14:textFill>
              </w:rPr>
              <w:t>等在分拣、风选、除铁等过程中分离出来，统一收集，采用合理地利用方案转交给其他项目处置，不会对外界环境造成污染，产生量</w:t>
            </w:r>
            <w:r>
              <w:rPr>
                <w:rFonts w:hint="eastAsia" w:cs="Times New Roman"/>
                <w:color w:val="000000" w:themeColor="text1"/>
                <w:highlight w:val="none"/>
                <w:lang w:val="en-US" w:eastAsia="zh-CN"/>
                <w14:textFill>
                  <w14:solidFill>
                    <w14:schemeClr w14:val="tx1"/>
                  </w14:solidFill>
                </w14:textFill>
              </w:rPr>
              <w:t>共</w:t>
            </w:r>
            <w:r>
              <w:rPr>
                <w:rFonts w:hint="eastAsia" w:ascii="Times New Roman" w:hAnsi="Times New Roman" w:cs="Times New Roman"/>
                <w:color w:val="000000" w:themeColor="text1"/>
                <w:highlight w:val="none"/>
                <w:lang w:val="en-US" w:eastAsia="zh-CN"/>
                <w14:textFill>
                  <w14:solidFill>
                    <w14:schemeClr w14:val="tx1"/>
                  </w14:solidFill>
                </w14:textFill>
              </w:rPr>
              <w:t>1.995万t/a。</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沥青：</w:t>
            </w:r>
            <w:r>
              <w:rPr>
                <w:rFonts w:hint="eastAsia"/>
                <w:color w:val="000000" w:themeColor="text1"/>
                <w:highlight w:val="none"/>
                <w14:textFill>
                  <w14:solidFill>
                    <w14:schemeClr w14:val="tx1"/>
                  </w14:solidFill>
                </w14:textFill>
              </w:rPr>
              <w:t>本项目通过</w:t>
            </w:r>
            <w:r>
              <w:rPr>
                <w:rFonts w:hint="eastAsia" w:ascii="Times New Roman" w:hAnsi="Times New Roman" w:cs="Times New Roman"/>
                <w:color w:val="000000" w:themeColor="text1"/>
                <w:highlight w:val="none"/>
                <w:lang w:val="en-US" w:eastAsia="zh-CN"/>
                <w14:textFill>
                  <w14:solidFill>
                    <w14:schemeClr w14:val="tx1"/>
                  </w14:solidFill>
                </w14:textFill>
              </w:rPr>
              <w:t>分拣</w:t>
            </w:r>
            <w:r>
              <w:rPr>
                <w:rFonts w:hint="eastAsia"/>
                <w:color w:val="000000" w:themeColor="text1"/>
                <w:highlight w:val="none"/>
                <w14:textFill>
                  <w14:solidFill>
                    <w14:schemeClr w14:val="tx1"/>
                  </w14:solidFill>
                </w14:textFill>
              </w:rPr>
              <w:t>产生的</w:t>
            </w:r>
            <w:r>
              <w:rPr>
                <w:rFonts w:hint="eastAsia"/>
                <w:color w:val="000000" w:themeColor="text1"/>
                <w:highlight w:val="none"/>
                <w:lang w:val="en-US" w:eastAsia="zh-CN"/>
                <w14:textFill>
                  <w14:solidFill>
                    <w14:schemeClr w14:val="tx1"/>
                  </w14:solidFill>
                </w14:textFill>
              </w:rPr>
              <w:t>沥青</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.225万</w:t>
            </w:r>
            <w:r>
              <w:rPr>
                <w:rFonts w:hint="eastAsia"/>
                <w:color w:val="000000" w:themeColor="text1"/>
                <w:highlight w:val="none"/>
                <w14:textFill>
                  <w14:solidFill>
                    <w14:schemeClr w14:val="tx1"/>
                  </w14:solidFill>
                </w14:textFill>
              </w:rPr>
              <w:t>t/a，不暂存，外售</w:t>
            </w:r>
            <w:r>
              <w:rPr>
                <w:rFonts w:hint="eastAsia" w:cs="Times New Roman"/>
                <w:color w:val="000000" w:themeColor="text1"/>
                <w:highlight w:val="none"/>
                <w:lang w:val="en-US" w:eastAsia="zh-CN"/>
                <w14:textFill>
                  <w14:solidFill>
                    <w14:schemeClr w14:val="tx1"/>
                  </w14:solidFill>
                </w14:textFill>
              </w:rPr>
              <w:t>沥青</w:t>
            </w:r>
            <w:r>
              <w:rPr>
                <w:rFonts w:hint="eastAsia"/>
                <w:color w:val="000000" w:themeColor="text1"/>
                <w:highlight w:val="none"/>
                <w14:textFill>
                  <w14:solidFill>
                    <w14:schemeClr w14:val="tx1"/>
                  </w14:solidFill>
                </w14:textFill>
              </w:rPr>
              <w:t>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14:textFill>
                  <w14:solidFill>
                    <w14:schemeClr w14:val="tx1"/>
                  </w14:solidFill>
                </w14:textFill>
              </w:rPr>
              <w:t>本项目通过</w:t>
            </w:r>
            <w:r>
              <w:rPr>
                <w:rFonts w:hint="eastAsia" w:ascii="Times New Roman" w:hAnsi="Times New Roman" w:cs="Times New Roman"/>
                <w:color w:val="000000" w:themeColor="text1"/>
                <w:highlight w:val="none"/>
                <w:lang w:val="en-US" w:eastAsia="zh-CN"/>
                <w14:textFill>
                  <w14:solidFill>
                    <w14:schemeClr w14:val="tx1"/>
                  </w14:solidFill>
                </w14:textFill>
              </w:rPr>
              <w:t>分拣</w:t>
            </w:r>
            <w:r>
              <w:rPr>
                <w:rFonts w:hint="eastAsia"/>
                <w:color w:val="000000" w:themeColor="text1"/>
                <w:highlight w:val="none"/>
                <w14:textFill>
                  <w14:solidFill>
                    <w14:schemeClr w14:val="tx1"/>
                  </w14:solidFill>
                </w14:textFill>
              </w:rPr>
              <w:t>产生的</w:t>
            </w: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.03万</w:t>
            </w:r>
            <w:r>
              <w:rPr>
                <w:rFonts w:hint="eastAsia"/>
                <w:color w:val="000000" w:themeColor="text1"/>
                <w:highlight w:val="none"/>
                <w14:textFill>
                  <w14:solidFill>
                    <w14:schemeClr w14:val="tx1"/>
                  </w14:solidFill>
                </w14:textFill>
              </w:rPr>
              <w:t>t/a，不暂存，外售</w:t>
            </w: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14:textFill>
                  <w14:solidFill>
                    <w14:schemeClr w14:val="tx1"/>
                  </w14:solidFill>
                </w14:textFill>
              </w:rPr>
              <w:t>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w:t>
            </w:r>
            <w:r>
              <w:rPr>
                <w:rFonts w:hint="eastAsia"/>
                <w:color w:val="000000" w:themeColor="text1"/>
                <w:highlight w:val="none"/>
                <w:lang w:val="en-US" w:eastAsia="zh-CN"/>
                <w14:textFill>
                  <w14:solidFill>
                    <w14:schemeClr w14:val="tx1"/>
                  </w14:solidFill>
                </w14:textFill>
              </w:rPr>
              <w:t>除铁</w:t>
            </w:r>
            <w:r>
              <w:rPr>
                <w:rFonts w:hint="eastAsia"/>
                <w:color w:val="000000" w:themeColor="text1"/>
                <w:highlight w:val="none"/>
                <w14:textFill>
                  <w14:solidFill>
                    <w14:schemeClr w14:val="tx1"/>
                  </w14:solidFill>
                </w14:textFill>
              </w:rPr>
              <w:t>产生的</w:t>
            </w: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.525万</w:t>
            </w:r>
            <w:r>
              <w:rPr>
                <w:rFonts w:hint="eastAsia"/>
                <w:color w:val="000000" w:themeColor="text1"/>
                <w:highlight w:val="none"/>
                <w14:textFill>
                  <w14:solidFill>
                    <w14:schemeClr w14:val="tx1"/>
                  </w14:solidFill>
                </w14:textFill>
              </w:rPr>
              <w:t>t/a，不暂存，</w:t>
            </w:r>
            <w:r>
              <w:rPr>
                <w:rFonts w:hint="default" w:cs="Times New Roman"/>
                <w:color w:val="000000" w:themeColor="text1"/>
                <w:sz w:val="24"/>
                <w:szCs w:val="24"/>
                <w:highlight w:val="none"/>
                <w:lang w:val="en-US" w:eastAsia="zh-CN"/>
                <w14:textFill>
                  <w14:solidFill>
                    <w14:schemeClr w14:val="tx1"/>
                  </w14:solidFill>
                </w14:textFill>
              </w:rPr>
              <w:t>外售废品回收站</w:t>
            </w:r>
            <w:r>
              <w:rPr>
                <w:rFonts w:hint="eastAsia"/>
                <w:color w:val="000000" w:themeColor="text1"/>
                <w:highlight w:val="none"/>
                <w14:textFill>
                  <w14:solidFill>
                    <w14:schemeClr w14:val="tx1"/>
                  </w14:solidFill>
                </w14:textFill>
              </w:rPr>
              <w:t>。</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w:t>
            </w:r>
            <w:r>
              <w:rPr>
                <w:rFonts w:hint="eastAsia" w:cs="Times New Roman"/>
                <w:color w:val="000000" w:themeColor="text1"/>
                <w:highlight w:val="none"/>
                <w:lang w:val="en-US" w:eastAsia="zh-CN"/>
                <w14:textFill>
                  <w14:solidFill>
                    <w14:schemeClr w14:val="tx1"/>
                  </w14:solidFill>
                </w14:textFill>
              </w:rPr>
              <w:t>风选</w:t>
            </w:r>
            <w:r>
              <w:rPr>
                <w:rFonts w:hint="eastAsia"/>
                <w:color w:val="000000" w:themeColor="text1"/>
                <w:highlight w:val="none"/>
                <w14:textFill>
                  <w14:solidFill>
                    <w14:schemeClr w14:val="tx1"/>
                  </w14:solidFill>
                </w14:textFill>
              </w:rPr>
              <w:t>产生的</w:t>
            </w: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.09万</w:t>
            </w:r>
            <w:r>
              <w:rPr>
                <w:rFonts w:hint="eastAsia"/>
                <w:color w:val="000000" w:themeColor="text1"/>
                <w:highlight w:val="none"/>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不暂存，外售废塑料加工厂。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竹木料</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本项目通过人工分选产生的废木材，产生量约为</w:t>
            </w:r>
            <w:r>
              <w:rPr>
                <w:rFonts w:hint="eastAsia"/>
                <w:color w:val="000000" w:themeColor="text1"/>
                <w:highlight w:val="none"/>
                <w:lang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.125</w:t>
            </w:r>
            <w:r>
              <w:rPr>
                <w:rFonts w:hint="eastAsia" w:cs="Times New Roman"/>
                <w:color w:val="000000" w:themeColor="text1"/>
                <w:highlight w:val="none"/>
                <w:lang w:val="en-US" w:eastAsia="zh-CN"/>
                <w14:textFill>
                  <w14:solidFill>
                    <w14:schemeClr w14:val="tx1"/>
                  </w14:solidFill>
                </w14:textFill>
              </w:rPr>
              <w:t>万</w:t>
            </w:r>
            <w:r>
              <w:rPr>
                <w:rFonts w:hint="eastAsia"/>
                <w:color w:val="000000" w:themeColor="text1"/>
                <w:highlight w:val="none"/>
                <w14:textFill>
                  <w14:solidFill>
                    <w14:schemeClr w14:val="tx1"/>
                  </w14:solidFill>
                </w14:textFill>
              </w:rPr>
              <w:t>t/a,不暂存，外售木材厂处理。</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建筑固废中的品质较差骨料和渣土类：项目设计中针对建筑固废成分内红砖类居多、含泥土量较大、有机物或其他杂物较多，筛分小于5mm以下的物料称为渣土类物料。该部分物料生产再生混凝土和砂浆不能满足工艺条件要求，只能利用产出较低附加值产品，产生量约1万t/a。具体利用途径：1）一部分质量中上的物料可作为生产原料用于再生混凝土砌块及制品类渣土砖的生产；2）另一部分连同品质较差骨料作为道路用再生骨料水稳料使用。</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③生产线废水沉淀泥浆：</w:t>
            </w:r>
            <w:r>
              <w:rPr>
                <w:rFonts w:hint="eastAsia" w:cs="Times New Roman"/>
                <w:color w:val="000000" w:themeColor="text1"/>
                <w:highlight w:val="none"/>
                <w:lang w:val="en-US"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项目中水循环系统沉淀下来的泥浆定期收集，可作为道路用再生骨料水稳料掺和使用，产生量约</w:t>
            </w:r>
            <w:r>
              <w:rPr>
                <w:rFonts w:hint="eastAsia"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t/a。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各类型收尘器集灰系统：固定式再生骨料精选线中收尘器集灰系统，一部分灰收集后回落至生产系统，另一部分灰为不影响后续工序产品质量，收集后进入储灰桶定期由人工转移至再生混凝土制品类生产线再利用</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产生量约</w:t>
            </w:r>
            <w:r>
              <w:rPr>
                <w:rFonts w:hint="eastAsia" w:cs="Times New Roman"/>
                <w:color w:val="000000" w:themeColor="text1"/>
                <w:highlight w:val="none"/>
                <w:lang w:val="en-US" w:eastAsia="zh-CN"/>
                <w14:textFill>
                  <w14:solidFill>
                    <w14:schemeClr w14:val="tx1"/>
                  </w14:solidFill>
                </w14:textFill>
              </w:rPr>
              <w:t>92.41</w:t>
            </w:r>
            <w:r>
              <w:rPr>
                <w:rFonts w:hint="eastAsia" w:ascii="Times New Roman" w:hAnsi="Times New Roman" w:cs="Times New Roman"/>
                <w:color w:val="000000" w:themeColor="text1"/>
                <w:highlight w:val="none"/>
                <w:lang w:val="en-US" w:eastAsia="zh-CN"/>
                <w14:textFill>
                  <w14:solidFill>
                    <w14:schemeClr w14:val="tx1"/>
                  </w14:solidFill>
                </w14:textFill>
              </w:rPr>
              <w:t>t/a。各类粉料罐/仓收尘灰，其集灰一般直接回落至罐或仓。</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⑤生活垃圾：本项目工作人员共30人，年工作日210天，按照每人每天产生0.50kg计算，生活垃圾产生量为3.15t/a，厂区内设置生活垃圾分类收集设施，集中收集后交由环卫部门进行处置。</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⑥废润滑油等危险废物收集后按危险废物相关规定进行暂存</w:t>
            </w:r>
            <w:r>
              <w:rPr>
                <w:rFonts w:hint="default"/>
                <w:color w:val="000000" w:themeColor="text1"/>
                <w:szCs w:val="22"/>
                <w:highlight w:val="none"/>
                <w14:textFill>
                  <w14:solidFill>
                    <w14:schemeClr w14:val="tx1"/>
                  </w14:solidFill>
                </w14:textFill>
              </w:rPr>
              <w:t>（生产车间内设置危险废物贮存点，5m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，定期由有资质单位处置，产生量0.5t/a。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具体产生情况见表4-1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黑体" w:cs="Times New Roman"/>
                <w:b w:val="0"/>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t>表4-</w:t>
            </w:r>
            <w:r>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t>1</w:t>
            </w:r>
            <w:r>
              <w:rPr>
                <w:rFonts w:hint="eastAsia"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t>6</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固体废物产生及处理情况</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825"/>
              <w:gridCol w:w="863"/>
              <w:gridCol w:w="1687"/>
              <w:gridCol w:w="1263"/>
              <w:gridCol w:w="700"/>
              <w:gridCol w:w="1025"/>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名称</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产生环节</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属性</w:t>
                  </w:r>
                </w:p>
              </w:tc>
              <w:tc>
                <w:tcPr>
                  <w:tcW w:w="168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固废代码</w:t>
                  </w:r>
                </w:p>
              </w:tc>
              <w:tc>
                <w:tcPr>
                  <w:tcW w:w="126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产生量</w:t>
                  </w:r>
                </w:p>
              </w:tc>
              <w:tc>
                <w:tcPr>
                  <w:tcW w:w="7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贮存方式</w:t>
                  </w:r>
                </w:p>
              </w:tc>
              <w:tc>
                <w:tcPr>
                  <w:tcW w:w="2170"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bidi="ar"/>
                      <w14:textFill>
                        <w14:solidFill>
                          <w14:schemeClr w14:val="tx1"/>
                        </w14:solidFill>
                      </w14:textFill>
                    </w:rPr>
                    <w:t>处置方式和去向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建筑固废中其他组成</w:t>
                  </w:r>
                </w:p>
              </w:tc>
              <w:tc>
                <w:tcPr>
                  <w:tcW w:w="825"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分拣、风选、除铁</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阶段</w:t>
                  </w:r>
                </w:p>
              </w:tc>
              <w:tc>
                <w:tcPr>
                  <w:tcW w:w="863"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一般</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工业</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固废</w:t>
                  </w:r>
                </w:p>
              </w:tc>
              <w:tc>
                <w:tcPr>
                  <w:tcW w:w="1687"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SW73拆除垃圾</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502-001-S73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502-002-S73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SW74装修垃圾</w:t>
                  </w:r>
                </w:p>
              </w:tc>
              <w:tc>
                <w:tcPr>
                  <w:tcW w:w="1263"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.995万</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统一收集</w:t>
                  </w: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沥青</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不暂存，外售</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沥青</w:t>
                  </w:r>
                  <w:r>
                    <w:rPr>
                      <w:rFonts w:hint="default" w:ascii="Times New Roman" w:hAnsi="Times New Roman"/>
                      <w:color w:val="000000" w:themeColor="text1"/>
                      <w:sz w:val="18"/>
                      <w:szCs w:val="18"/>
                      <w:highlight w:val="none"/>
                      <w14:textFill>
                        <w14:solidFill>
                          <w14:schemeClr w14:val="tx1"/>
                        </w14:solidFill>
                      </w14:textFill>
                    </w:rPr>
                    <w:t>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玻璃</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不暂存，外售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玻璃</w:t>
                  </w:r>
                  <w:r>
                    <w:rPr>
                      <w:rFonts w:hint="default" w:ascii="Times New Roman" w:hAnsi="Times New Roman"/>
                      <w:color w:val="000000" w:themeColor="text1"/>
                      <w:sz w:val="21"/>
                      <w:szCs w:val="21"/>
                      <w:highlight w:val="none"/>
                      <w14:textFill>
                        <w14:solidFill>
                          <w14:schemeClr w14:val="tx1"/>
                        </w14:solidFill>
                      </w14:textFill>
                    </w:rPr>
                    <w:t>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金属</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pPr>
                  <w:r>
                    <w:rPr>
                      <w:rFonts w:hint="default" w:ascii="Times New Roman" w:hAnsi="Times New Roman"/>
                      <w:color w:val="000000" w:themeColor="text1"/>
                      <w:sz w:val="21"/>
                      <w:szCs w:val="21"/>
                      <w:highlight w:val="none"/>
                      <w14:textFill>
                        <w14:solidFill>
                          <w14:schemeClr w14:val="tx1"/>
                        </w14:solidFill>
                      </w14:textFill>
                    </w:rPr>
                    <w:t>不暂存，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外售废品回收站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塑料</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暂存，外售废塑料加工厂。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竹木料</w:t>
                  </w:r>
                </w:p>
              </w:tc>
              <w:tc>
                <w:tcPr>
                  <w:tcW w:w="1145" w:type="dxa"/>
                  <w:tcBorders>
                    <w:tl2br w:val="nil"/>
                    <w:tr2bl w:val="nil"/>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不暂存，外售木材厂处理。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FF0000"/>
                      <w:kern w:val="0"/>
                      <w:sz w:val="21"/>
                      <w:szCs w:val="21"/>
                      <w:highlight w:val="none"/>
                      <w:lang w:eastAsia="zh-CN"/>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建筑固废中的品质较差骨料和渣土类</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FF0000"/>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筛分阶段</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FF0000"/>
                      <w:kern w:val="0"/>
                      <w:sz w:val="21"/>
                      <w:szCs w:val="21"/>
                      <w:highlight w:val="none"/>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一般</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工业</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SW73拆除垃圾</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502-001-S73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502-002-S73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SW74装修垃圾</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贮存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骨料</w:t>
                  </w: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回用于生产</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；渣土</w:t>
                  </w:r>
                  <w:r>
                    <w:rPr>
                      <w:rFonts w:hint="default" w:ascii="Times New Roman" w:hAnsi="Times New Roman"/>
                      <w:color w:val="000000" w:themeColor="text1"/>
                      <w:sz w:val="21"/>
                      <w:szCs w:val="21"/>
                      <w:highlight w:val="none"/>
                      <w14:textFill>
                        <w14:solidFill>
                          <w14:schemeClr w14:val="tx1"/>
                        </w14:solidFill>
                      </w14:textFill>
                    </w:rPr>
                    <w:t>经车辆外运至</w:t>
                  </w:r>
                  <w:r>
                    <w:rPr>
                      <w:rFonts w:hint="default" w:ascii="Times New Roman" w:hAnsi="Times New Roman"/>
                      <w:color w:val="000000" w:themeColor="text1"/>
                      <w:sz w:val="21"/>
                      <w:szCs w:val="21"/>
                      <w:highlight w:val="none"/>
                      <w:lang w:val="en-US" w:eastAsia="zh-CN"/>
                      <w14:textFill>
                        <w14:solidFill>
                          <w14:schemeClr w14:val="tx1"/>
                        </w14:solidFill>
                      </w14:textFill>
                    </w:rPr>
                    <w:t>填埋场</w:t>
                  </w:r>
                  <w:r>
                    <w:rPr>
                      <w:rFonts w:hint="default" w:ascii="Times New Roman" w:hAnsi="Times New Roman"/>
                      <w:color w:val="000000" w:themeColor="text1"/>
                      <w:sz w:val="21"/>
                      <w:szCs w:val="21"/>
                      <w:highlight w:val="none"/>
                      <w14:textFill>
                        <w14:solidFill>
                          <w14:schemeClr w14:val="tx1"/>
                        </w14:solidFill>
                      </w14:textFill>
                    </w:rPr>
                    <w:t>进行卫生填埋，主要用于回填工程，如拆除工程场地平整，垃圾填埋场的封场填埋等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生产线废水沉淀泥浆</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破碎、筛分阶段</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一般工业固废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SW07污泥900-99-S07</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贮存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0"/>
                      <w:sz w:val="21"/>
                      <w:szCs w:val="21"/>
                      <w:highlight w:val="none"/>
                      <w:vertAlign w:val="baseline"/>
                      <w:lang w:val="en-US" w:eastAsia="zh-CN" w:bidi="ar-SA"/>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定期收集</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可作为道路用再生骨料水稳料掺和使用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各类型收尘器集灰系统</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布袋除尘器</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一般工业固废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储灰桶</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定期由人工转移至再生混凝土制品类生产线再利用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设备维修</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危险废物</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900-249-08</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0.5</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按危险废物相关规定进行暂存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委托</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资质单位</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定期</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生活垃圾</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职工生活办公</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生活垃圾</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900-001-S60</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900-001-S62</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900-002-S62</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垃圾收集箱</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交由环卫部门统一处置</w:t>
                  </w:r>
                </w:p>
              </w:tc>
            </w:tr>
          </w:tbl>
          <w:p>
            <w:pPr>
              <w:pStyle w:val="64"/>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157" w:beforeLines="50" w:beforeAutospacing="0" w:after="0" w:afterAutospacing="0"/>
              <w:ind w:left="0" w:leftChars="0" w:right="0" w:rightChars="0" w:firstLine="482"/>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⑵环境管理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⑴</w:t>
            </w:r>
            <w:r>
              <w:rPr>
                <w:rFonts w:hint="eastAsia"/>
                <w:lang w:val="en-US" w:eastAsia="zh-CN"/>
              </w:rPr>
              <w:t>固体废物</w:t>
            </w:r>
            <w:r>
              <w:rPr>
                <w:rFonts w:hint="eastAsia"/>
              </w:rPr>
              <w:t>贮存废管理要求：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对固体废物实行从产生、运输直至最终处理实行全过程管理，加强固体废物运输过程的事故风险防范，按照有关法律、法规的要求，对固体废弃物全过程管理应报当地环保行政主管部门等批准。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①不相容的一般工业固体废物应设置不同的分区进行贮存和消纳作业。</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②危险废物和生活垃圾不得进入一般工业固体废物暂存点。</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③贮存场的环境保护图形标志应符合《环境保护图形标志-固体废物贮存（处置）场》（GB15562.2-1995）及修改单的规定，并应定期检查和维护。</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④易产生扬尘的贮存或消纳场应采取分区作业、覆盖、洒水等有效抑尘措施防止扬尘污染。</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⑵</w:t>
            </w:r>
            <w:r>
              <w:rPr>
                <w:rFonts w:hint="eastAsia"/>
              </w:rPr>
              <w:t>危险废物贮存点管理要求：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本项目在厂区生产车间内设置5m</w:t>
            </w:r>
            <w:r>
              <w:rPr>
                <w:rFonts w:hint="eastAsia"/>
                <w:vertAlign w:val="superscript"/>
              </w:rPr>
              <w:t>2</w:t>
            </w:r>
            <w:r>
              <w:rPr>
                <w:rFonts w:hint="eastAsia"/>
              </w:rPr>
              <w:t>危险废物贮存点，根据《危险废物贮存污染物控制标准》（GB18597-2023）、《危险废物管理计划和管理台账制定技术导则》（HJ1259-2022）、《危险废物识别标志设置技术规范》（HJ 1276-2022）项目产生的危险废物具体管理要求如下：</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①贮存点应具有固定的区域边界，并应采取与其他区域进行隔离的措施；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②贮存点应采取防风、防雨、防晒和防止危险废物流失、扬散等措施；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③贮存点贮存的危险废物应置于容器或包装物中，不应直接散堆；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④贮存点应根据危险废物的形态、物理化学性质、包装形式等，采取防、防漏等污染防治措施或采用具有相应功能的装置；</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⑤贮存点应及时清运贮存的危险废物，实时贮存量不应超过3吨；</w:t>
            </w:r>
          </w:p>
          <w:p>
            <w:pPr>
              <w:pStyle w:val="64"/>
              <w:keepNext w:val="0"/>
              <w:keepLines w:val="0"/>
              <w:suppressLineNumbers w:val="0"/>
              <w:adjustRightInd w:val="0"/>
              <w:snapToGrid w:val="0"/>
              <w:spacing w:before="0" w:beforeAutospacing="0" w:after="0" w:afterAutospacing="0"/>
              <w:ind w:left="0" w:right="0" w:firstLineChars="200"/>
              <w:jc w:val="both"/>
              <w:rPr>
                <w:rFonts w:hint="eastAsia" w:ascii="Times New Roman" w:hAnsi="Times New Roman" w:cs="Times New Roman"/>
                <w:lang w:eastAsia="zh-CN"/>
              </w:rPr>
            </w:pPr>
            <w:r>
              <w:rPr>
                <w:rFonts w:hint="eastAsia" w:ascii="Times New Roman" w:hAnsi="Times New Roman" w:eastAsia="仿宋_GB2312" w:cs="Times New Roman"/>
              </w:rPr>
              <w:t>⑥</w:t>
            </w:r>
            <w:r>
              <w:rPr>
                <w:rFonts w:hint="eastAsia" w:ascii="Times New Roman" w:hAnsi="Times New Roman" w:cs="Times New Roman"/>
              </w:rPr>
              <w:t>危险废物标签应以醒目的字样标注“危险废物”</w:t>
            </w:r>
            <w:r>
              <w:rPr>
                <w:rFonts w:hint="eastAsia" w:ascii="Times New Roman" w:hAnsi="Times New Roman" w:cs="Times New Roman"/>
                <w:lang w:eastAsia="zh-CN"/>
              </w:rPr>
              <w:t>；</w:t>
            </w:r>
            <w:r>
              <w:rPr>
                <w:rFonts w:hint="eastAsia" w:ascii="Times New Roman" w:hAnsi="Times New Roman" w:cs="Times New Roman"/>
              </w:rPr>
              <w:t>危险废物标签应包含废物名称、废物类别、废物代码、废物形态、危险特性、主要成分、有害成分、注意事项、产生/收集单位名称、联系人、联系方式、产生日期、废物重量和备注</w:t>
            </w:r>
            <w:r>
              <w:rPr>
                <w:rFonts w:hint="eastAsia" w:ascii="Times New Roman" w:hAnsi="Times New Roman" w:cs="Times New Roman"/>
                <w:lang w:eastAsia="zh-CN"/>
              </w:rPr>
              <w:t>；</w:t>
            </w:r>
            <w:r>
              <w:rPr>
                <w:rFonts w:hint="eastAsia" w:ascii="Times New Roman" w:hAnsi="Times New Roman" w:cs="Times New Roman"/>
              </w:rPr>
              <w:t>危险废物标签宜设置危险废物数字识别码和二维码</w:t>
            </w:r>
            <w:r>
              <w:rPr>
                <w:rFonts w:hint="eastAsia" w:ascii="Times New Roman" w:hAnsi="Times New Roman" w:cs="Times New Roman"/>
                <w:lang w:eastAsia="zh-CN"/>
              </w:rPr>
              <w:t>。</w:t>
            </w:r>
          </w:p>
          <w:p>
            <w:pPr>
              <w:pStyle w:val="64"/>
              <w:keepNext w:val="0"/>
              <w:keepLines w:val="0"/>
              <w:suppressLineNumbers w:val="0"/>
              <w:adjustRightInd w:val="0"/>
              <w:snapToGrid w:val="0"/>
              <w:spacing w:before="0" w:beforeAutospacing="0" w:after="0" w:afterAutospacing="0"/>
              <w:ind w:left="0" w:right="0" w:firstLineChars="200"/>
              <w:jc w:val="both"/>
              <w:rPr>
                <w:rFonts w:hint="eastAsia" w:ascii="Times New Roman" w:hAnsi="Times New Roman" w:cs="Times New Roman"/>
                <w:lang w:eastAsia="zh-CN"/>
              </w:rPr>
            </w:pPr>
            <w:r>
              <w:rPr>
                <w:rFonts w:hint="eastAsia" w:ascii="Times New Roman" w:hAnsi="Times New Roman" w:eastAsia="仿宋_GB2312" w:cs="Times New Roman"/>
              </w:rPr>
              <w:t>⑦</w:t>
            </w:r>
            <w:r>
              <w:rPr>
                <w:rFonts w:hint="eastAsia" w:ascii="Times New Roman" w:hAnsi="Times New Roman" w:cs="Times New Roman"/>
              </w:rPr>
              <w:t>危险废物相关单位的每一个贮存、利用、处置设施均应在设施附近或场所的入口处设置相应的危险废物贮存设施标志、危险废物利用设施标志、危险废物处置设施标志。</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⑶</w:t>
            </w:r>
            <w:r>
              <w:rPr>
                <w:rFonts w:hint="eastAsia"/>
              </w:rPr>
              <w:t>贮存设施运行环境管理要求：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①应定期检查危险废物的贮存状况，及时清理贮存设施地面，更换破损泄漏的危险废物贮存容器和包装物，保证堆存危险废物的防雨、防风、防扬尘等设施功能完好。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②作业设备及车辆等结束作业离开贮存设施时，应对其残蜜的危险废物进行清理，清理的废物或清洗废水应收集处理。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③贮存设施运行期间，应按国家有关标准和规定建立危险废物管理台账并保存。</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④贮存设施所有者或运营者应建立贮存设施环境管理制度、管理人员岗位职责制度、设施运行操作制度、人员岗位培训制度等。</w:t>
            </w:r>
          </w:p>
          <w:p>
            <w:pPr>
              <w:pStyle w:val="64"/>
              <w:keepNext w:val="0"/>
              <w:keepLines w:val="0"/>
              <w:suppressLineNumbers w:val="0"/>
              <w:adjustRightInd w:val="0"/>
              <w:snapToGrid w:val="0"/>
              <w:spacing w:before="0" w:beforeAutospacing="0" w:after="0" w:afterAutospacing="0"/>
              <w:ind w:left="0" w:right="0" w:firstLineChars="200"/>
              <w:jc w:val="both"/>
              <w:rPr>
                <w:rFonts w:hint="default" w:ascii="Times New Roman" w:hAnsi="Times New Roman" w:cs="Times New Roman"/>
                <w:color w:val="auto"/>
                <w:highlight w:val="none"/>
                <w:lang w:val="en-US" w:eastAsia="zh-CN"/>
              </w:rPr>
            </w:pPr>
            <w:r>
              <w:rPr>
                <w:rFonts w:hint="eastAsia"/>
              </w:rPr>
              <w:t>⑤贮存设施所有者或运营者应依据国家土壤和地下水污染防治的有关规定，结合贮存设施特点建立土壤和地下水污染隐患排查制度，并定期开展隐患排查;发现隐患应及时采取措施消除隐患，并建立档案。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Lines="0" w:beforeAutospacing="0" w:after="0" w:afterAutospacing="0"/>
              <w:ind w:left="0" w:leftChars="0" w:right="0" w:rightChars="0"/>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5.地下水、土壤</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建筑垃圾再生利用车间</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管理用房</w:t>
            </w:r>
            <w:r>
              <w:rPr>
                <w:rFonts w:hint="default"/>
                <w:color w:val="000000" w:themeColor="text1"/>
                <w:highlight w:val="none"/>
                <w14:textFill>
                  <w14:solidFill>
                    <w14:schemeClr w14:val="tx1"/>
                  </w14:solidFill>
                </w14:textFill>
              </w:rPr>
              <w:t>及厂房外路面严格按照《环境影响评价技术导则 地下水环境》（HJ610-2016）、《石油化工工程防渗技术规范》（GB/T50934-2013）及《给水排水管道工程施工及验收规范》（GB50268-2008）要求进行防渗措施建设，本项目涉及的地下水污染防渗区包括重点污染防渗区和一般污染防渗区。</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一般污染防渗区：主要为建筑垃圾再生利用车间，防渗设置为等效黏土防渗层Mb≥1.5m，K≤1×10</w:t>
            </w:r>
            <w:r>
              <w:rPr>
                <w:rFonts w:hint="default"/>
                <w:color w:val="000000" w:themeColor="text1"/>
                <w:highlight w:val="none"/>
                <w:vertAlign w:val="superscript"/>
                <w14:textFill>
                  <w14:solidFill>
                    <w14:schemeClr w14:val="tx1"/>
                  </w14:solidFill>
                </w14:textFill>
              </w:rPr>
              <w:t>-7</w:t>
            </w:r>
            <w:r>
              <w:rPr>
                <w:rFonts w:hint="default"/>
                <w:color w:val="000000" w:themeColor="text1"/>
                <w:highlight w:val="none"/>
                <w14:textFill>
                  <w14:solidFill>
                    <w14:schemeClr w14:val="tx1"/>
                  </w14:solidFill>
                </w14:textFill>
              </w:rPr>
              <w:t>cm/s；参照《一般工业固体废物贮存和填埋污染控制标准》（GB18599-20</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14:textFill>
                  <w14:solidFill>
                    <w14:schemeClr w14:val="tx1"/>
                  </w14:solidFill>
                </w14:textFill>
              </w:rPr>
              <w:t>）中II类场要求设计防渗方案，采用铺设钢筋混凝凝土加防渗剂防渗地坪。</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重点污染防渗区：主要包括危险废物贮存点等，设置等效黏土防渗层Mb≥6.0m，K≤1×10</w:t>
            </w:r>
            <w:r>
              <w:rPr>
                <w:rFonts w:hint="default"/>
                <w:color w:val="000000" w:themeColor="text1"/>
                <w:highlight w:val="none"/>
                <w:vertAlign w:val="superscript"/>
                <w14:textFill>
                  <w14:solidFill>
                    <w14:schemeClr w14:val="tx1"/>
                  </w14:solidFill>
                </w14:textFill>
              </w:rPr>
              <w:t>-7</w:t>
            </w:r>
            <w:r>
              <w:rPr>
                <w:rFonts w:hint="default"/>
                <w:color w:val="000000" w:themeColor="text1"/>
                <w:highlight w:val="none"/>
                <w14:textFill>
                  <w14:solidFill>
                    <w14:schemeClr w14:val="tx1"/>
                  </w14:solidFill>
                </w14:textFill>
              </w:rPr>
              <w:t>cm/s；参照《危险废物贮存污染控制标准》（GB 18597-2023）中要求的设计防渗方案，防渗材料考虑HDPE防渗膜和水泥基渗透结晶型防渗材料，一种材料单独使用或多种材料结合使用。</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厂区道路及其他区域仅需一般地面硬化，简单防渗处理。其余区域均为简单防渗区，作一般地面硬化处理即可。</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切实执行上述环保措施后，危险废物贮存点对地下水和土壤环境影响在可接受范围内，对环境影响较小。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6.环境风险</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根据《建设项目环境风险评价技术导则》（HJ169-2018）附录B，本项目所涉及的风险物质主要为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计算本项目风险物质数量与临界量比值Q为0.0002，即Q＜1，根据《建设项目环境影响报告表编制技术指南（污染影响类）》表1“有毒有害和易燃易爆危险物质存储量超过临界量的建设项目，需开展环境风险专项评价”。故本项目</w:t>
            </w:r>
            <w:r>
              <w:rPr>
                <w:rFonts w:hint="eastAsia"/>
                <w:color w:val="auto"/>
                <w:highlight w:val="none"/>
                <w:lang w:val="en-US" w:eastAsia="zh-CN" w:bidi="ar"/>
              </w:rPr>
              <w:t>仅需简单分析，</w:t>
            </w:r>
            <w:r>
              <w:rPr>
                <w:rFonts w:hint="default"/>
                <w:color w:val="auto"/>
                <w:highlight w:val="none"/>
                <w:lang w:bidi="ar"/>
              </w:rPr>
              <w:t>不需要设置《环境风险专项评价》。本项目涉及的风险物质储存及分布情况见表4-1</w:t>
            </w:r>
            <w:r>
              <w:rPr>
                <w:rFonts w:hint="eastAsia"/>
                <w:color w:val="auto"/>
                <w:highlight w:val="none"/>
                <w:lang w:val="en-US" w:eastAsia="zh-CN" w:bidi="ar"/>
              </w:rPr>
              <w:t>7</w:t>
            </w:r>
            <w:r>
              <w:rPr>
                <w:rFonts w:hint="default"/>
                <w:color w:val="auto"/>
                <w:highlight w:val="none"/>
                <w:lang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4-</w:t>
            </w:r>
            <w:r>
              <w:rPr>
                <w:rFonts w:hint="default" w:eastAsia="宋体" w:cs="Times New Roman"/>
                <w:b w:val="0"/>
                <w:bCs/>
                <w:color w:val="000000" w:themeColor="text1"/>
                <w:sz w:val="21"/>
                <w:szCs w:val="21"/>
                <w:highlight w:val="none"/>
                <w:lang w:val="en-US" w:eastAsia="zh-CN" w:bidi="ar"/>
                <w14:textFill>
                  <w14:solidFill>
                    <w14:schemeClr w14:val="tx1"/>
                  </w14:solidFill>
                </w14:textFill>
              </w:rPr>
              <w:t>1</w:t>
            </w:r>
            <w:r>
              <w:rPr>
                <w:rFonts w:hint="eastAsia" w:cs="Times New Roman"/>
                <w:b w:val="0"/>
                <w:bCs/>
                <w:color w:val="000000" w:themeColor="text1"/>
                <w:sz w:val="21"/>
                <w:szCs w:val="21"/>
                <w:highlight w:val="none"/>
                <w:lang w:val="en-US" w:eastAsia="zh-CN" w:bidi="ar"/>
                <w14:textFill>
                  <w14:solidFill>
                    <w14:schemeClr w14:val="tx1"/>
                  </w14:solidFill>
                </w14:textFill>
              </w:rPr>
              <w:t>7</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风险物质数量和分布情况一览表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20"/>
              <w:gridCol w:w="2624"/>
              <w:gridCol w:w="1821"/>
              <w:gridCol w:w="1173"/>
              <w:gridCol w:w="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3"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序号</w:t>
                  </w:r>
                </w:p>
              </w:tc>
              <w:tc>
                <w:tcPr>
                  <w:tcW w:w="118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物质名称</w:t>
                  </w:r>
                </w:p>
              </w:tc>
              <w:tc>
                <w:tcPr>
                  <w:tcW w:w="255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区域</w:t>
                  </w:r>
                </w:p>
              </w:tc>
              <w:tc>
                <w:tcPr>
                  <w:tcW w:w="177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lang w:eastAsia="zh-CN"/>
                      <w14:textFill>
                        <w14:solidFill>
                          <w14:schemeClr w14:val="tx1"/>
                        </w14:solidFill>
                      </w14:textFill>
                    </w:rPr>
                    <w:t>最大储存</w:t>
                  </w:r>
                  <w:r>
                    <w:rPr>
                      <w:rFonts w:hint="default"/>
                      <w:b/>
                      <w:bCs/>
                      <w:color w:val="000000" w:themeColor="text1"/>
                      <w:highlight w:val="none"/>
                      <w14:textFill>
                        <w14:solidFill>
                          <w14:schemeClr w14:val="tx1"/>
                        </w14:solidFill>
                      </w14:textFill>
                    </w:rPr>
                    <w:t>量（</w:t>
                  </w:r>
                  <w:r>
                    <w:rPr>
                      <w:rFonts w:hint="default"/>
                      <w:b/>
                      <w:bCs/>
                      <w:color w:val="000000" w:themeColor="text1"/>
                      <w:highlight w:val="none"/>
                      <w:lang w:val="en-US" w:eastAsia="zh-CN"/>
                      <w14:textFill>
                        <w14:solidFill>
                          <w14:schemeClr w14:val="tx1"/>
                        </w14:solidFill>
                      </w14:textFill>
                    </w:rPr>
                    <w:t>t</w:t>
                  </w:r>
                  <w:r>
                    <w:rPr>
                      <w:rFonts w:hint="default"/>
                      <w:b/>
                      <w:bCs/>
                      <w:color w:val="000000" w:themeColor="text1"/>
                      <w:highlight w:val="none"/>
                      <w14:textFill>
                        <w14:solidFill>
                          <w14:schemeClr w14:val="tx1"/>
                        </w14:solidFill>
                      </w14:textFill>
                    </w:rPr>
                    <w:t>）</w:t>
                  </w:r>
                </w:p>
              </w:tc>
              <w:tc>
                <w:tcPr>
                  <w:tcW w:w="114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lang w:eastAsia="zh-CN"/>
                      <w14:textFill>
                        <w14:solidFill>
                          <w14:schemeClr w14:val="tx1"/>
                        </w14:solidFill>
                      </w14:textFill>
                    </w:rPr>
                  </w:pPr>
                  <w:r>
                    <w:rPr>
                      <w:rFonts w:hint="default"/>
                      <w:b/>
                      <w:bCs/>
                      <w:color w:val="000000" w:themeColor="text1"/>
                      <w:highlight w:val="none"/>
                      <w:lang w:eastAsia="zh-CN"/>
                      <w14:textFill>
                        <w14:solidFill>
                          <w14:schemeClr w14:val="tx1"/>
                        </w14:solidFill>
                      </w14:textFill>
                    </w:rPr>
                    <w:t>临界量（</w:t>
                  </w:r>
                  <w:r>
                    <w:rPr>
                      <w:rFonts w:hint="default"/>
                      <w:b/>
                      <w:bCs/>
                      <w:color w:val="000000" w:themeColor="text1"/>
                      <w:highlight w:val="none"/>
                      <w:lang w:val="en-US" w:eastAsia="zh-CN"/>
                      <w14:textFill>
                        <w14:solidFill>
                          <w14:schemeClr w14:val="tx1"/>
                        </w14:solidFill>
                      </w14:textFill>
                    </w:rPr>
                    <w:t>t</w:t>
                  </w:r>
                  <w:r>
                    <w:rPr>
                      <w:rFonts w:hint="default"/>
                      <w:b/>
                      <w:bCs/>
                      <w:color w:val="000000" w:themeColor="text1"/>
                      <w:highlight w:val="none"/>
                      <w:lang w:eastAsia="zh-CN"/>
                      <w14:textFill>
                        <w14:solidFill>
                          <w14:schemeClr w14:val="tx1"/>
                        </w14:solidFill>
                      </w14:textFill>
                    </w:rPr>
                    <w:t>）</w:t>
                  </w:r>
                </w:p>
              </w:tc>
              <w:tc>
                <w:tcPr>
                  <w:tcW w:w="83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18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废润滑油</w:t>
                  </w:r>
                </w:p>
              </w:tc>
              <w:tc>
                <w:tcPr>
                  <w:tcW w:w="255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密闭桶收集</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highlight w:val="none"/>
                      <w:lang w:eastAsia="zh-CN"/>
                      <w14:textFill>
                        <w14:solidFill>
                          <w14:schemeClr w14:val="tx1"/>
                        </w14:solidFill>
                      </w14:textFill>
                    </w:rPr>
                    <w:t>贮存点</w:t>
                  </w:r>
                </w:p>
              </w:tc>
              <w:tc>
                <w:tcPr>
                  <w:tcW w:w="177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114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2500</w:t>
                  </w:r>
                </w:p>
              </w:tc>
              <w:tc>
                <w:tcPr>
                  <w:tcW w:w="83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0.0002</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环境风险影响评价结论如下：</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⑴项目危险因素</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根据《建设项目环境风险评价技术导则》（HJ169-2018）附录B及化学品危险特性进行辨识，本项目涉及的风险物质主要为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⑵环境敏感性及事故环境影响</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①密闭桶及贮存点防渗层破损导致</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泄漏下渗污染土壤、地下水。</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②</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的挥发性较高，容易释放大量的挥发性有机物质，形成空气污染物，高温或明火下，可能会引起火灾。</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⑶防范措施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①厂区内危险废物贮存点必须严格按照《危险废物贮存污染控制标准》（GB18597-2023）、《危险废物收集、贮存、运输技术规范》（HJ2025-2012）的要求进行建设。厂区全部硬化，危废贮存点地面采用抗渗混凝土+高密度聚乙烯膜防渗措施，并涂至少2mm高密度聚氯乙烯膜，（防渗层的防渗性能不应低于6.0m厚渗透系数为1.0×10-7cm/s的粘土层的防渗性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②设置防渗漏检查设施、消防设施、灭火设施等措施，严禁烟火，并在明显位置张贴危险品标志，一旦发生险情可及时发现处理，消灭隐患。</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FF0000"/>
                <w:highlight w:val="none"/>
                <w:lang w:val="en-US" w:eastAsia="zh-CN"/>
              </w:rPr>
            </w:pPr>
            <w:r>
              <w:rPr>
                <w:rFonts w:hint="default"/>
                <w:color w:val="auto"/>
                <w:highlight w:val="none"/>
                <w:lang w:bidi="ar"/>
              </w:rPr>
              <w:t>综上所述，建设单位应严格落实各项风险防范措施，避免环境风险事故的发生，一旦发生事故，按照完善的事故应急措施及时控制事故，防止事故蔓延，则在此基础上，项目的环境风险可接受。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82" w:hRule="atLeast"/>
          <w:jc w:val="center"/>
        </w:trPr>
        <w:tc>
          <w:tcPr>
            <w:tcW w:w="72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tc>
        <w:tc>
          <w:tcPr>
            <w:tcW w:w="8627" w:type="dxa"/>
            <w:vMerge w:val="continue"/>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FF0000"/>
                <w:highlight w:val="none"/>
                <w:lang w:val="en-US" w:eastAsia="zh-CN"/>
              </w:rPr>
            </w:pPr>
          </w:p>
        </w:tc>
      </w:tr>
    </w:tbl>
    <w:p>
      <w:pPr>
        <w:pStyle w:val="4"/>
        <w:pageBreakBefore w:val="0"/>
        <w:kinsoku/>
        <w:wordWrap/>
        <w:topLinePunct w:val="0"/>
        <w:bidi w:val="0"/>
        <w:adjustRightInd w:val="0"/>
        <w:snapToGrid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五、环境保护措施监督性检查清单</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2"/>
        <w:gridCol w:w="1416"/>
        <w:gridCol w:w="1417"/>
        <w:gridCol w:w="2535"/>
        <w:gridCol w:w="22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tcBorders>
              <w:tl2br w:val="single" w:color="auto" w:sz="12"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 xml:space="preserve">  内容</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要素</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排放口（编号、名称）/污染源</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污染物项目</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环境保护措施</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大气环境</w:t>
            </w:r>
          </w:p>
        </w:tc>
        <w:tc>
          <w:tcPr>
            <w:tcW w:w="1416"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建筑垃圾再生利用车间DA00</w:t>
            </w:r>
            <w:r>
              <w:rPr>
                <w:rFonts w:hint="eastAsia" w:eastAsia="仿宋_GB2312" w:cs="Times New Roman"/>
                <w:b w:val="0"/>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排气筒</w:t>
            </w:r>
          </w:p>
        </w:tc>
        <w:tc>
          <w:tcPr>
            <w:tcW w:w="1417"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bottom w:val="single" w:color="auto" w:sz="6" w:space="0"/>
            </w:tcBorders>
            <w:vAlign w:val="center"/>
          </w:tcPr>
          <w:p>
            <w:pPr>
              <w:keepNext w:val="0"/>
              <w:keepLines w:val="0"/>
              <w:suppressLineNumbers w:val="0"/>
              <w:spacing w:before="0" w:beforeAutospacing="0" w:after="0" w:afterAutospacing="0" w:line="240" w:lineRule="exact"/>
              <w:ind w:left="0" w:right="0" w:firstLine="480" w:firstLineChars="200"/>
              <w:jc w:val="both"/>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采用“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密闭集气罩+布袋除尘器+</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m排气筒</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”有组织排放，配套使用4台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活性干雾机</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降尘</w:t>
            </w:r>
            <w:r>
              <w:rPr>
                <w:rFonts w:hint="default" w:eastAsia="仿宋_GB2312"/>
                <w:color w:val="000000" w:themeColor="text1"/>
                <w:kern w:val="16"/>
                <w:sz w:val="24"/>
                <w:szCs w:val="24"/>
                <w:highlight w:val="none"/>
                <w:lang w:val="en-US" w:eastAsia="zh-CN"/>
                <w14:textFill>
                  <w14:solidFill>
                    <w14:schemeClr w14:val="tx1"/>
                  </w14:solidFill>
                </w14:textFill>
              </w:rPr>
              <w:t>进行降尘</w:t>
            </w:r>
            <w:r>
              <w:rPr>
                <w:rFonts w:hint="eastAsia" w:eastAsia="仿宋_GB2312"/>
                <w:color w:val="000000" w:themeColor="text1"/>
                <w:kern w:val="16"/>
                <w:sz w:val="24"/>
                <w:szCs w:val="24"/>
                <w:highlight w:val="none"/>
                <w:lang w:val="en-US" w:eastAsia="zh-CN"/>
                <w14:textFill>
                  <w14:solidFill>
                    <w14:schemeClr w14:val="tx1"/>
                  </w14:solidFill>
                </w14:textFill>
              </w:rPr>
              <w:t>处理</w:t>
            </w:r>
            <w:r>
              <w:rPr>
                <w:rFonts w:hint="default" w:eastAsia="仿宋_GB2312"/>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从而降低粉尘无组织排放量</w:t>
            </w:r>
            <w:r>
              <w:rPr>
                <w:rFonts w:hint="default" w:eastAsia="仿宋_GB2312" w:cs="Times New Roman"/>
                <w:color w:val="000000" w:themeColor="text1"/>
                <w:kern w:val="16"/>
                <w:sz w:val="24"/>
                <w:szCs w:val="24"/>
                <w:highlight w:val="none"/>
                <w:lang w:val="en-US" w:eastAsia="zh-CN"/>
                <w14:textFill>
                  <w14:solidFill>
                    <w14:schemeClr w14:val="tx1"/>
                  </w14:solidFill>
                </w14:textFill>
              </w:rPr>
              <w:t>。</w:t>
            </w:r>
          </w:p>
        </w:tc>
        <w:tc>
          <w:tcPr>
            <w:tcW w:w="2274" w:type="dxa"/>
            <w:tcBorders>
              <w:bottom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kern w:val="2"/>
                <w:sz w:val="24"/>
                <w:szCs w:val="24"/>
                <w:highlight w:val="none"/>
                <w:lang w:val="en-US" w:eastAsia="zh-CN" w:bidi="ar-SA"/>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p>
        </w:tc>
        <w:tc>
          <w:tcPr>
            <w:tcW w:w="1416"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建筑垃圾再生利用车间DA00</w:t>
            </w:r>
            <w:r>
              <w:rPr>
                <w:rFonts w:hint="eastAsia" w:eastAsia="仿宋_GB2312" w:cs="Times New Roman"/>
                <w:b w:val="0"/>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排气筒</w:t>
            </w:r>
          </w:p>
        </w:tc>
        <w:tc>
          <w:tcPr>
            <w:tcW w:w="1417"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bottom w:val="single" w:color="auto" w:sz="6" w:space="0"/>
            </w:tcBorders>
            <w:vAlign w:val="center"/>
          </w:tcPr>
          <w:p>
            <w:pPr>
              <w:keepNext w:val="0"/>
              <w:keepLines w:val="0"/>
              <w:suppressLineNumbers w:val="0"/>
              <w:spacing w:before="0" w:beforeAutospacing="0" w:after="0" w:afterAutospacing="0" w:line="240" w:lineRule="exact"/>
              <w:ind w:left="0" w:right="0" w:firstLine="480" w:firstLineChars="200"/>
              <w:jc w:val="both"/>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采用“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密闭集气罩+布袋除尘器+</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m排气筒</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”有组织排放，配套使用4台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活性干雾机</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降尘</w:t>
            </w:r>
            <w:r>
              <w:rPr>
                <w:rFonts w:hint="default" w:eastAsia="仿宋_GB2312"/>
                <w:color w:val="000000" w:themeColor="text1"/>
                <w:kern w:val="16"/>
                <w:sz w:val="24"/>
                <w:szCs w:val="24"/>
                <w:highlight w:val="none"/>
                <w:lang w:val="en-US" w:eastAsia="zh-CN"/>
                <w14:textFill>
                  <w14:solidFill>
                    <w14:schemeClr w14:val="tx1"/>
                  </w14:solidFill>
                </w14:textFill>
              </w:rPr>
              <w:t>进行降尘</w:t>
            </w:r>
            <w:r>
              <w:rPr>
                <w:rFonts w:hint="eastAsia" w:eastAsia="仿宋_GB2312"/>
                <w:color w:val="000000" w:themeColor="text1"/>
                <w:kern w:val="16"/>
                <w:sz w:val="24"/>
                <w:szCs w:val="24"/>
                <w:highlight w:val="none"/>
                <w:lang w:val="en-US" w:eastAsia="zh-CN"/>
                <w14:textFill>
                  <w14:solidFill>
                    <w14:schemeClr w14:val="tx1"/>
                  </w14:solidFill>
                </w14:textFill>
              </w:rPr>
              <w:t>处理</w:t>
            </w:r>
            <w:r>
              <w:rPr>
                <w:rFonts w:hint="default" w:eastAsia="仿宋_GB2312"/>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从而降低粉尘无组织排放量</w:t>
            </w:r>
            <w:r>
              <w:rPr>
                <w:rFonts w:hint="default" w:eastAsia="仿宋_GB2312" w:cs="Times New Roman"/>
                <w:color w:val="000000" w:themeColor="text1"/>
                <w:kern w:val="16"/>
                <w:sz w:val="24"/>
                <w:szCs w:val="24"/>
                <w:highlight w:val="none"/>
                <w:lang w:val="en-US" w:eastAsia="zh-CN"/>
                <w14:textFill>
                  <w14:solidFill>
                    <w14:schemeClr w14:val="tx1"/>
                  </w14:solidFill>
                </w14:textFill>
              </w:rPr>
              <w:t>。</w:t>
            </w:r>
          </w:p>
        </w:tc>
        <w:tc>
          <w:tcPr>
            <w:tcW w:w="2274" w:type="dxa"/>
            <w:tcBorders>
              <w:bottom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p>
        </w:tc>
        <w:tc>
          <w:tcPr>
            <w:tcW w:w="1416" w:type="dxa"/>
            <w:tcBorders>
              <w:top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厂界</w:t>
            </w:r>
          </w:p>
        </w:tc>
        <w:tc>
          <w:tcPr>
            <w:tcW w:w="1417" w:type="dxa"/>
            <w:tcBorders>
              <w:top w:val="single" w:color="auto" w:sz="6" w:space="0"/>
              <w:bottom w:val="single" w:color="auto" w:sz="6"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top w:val="single" w:color="auto" w:sz="6" w:space="0"/>
              <w:bottom w:val="single" w:color="auto" w:sz="6" w:space="0"/>
            </w:tcBorders>
            <w:vAlign w:val="center"/>
          </w:tcPr>
          <w:p>
            <w:pPr>
              <w:keepNext w:val="0"/>
              <w:keepLines w:val="0"/>
              <w:widowControl/>
              <w:numPr>
                <w:ilvl w:val="0"/>
                <w:numId w:val="0"/>
              </w:numPr>
              <w:suppressLineNumbers w:val="0"/>
              <w:adjustRightInd/>
              <w:snapToGrid/>
              <w:spacing w:before="0" w:beforeAutospacing="0" w:after="0" w:afterAutospacing="0" w:line="240" w:lineRule="exact"/>
              <w:ind w:left="0" w:right="0" w:firstLine="480"/>
              <w:rPr>
                <w:rFonts w:hint="default" w:ascii="Times New Roman" w:hAnsi="Times New Roman" w:eastAsia="仿宋_GB2312"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建筑</w:t>
            </w:r>
            <w:r>
              <w:rPr>
                <w:rFonts w:hint="eastAsia" w:eastAsia="仿宋_GB2312" w:cs="Times New Roman"/>
                <w:color w:val="000000" w:themeColor="text1"/>
                <w:sz w:val="24"/>
                <w:szCs w:val="24"/>
                <w:highlight w:val="none"/>
                <w:lang w:val="en-US" w:eastAsia="zh-CN"/>
                <w14:textFill>
                  <w14:solidFill>
                    <w14:schemeClr w14:val="tx1"/>
                  </w14:solidFill>
                </w14:textFill>
              </w:rPr>
              <w:t>垃圾</w:t>
            </w:r>
            <w:r>
              <w:rPr>
                <w:rFonts w:hint="eastAsia" w:eastAsia="仿宋_GB2312"/>
                <w:color w:val="000000" w:themeColor="text1"/>
                <w:sz w:val="24"/>
                <w:szCs w:val="24"/>
                <w:highlight w:val="none"/>
                <w:lang w:val="en-US" w:eastAsia="zh-CN"/>
                <w14:textFill>
                  <w14:solidFill>
                    <w14:schemeClr w14:val="tx1"/>
                  </w14:solidFill>
                </w14:textFill>
              </w:rPr>
              <w:t>原料采用</w:t>
            </w:r>
            <w:r>
              <w:rPr>
                <w:rFonts w:hint="eastAsia" w:eastAsia="仿宋_GB2312"/>
                <w:color w:val="000000" w:themeColor="text1"/>
                <w:sz w:val="24"/>
                <w:szCs w:val="24"/>
                <w:highlight w:val="none"/>
                <w14:textFill>
                  <w14:solidFill>
                    <w14:schemeClr w14:val="tx1"/>
                  </w14:solidFill>
                </w14:textFill>
              </w:rPr>
              <w:t>防尘网罩盖，避免扬尘飞起</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lang w:val="en-US" w:eastAsia="zh-CN"/>
                <w14:textFill>
                  <w14:solidFill>
                    <w14:schemeClr w14:val="tx1"/>
                  </w14:solidFill>
                </w14:textFill>
              </w:rPr>
              <w:t>并在道路两旁设置</w:t>
            </w:r>
            <w:r>
              <w:rPr>
                <w:rFonts w:hint="eastAsia" w:eastAsia="仿宋_GB2312"/>
                <w:color w:val="000000" w:themeColor="text1"/>
                <w:sz w:val="24"/>
                <w:szCs w:val="24"/>
                <w:highlight w:val="none"/>
                <w14:textFill>
                  <w14:solidFill>
                    <w14:schemeClr w14:val="tx1"/>
                  </w14:solidFill>
                </w14:textFill>
              </w:rPr>
              <w:t>雾炮环保系统降尘</w:t>
            </w:r>
            <w:r>
              <w:rPr>
                <w:rFonts w:hint="eastAsia" w:eastAsia="仿宋_GB2312"/>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使得废弃物卸料过程始终处于湿式状态，从而降低粉尘无组织排放量。</w:t>
            </w:r>
            <w:r>
              <w:rPr>
                <w:rFonts w:hint="default" w:ascii="Times New Roman" w:hAnsi="Times New Roman" w:eastAsia="仿宋_GB2312" w:cs="Times New Roman"/>
                <w:b w:val="0"/>
                <w:bCs w:val="0"/>
                <w:color w:val="000000" w:themeColor="text1"/>
                <w:sz w:val="24"/>
                <w:szCs w:val="24"/>
                <w:highlight w:val="none"/>
                <w:vertAlign w:val="baseline"/>
                <w:lang w:val="en-US" w:eastAsia="zh-CN"/>
                <w14:textFill>
                  <w14:solidFill>
                    <w14:schemeClr w14:val="tx1"/>
                  </w14:solidFill>
                </w14:textFill>
              </w:rPr>
              <w:t>加强车间通风，厂区绿化</w:t>
            </w:r>
            <w:r>
              <w:rPr>
                <w:rFonts w:hint="eastAsia" w:eastAsia="仿宋_GB2312" w:cs="Times New Roman"/>
                <w:b w:val="0"/>
                <w:bCs w:val="0"/>
                <w:color w:val="000000" w:themeColor="text1"/>
                <w:sz w:val="24"/>
                <w:szCs w:val="24"/>
                <w:highlight w:val="none"/>
                <w:vertAlign w:val="baseline"/>
                <w:lang w:val="en-US" w:eastAsia="zh-CN"/>
                <w14:textFill>
                  <w14:solidFill>
                    <w14:schemeClr w14:val="tx1"/>
                  </w14:solidFill>
                </w14:textFill>
              </w:rPr>
              <w:t>。</w:t>
            </w:r>
          </w:p>
        </w:tc>
        <w:tc>
          <w:tcPr>
            <w:tcW w:w="2274" w:type="dxa"/>
            <w:tcBorders>
              <w:top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r>
              <w:rPr>
                <w:rFonts w:hint="eastAsia" w:cs="Times New Roman"/>
                <w:b w:val="0"/>
                <w:bCs w:val="0"/>
                <w:color w:val="000000" w:themeColor="text1"/>
                <w:highlight w:val="none"/>
                <w:lang w:eastAsia="zh-CN"/>
                <w14:textFill>
                  <w14:solidFill>
                    <w14:schemeClr w14:val="tx1"/>
                  </w14:solidFill>
                </w14:textFill>
              </w:rPr>
              <w:t>；</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《水泥工业大气污染物排放标准》（DB 64/1995-2024）中表1排放限值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地表水环境</w:t>
            </w:r>
          </w:p>
        </w:tc>
        <w:tc>
          <w:tcPr>
            <w:tcW w:w="1416" w:type="dxa"/>
            <w:tcBorders>
              <w:top w:val="single" w:color="auto" w:sz="6" w:space="0"/>
              <w:bottom w:val="single" w:color="auto" w:sz="4"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t>产生废水</w:t>
            </w:r>
          </w:p>
        </w:tc>
        <w:tc>
          <w:tcPr>
            <w:tcW w:w="1417" w:type="dxa"/>
            <w:tcBorders>
              <w:top w:val="single" w:color="auto" w:sz="6" w:space="0"/>
              <w:bottom w:val="single" w:color="auto" w:sz="4"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tc>
        <w:tc>
          <w:tcPr>
            <w:tcW w:w="2535" w:type="dxa"/>
            <w:tcBorders>
              <w:top w:val="single" w:color="auto" w:sz="6" w:space="0"/>
              <w:bottom w:val="single" w:color="auto" w:sz="4" w:space="0"/>
            </w:tcBorders>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2"/>
                <w:sz w:val="24"/>
                <w:szCs w:val="24"/>
                <w:highlight w:val="none"/>
                <w:lang w:val="en-US" w:eastAsia="zh-CN" w:bidi="ar-SA"/>
                <w14:textFill>
                  <w14:solidFill>
                    <w14:schemeClr w14:val="tx1"/>
                  </w14:solidFill>
                </w14:textFill>
              </w:rPr>
              <w:t>新建</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一座30m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生产废水收集沉淀池，循环利用</w:t>
            </w:r>
          </w:p>
        </w:tc>
        <w:tc>
          <w:tcPr>
            <w:tcW w:w="2274" w:type="dxa"/>
            <w:tcBorders>
              <w:top w:val="single" w:color="auto" w:sz="6" w:space="0"/>
              <w:bottom w:val="single" w:color="auto" w:sz="4"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6"/>
                <w:sz w:val="24"/>
                <w:szCs w:val="24"/>
                <w:highlight w:val="none"/>
                <w:lang w:val="en-US" w:eastAsia="zh-CN" w:bidi="ar-SA"/>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p>
        </w:tc>
        <w:tc>
          <w:tcPr>
            <w:tcW w:w="1416" w:type="dxa"/>
            <w:tcBorders>
              <w:top w:val="single" w:color="auto" w:sz="4" w:space="0"/>
              <w:bottom w:val="single" w:color="auto" w:sz="4" w:space="0"/>
            </w:tcBorders>
            <w:shd w:val="clear" w:color="auto" w:fill="auto"/>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t>生活污水DW001</w:t>
            </w:r>
          </w:p>
        </w:tc>
        <w:tc>
          <w:tcPr>
            <w:tcW w:w="1417" w:type="dxa"/>
            <w:tcBorders>
              <w:top w:val="single" w:color="auto" w:sz="4" w:space="0"/>
              <w:bottom w:val="single" w:color="auto" w:sz="4" w:space="0"/>
            </w:tcBorders>
            <w:shd w:val="clear" w:color="auto" w:fill="auto"/>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pH、COD、BOD</w:t>
            </w:r>
            <w:r>
              <w:rPr>
                <w:rFonts w:hint="default" w:ascii="Times New Roman" w:hAnsi="Times New Roman" w:eastAsia="宋体" w:cs="Times New Roman"/>
                <w:color w:val="000000" w:themeColor="text1"/>
                <w:highlight w:val="none"/>
                <w:vertAlign w:val="subscript"/>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-N、SS</w:t>
            </w: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535" w:type="dxa"/>
            <w:tcBorders>
              <w:top w:val="single" w:color="auto" w:sz="4" w:space="0"/>
              <w:bottom w:val="single" w:color="auto" w:sz="4" w:space="0"/>
            </w:tcBorders>
            <w:shd w:val="clear" w:color="auto" w:fill="auto"/>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FF0000"/>
                <w:kern w:val="2"/>
                <w:sz w:val="24"/>
                <w:szCs w:val="24"/>
                <w:highlight w:val="none"/>
                <w:lang w:val="en-US" w:eastAsia="zh-CN" w:bidi="ar-SA"/>
              </w:rPr>
            </w:pPr>
            <w:r>
              <w:rPr>
                <w:rFonts w:hint="eastAsia" w:eastAsia="仿宋_GB2312" w:cs="Times New Roman"/>
                <w:b w:val="0"/>
                <w:bCs w:val="0"/>
                <w:color w:val="000000" w:themeColor="text1"/>
                <w:kern w:val="2"/>
                <w:sz w:val="24"/>
                <w:szCs w:val="24"/>
                <w:highlight w:val="none"/>
                <w:lang w:val="en-US" w:eastAsia="zh-CN" w:bidi="ar-SA"/>
                <w14:textFill>
                  <w14:solidFill>
                    <w14:schemeClr w14:val="tx1"/>
                  </w14:solidFill>
                </w14:textFill>
              </w:rPr>
              <w:t>新建</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2座化粪池，管理用房生活污水经管道排至室外20m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化粪池，生产区卫生间污水经管道排至卫生间下方设置的12m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化粪池，由专业人员定期清理外运至彭阳县第二污水处理厂。</w:t>
            </w:r>
          </w:p>
        </w:tc>
        <w:tc>
          <w:tcPr>
            <w:tcW w:w="2274" w:type="dxa"/>
            <w:tcBorders>
              <w:top w:val="single" w:color="auto" w:sz="4" w:space="0"/>
              <w:bottom w:val="single" w:color="auto" w:sz="4" w:space="0"/>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FF0000"/>
                <w:kern w:val="16"/>
                <w:sz w:val="24"/>
                <w:szCs w:val="24"/>
                <w:highlight w:val="none"/>
                <w:lang w:val="en-US" w:eastAsia="zh-CN" w:bidi="ar-SA"/>
              </w:rPr>
            </w:pPr>
            <w:r>
              <w:rPr>
                <w:rFonts w:hint="default" w:ascii="Times New Roman" w:hAnsi="Times New Roman" w:cs="Times New Roman"/>
                <w:color w:val="000000" w:themeColor="text1"/>
                <w:highlight w:val="none"/>
                <w:lang w:val="en-US" w:eastAsia="zh-CN"/>
                <w14:textFill>
                  <w14:solidFill>
                    <w14:schemeClr w14:val="tx1"/>
                  </w14:solidFill>
                </w14:textFill>
              </w:rPr>
              <w:t>污水处理厂接管标准，</w:t>
            </w:r>
            <w:r>
              <w:rPr>
                <w:rFonts w:hint="default" w:ascii="Times New Roman" w:hAnsi="Times New Roman" w:cs="Times New Roman"/>
                <w:color w:val="000000" w:themeColor="text1"/>
                <w:highlight w:val="none"/>
                <w14:textFill>
                  <w14:solidFill>
                    <w14:schemeClr w14:val="tx1"/>
                  </w14:solidFill>
                </w14:textFill>
              </w:rPr>
              <w:t>接管标准</w:t>
            </w:r>
            <w:r>
              <w:rPr>
                <w:rFonts w:hint="default" w:ascii="Times New Roman" w:hAnsi="Times New Roman" w:cs="Times New Roman"/>
                <w:color w:val="000000" w:themeColor="text1"/>
                <w:highlight w:val="none"/>
                <w:lang w:eastAsia="zh-CN"/>
                <w14:textFill>
                  <w14:solidFill>
                    <w14:schemeClr w14:val="tx1"/>
                  </w14:solidFill>
                </w14:textFill>
              </w:rPr>
              <w:t>来源</w:t>
            </w:r>
            <w:r>
              <w:rPr>
                <w:rFonts w:hint="default" w:ascii="Times New Roman" w:hAnsi="Times New Roman" w:cs="Times New Roman"/>
                <w:color w:val="000000" w:themeColor="text1"/>
                <w:highlight w:val="none"/>
                <w14:textFill>
                  <w14:solidFill>
                    <w14:schemeClr w14:val="tx1"/>
                  </w14:solidFill>
                </w14:textFill>
              </w:rPr>
              <w:t>为《污水综合排放标准》(GB8978-1996)中的三级标准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声环境</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各类生产机械、风机、运输车辆等</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Leq(A)</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t>对高噪声设备安装隔声、减震</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14:textFill>
                  <w14:solidFill>
                    <w14:schemeClr w14:val="tx1"/>
                  </w14:solidFill>
                </w14:textFill>
              </w:rPr>
              <w:t>《工业企业厂界环境噪声排放标准》（GB 12348-2008）中</w:t>
            </w:r>
            <w:r>
              <w:rPr>
                <w:rFonts w:hint="eastAsia"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24"/>
                <w:szCs w:val="24"/>
                <w:highlight w:val="none"/>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电磁辐射</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t>/</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固体废物</w:t>
            </w:r>
          </w:p>
        </w:tc>
        <w:tc>
          <w:tcPr>
            <w:tcW w:w="1416"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建筑固废中其他组成</w:t>
            </w: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沥青</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沥青</w:t>
            </w:r>
            <w:r>
              <w:rPr>
                <w:rFonts w:hint="default" w:ascii="Times New Roman" w:hAnsi="Times New Roman"/>
                <w:bCs/>
                <w:color w:val="000000" w:themeColor="text1"/>
                <w:sz w:val="24"/>
                <w:szCs w:val="24"/>
                <w:highlight w:val="none"/>
                <w14:textFill>
                  <w14:solidFill>
                    <w14:schemeClr w14:val="tx1"/>
                  </w14:solidFill>
                </w14:textFill>
              </w:rPr>
              <w:t>厂</w:t>
            </w:r>
          </w:p>
        </w:tc>
        <w:tc>
          <w:tcPr>
            <w:tcW w:w="2274"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玻璃</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玻璃</w:t>
            </w:r>
            <w:r>
              <w:rPr>
                <w:rFonts w:hint="default" w:ascii="Times New Roman" w:hAnsi="Times New Roman"/>
                <w:bCs/>
                <w:color w:val="000000" w:themeColor="text1"/>
                <w:sz w:val="24"/>
                <w:szCs w:val="24"/>
                <w:highlight w:val="none"/>
                <w14:textFill>
                  <w14:solidFill>
                    <w14:schemeClr w14:val="tx1"/>
                  </w14:solidFill>
                </w14:textFill>
              </w:rPr>
              <w:t>厂</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金属</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外售废品回收站</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塑料</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不暂存，外售废塑料加工厂。</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竹木料</w:t>
            </w:r>
          </w:p>
        </w:tc>
        <w:tc>
          <w:tcPr>
            <w:tcW w:w="2535" w:type="dxa"/>
            <w:vAlign w:val="center"/>
          </w:tcPr>
          <w:p>
            <w:pPr>
              <w:pStyle w:val="64"/>
              <w:keepNext w:val="0"/>
              <w:keepLines w:val="0"/>
              <w:widowControl w:val="0"/>
              <w:suppressLineNumbers w:val="0"/>
              <w:overflowPunct w:val="0"/>
              <w:adjustRightInd w:val="0"/>
              <w:snapToGrid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不暂存，外售木材厂处理。</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建筑固废中的品质较差骨料和渣土类</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bCs/>
                <w:color w:val="000000" w:themeColor="text1"/>
                <w:highlight w:val="none"/>
                <w14:textFill>
                  <w14:solidFill>
                    <w14:schemeClr w14:val="tx1"/>
                  </w14:solidFill>
                </w14:textFill>
              </w:rPr>
              <w:t>重型振动给料机和除土振动筛产生的渣土统一收集到渣土仓内，主要用于回填工程，如拆除工程场地平整，垃圾填埋场的封场填埋等；其他可利用的骨料回用于生产线。</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生产线废水沉淀泥浆</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sz w:val="24"/>
                <w:szCs w:val="24"/>
                <w:highlight w:val="none"/>
                <w:lang w:val="en-US" w:eastAsia="zh-CN"/>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定期收集，可作为道路用再生骨料水稳料掺和使用</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FF0000"/>
                <w:szCs w:val="22"/>
                <w:highlight w:val="none"/>
                <w:lang w:val="en-US" w:eastAsia="zh-CN"/>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各类型收尘器集灰系统</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贮存于</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储灰桶</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定期由人工转移至再生混凝土制品类生产线再利用</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16"/>
                <w:sz w:val="24"/>
                <w:szCs w:val="22"/>
                <w:highlight w:val="none"/>
                <w:vertAlign w:val="baseline"/>
                <w:lang w:val="en-US" w:eastAsia="zh-CN" w:bidi="ar-SA"/>
                <w14:textFill>
                  <w14:solidFill>
                    <w14:schemeClr w14:val="tx1"/>
                  </w14:solidFill>
                </w14:textFill>
              </w:rPr>
              <w:t>废润滑油</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按危险废物相关规定进行暂存</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委托资质单位定期处置</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不落地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生活垃圾</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依托厂区垃圾收集箱收集后交由环卫部门统一处置</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土壤及地下水污染防治措施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bCs/>
                <w:color w:val="000000" w:themeColor="text1"/>
                <w:highlight w:val="none"/>
                <w14:textFill>
                  <w14:solidFill>
                    <w14:schemeClr w14:val="tx1"/>
                  </w14:solidFill>
                </w14:textFill>
              </w:rPr>
            </w:pPr>
            <w:r>
              <w:rPr>
                <w:rFonts w:hint="default"/>
                <w:bCs/>
                <w:color w:val="000000" w:themeColor="text1"/>
                <w:highlight w:val="none"/>
                <w14:textFill>
                  <w14:solidFill>
                    <w14:schemeClr w14:val="tx1"/>
                  </w14:solidFill>
                </w14:textFill>
              </w:rPr>
              <w:t>一般污染防渗区：主要为建筑垃圾再生利用车间、堆场、混合骨料暂存间、水泥预制品成品储存及养护平台等区域，防渗设置为等效黏土防渗层Mb≥1.5m，K≤1×10</w:t>
            </w:r>
            <w:r>
              <w:rPr>
                <w:rFonts w:hint="default"/>
                <w:bCs/>
                <w:color w:val="000000" w:themeColor="text1"/>
                <w:highlight w:val="none"/>
                <w:vertAlign w:val="superscript"/>
                <w14:textFill>
                  <w14:solidFill>
                    <w14:schemeClr w14:val="tx1"/>
                  </w14:solidFill>
                </w14:textFill>
              </w:rPr>
              <w:t>-</w:t>
            </w:r>
            <w:r>
              <w:rPr>
                <w:rFonts w:hint="eastAsia"/>
                <w:bCs/>
                <w:color w:val="000000" w:themeColor="text1"/>
                <w:highlight w:val="none"/>
                <w:vertAlign w:val="superscript"/>
                <w:lang w:val="en-US" w:eastAsia="zh-CN"/>
                <w14:textFill>
                  <w14:solidFill>
                    <w14:schemeClr w14:val="tx1"/>
                  </w14:solidFill>
                </w14:textFill>
              </w:rPr>
              <w:t>7</w:t>
            </w:r>
            <w:r>
              <w:rPr>
                <w:rFonts w:hint="default"/>
                <w:bCs/>
                <w:color w:val="000000" w:themeColor="text1"/>
                <w:highlight w:val="none"/>
                <w14:textFill>
                  <w14:solidFill>
                    <w14:schemeClr w14:val="tx1"/>
                  </w14:solidFill>
                </w14:textFill>
              </w:rPr>
              <w:t>cm/s。</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bCs/>
                <w:color w:val="000000" w:themeColor="text1"/>
                <w:highlight w:val="none"/>
                <w14:textFill>
                  <w14:solidFill>
                    <w14:schemeClr w14:val="tx1"/>
                  </w14:solidFill>
                </w14:textFill>
              </w:rPr>
            </w:pPr>
            <w:r>
              <w:rPr>
                <w:rFonts w:hint="default"/>
                <w:bCs/>
                <w:color w:val="000000" w:themeColor="text1"/>
                <w:highlight w:val="none"/>
                <w14:textFill>
                  <w14:solidFill>
                    <w14:schemeClr w14:val="tx1"/>
                  </w14:solidFill>
                </w14:textFill>
              </w:rPr>
              <w:t>重点污染防渗区：主要包危险废物贮存点，设置等效黏土防渗层Mb≥6.0m，K≤1×10</w:t>
            </w:r>
            <w:r>
              <w:rPr>
                <w:rFonts w:hint="default"/>
                <w:bCs/>
                <w:color w:val="000000" w:themeColor="text1"/>
                <w:highlight w:val="none"/>
                <w:vertAlign w:val="superscript"/>
                <w14:textFill>
                  <w14:solidFill>
                    <w14:schemeClr w14:val="tx1"/>
                  </w14:solidFill>
                </w14:textFill>
              </w:rPr>
              <w:t>-7</w:t>
            </w:r>
            <w:r>
              <w:rPr>
                <w:rFonts w:hint="default"/>
                <w:bCs/>
                <w:color w:val="000000" w:themeColor="text1"/>
                <w:highlight w:val="none"/>
                <w14:textFill>
                  <w14:solidFill>
                    <w14:schemeClr w14:val="tx1"/>
                  </w14:solidFill>
                </w14:textFill>
              </w:rPr>
              <w:t>cm/s。</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bCs/>
                <w:color w:val="000000" w:themeColor="text1"/>
                <w:highlight w:val="none"/>
                <w14:textFill>
                  <w14:solidFill>
                    <w14:schemeClr w14:val="tx1"/>
                  </w14:solidFill>
                </w14:textFill>
              </w:rPr>
              <w:t>厂区道路及其他区域仅需一般地面硬化，简单防渗处理。其余区域均为简单防渗区，作一般地面硬化处理即可。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8"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生态保护措施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1" w:firstLineChars="10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7"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环境风险防范措施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2"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其他环境管理要求</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原辅料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按需</w:t>
            </w:r>
            <w:r>
              <w:rPr>
                <w:rFonts w:hint="eastAsia" w:cs="Times New Roman"/>
                <w:color w:val="000000" w:themeColor="text1"/>
                <w:sz w:val="24"/>
                <w:szCs w:val="24"/>
                <w:highlight w:val="none"/>
                <w:lang w:val="en-US" w:eastAsia="zh-CN"/>
                <w14:textFill>
                  <w14:solidFill>
                    <w14:schemeClr w14:val="tx1"/>
                  </w14:solidFill>
                </w14:textFill>
              </w:rPr>
              <w:t>入厂</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，厂区内原料运至生产车间的过程中加强管理，避免物料掉落撒漏。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⑵</w:t>
            </w:r>
            <w:r>
              <w:rPr>
                <w:rFonts w:hint="default"/>
                <w:color w:val="000000" w:themeColor="text1"/>
                <w:highlight w:val="none"/>
                <w14:textFill>
                  <w14:solidFill>
                    <w14:schemeClr w14:val="tx1"/>
                  </w14:solidFill>
                </w14:textFill>
              </w:rPr>
              <w:t>建设单位应根据生产要求、按计划收购、分期分批入库，严格控制贮存量。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highlight w:val="none"/>
                <w14:textFill>
                  <w14:solidFill>
                    <w14:schemeClr w14:val="tx1"/>
                  </w14:solidFill>
                </w14:textFill>
              </w:rPr>
              <w:t>⑶</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建立环境管理制度，加强日常监督检查。</w:t>
            </w:r>
          </w:p>
        </w:tc>
      </w:tr>
    </w:tbl>
    <w:p>
      <w:pPr>
        <w:pageBreakBefore w:val="0"/>
        <w:kinsoku/>
        <w:wordWrap/>
        <w:topLinePunct w:val="0"/>
        <w:bidi w:val="0"/>
        <w:adjustRightInd w:val="0"/>
        <w:snapToGrid w:val="0"/>
        <w:rPr>
          <w:rFonts w:hint="default" w:ascii="Times New Roman" w:hAnsi="Times New Roman" w:eastAsia="黑体" w:cs="Times New Roman"/>
          <w:b/>
          <w:color w:val="FF0000"/>
          <w:sz w:val="28"/>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000000" w:themeColor="text1"/>
          <w:highlight w:val="none"/>
          <w14:textFill>
            <w14:solidFill>
              <w14:schemeClr w14:val="tx1"/>
            </w14:solidFill>
          </w14:textFill>
        </w:rPr>
      </w:pPr>
      <w:bookmarkStart w:id="8" w:name="_Toc513537176"/>
      <w:r>
        <w:rPr>
          <w:rFonts w:hint="default" w:ascii="Times New Roman" w:hAnsi="Times New Roman" w:cs="Times New Roman"/>
          <w:color w:val="000000" w:themeColor="text1"/>
          <w:highlight w:val="none"/>
          <w:lang w:eastAsia="zh-CN"/>
          <w14:textFill>
            <w14:solidFill>
              <w14:schemeClr w14:val="tx1"/>
            </w14:solidFill>
          </w14:textFill>
        </w:rPr>
        <w:t>六、结论</w:t>
      </w:r>
      <w:bookmarkEnd w:id="8"/>
    </w:p>
    <w:tbl>
      <w:tblPr>
        <w:tblStyle w:val="38"/>
        <w:tblW w:w="935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71" w:hRule="atLeast"/>
          <w:jc w:val="center"/>
        </w:trPr>
        <w:tc>
          <w:tcPr>
            <w:tcW w:w="9287" w:type="dxa"/>
            <w:tcBorders>
              <w:tl2br w:val="nil"/>
              <w:tr2bl w:val="nil"/>
            </w:tcBorders>
            <w:vAlign w:val="top"/>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根据以上分析，本项目</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运营期在切实落实相关法律、政策要求及本次环评报告中提出的各项防治措施后，从环境保护的角度来看，本项目建设可行。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pageBreakBefore w:val="0"/>
        <w:kinsoku/>
        <w:wordWrap/>
        <w:topLinePunct w:val="0"/>
        <w:bidi w:val="0"/>
        <w:adjustRightInd w:val="0"/>
        <w:snapToGrid w:val="0"/>
        <w:rPr>
          <w:rFonts w:hint="default" w:ascii="Times New Roman" w:hAnsi="Times New Roman" w:cs="Times New Roman"/>
          <w:color w:val="FF0000"/>
          <w:szCs w:val="22"/>
          <w:highlight w:val="none"/>
          <w:lang w:eastAsia="zh-CN"/>
        </w:rPr>
        <w:sectPr>
          <w:headerReference r:id="rId10" w:type="default"/>
          <w:footerReference r:id="rId11" w:type="even"/>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40" w:charSpace="0"/>
        </w:sectPr>
      </w:pPr>
    </w:p>
    <w:p>
      <w:pPr>
        <w:pStyle w:val="4"/>
        <w:pageBreakBefore w:val="0"/>
        <w:kinsoku/>
        <w:wordWrap/>
        <w:topLinePunct w:val="0"/>
        <w:bidi w:val="0"/>
        <w:adjustRightInd w:val="0"/>
        <w:snapToGrid w:val="0"/>
        <w:jc w:val="left"/>
        <w:rPr>
          <w:rFonts w:hint="default" w:ascii="Times New Roman" w:hAnsi="Times New Roman" w:cs="Times New Roman"/>
          <w:color w:val="000000" w:themeColor="text1"/>
          <w:szCs w:val="22"/>
          <w:highlight w:val="none"/>
          <w:lang w:eastAsia="zh-CN"/>
          <w14:textFill>
            <w14:solidFill>
              <w14:schemeClr w14:val="tx1"/>
            </w14:solidFill>
          </w14:textFill>
        </w:rPr>
      </w:pPr>
      <w:r>
        <w:rPr>
          <w:rFonts w:hint="default" w:ascii="Times New Roman" w:hAnsi="Times New Roman" w:cs="Times New Roman"/>
          <w:color w:val="000000" w:themeColor="text1"/>
          <w:szCs w:val="22"/>
          <w:highlight w:val="none"/>
          <w:lang w:eastAsia="zh-CN"/>
          <w14:textFill>
            <w14:solidFill>
              <w14:schemeClr w14:val="tx1"/>
            </w14:solidFill>
          </w14:textFill>
        </w:rPr>
        <w:t>附表</w:t>
      </w:r>
    </w:p>
    <w:p>
      <w:pPr>
        <w:pStyle w:val="3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方正小标宋_GBK" w:cs="Times New Roman"/>
          <w:snapToGrid w:val="0"/>
          <w:color w:val="000000" w:themeColor="text1"/>
          <w:sz w:val="36"/>
          <w:szCs w:val="36"/>
          <w:highlight w:val="none"/>
          <w14:textFill>
            <w14:solidFill>
              <w14:schemeClr w14:val="tx1"/>
            </w14:solidFill>
          </w14:textFill>
        </w:rPr>
      </w:pPr>
      <w:r>
        <w:rPr>
          <w:rFonts w:hint="default" w:ascii="Times New Roman" w:hAnsi="Times New Roman" w:eastAsia="方正小标宋_GBK" w:cs="Times New Roman"/>
          <w:snapToGrid w:val="0"/>
          <w:color w:val="000000" w:themeColor="text1"/>
          <w:sz w:val="32"/>
          <w:szCs w:val="32"/>
          <w:highlight w:val="none"/>
          <w14:textFill>
            <w14:solidFill>
              <w14:schemeClr w14:val="tx1"/>
            </w14:solidFill>
          </w14:textFill>
        </w:rPr>
        <w:t>建设项目污染物排放量汇总表</w:t>
      </w:r>
    </w:p>
    <w:tbl>
      <w:tblPr>
        <w:tblStyle w:val="37"/>
        <w:tblW w:w="14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941"/>
        <w:gridCol w:w="267"/>
        <w:gridCol w:w="1208"/>
        <w:gridCol w:w="1400"/>
        <w:gridCol w:w="1362"/>
        <w:gridCol w:w="1513"/>
        <w:gridCol w:w="1513"/>
        <w:gridCol w:w="1642"/>
        <w:gridCol w:w="1546"/>
        <w:gridCol w:w="1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4" w:type="dxa"/>
            <w:tcBorders>
              <w:tl2br w:val="single" w:color="auto" w:sz="12" w:space="0"/>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项目</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both"/>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分类</w:t>
            </w:r>
          </w:p>
        </w:tc>
        <w:tc>
          <w:tcPr>
            <w:tcW w:w="2416" w:type="dxa"/>
            <w:gridSpan w:val="3"/>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污染物名称</w:t>
            </w:r>
          </w:p>
        </w:tc>
        <w:tc>
          <w:tcPr>
            <w:tcW w:w="1400"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①</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362"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许可排放量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513"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在建工程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③</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513"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本项目</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④</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642"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以新带老削减量</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⑤</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end"/>
            </w:r>
          </w:p>
        </w:tc>
        <w:tc>
          <w:tcPr>
            <w:tcW w:w="1546"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本项目建成后</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⑥</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end"/>
            </w:r>
          </w:p>
        </w:tc>
        <w:tc>
          <w:tcPr>
            <w:tcW w:w="1357"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变化量</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⑦</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t>废气</w:t>
            </w:r>
          </w:p>
        </w:tc>
        <w:tc>
          <w:tcPr>
            <w:tcW w:w="120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有组织</w:t>
            </w:r>
          </w:p>
        </w:tc>
        <w:tc>
          <w:tcPr>
            <w:tcW w:w="120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t/a</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FF0000"/>
                <w:kern w:val="21"/>
                <w:sz w:val="21"/>
                <w:szCs w:val="21"/>
                <w:highlight w:val="none"/>
                <w:lang w:val="en-US" w:eastAsia="zh-CN"/>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0.98</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0.98</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pPr>
          </w:p>
        </w:tc>
        <w:tc>
          <w:tcPr>
            <w:tcW w:w="120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无组织</w:t>
            </w:r>
          </w:p>
        </w:tc>
        <w:tc>
          <w:tcPr>
            <w:tcW w:w="12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4.731</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4.731</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val="en-US" w:eastAsia="zh-CN"/>
                <w14:textFill>
                  <w14:solidFill>
                    <w14:schemeClr w14:val="tx1"/>
                  </w14:solidFill>
                </w14:textFill>
              </w:rPr>
              <w:t>废水</w:t>
            </w:r>
          </w:p>
        </w:tc>
        <w:tc>
          <w:tcPr>
            <w:tcW w:w="9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生活污水</w:t>
            </w: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废水量</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bidi="ar"/>
                <w14:textFill>
                  <w14:solidFill>
                    <w14:schemeClr w14:val="tx1"/>
                  </w14:solidFill>
                </w14:textFill>
              </w:rPr>
              <w:t>3</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a</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COD</w:t>
            </w:r>
            <w:r>
              <w:rPr>
                <w:rFonts w:hint="default" w:ascii="Times New Roman" w:hAnsi="Times New Roman" w:eastAsia="宋体" w:cs="Times New Roman"/>
                <w:color w:val="000000" w:themeColor="text1"/>
                <w:spacing w:val="0"/>
                <w:kern w:val="21"/>
                <w:position w:val="0"/>
                <w:sz w:val="21"/>
                <w:szCs w:val="21"/>
                <w:highlight w:val="none"/>
                <w:vertAlign w:val="subscript"/>
                <w14:textFill>
                  <w14:solidFill>
                    <w14:schemeClr w14:val="tx1"/>
                  </w14:solidFill>
                </w14:textFill>
              </w:rPr>
              <w:t>Cr</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BOD</w:t>
            </w:r>
            <w:r>
              <w:rPr>
                <w:rFonts w:hint="default" w:ascii="Times New Roman" w:hAnsi="Times New Roman" w:eastAsia="宋体" w:cs="Times New Roman"/>
                <w:color w:val="000000" w:themeColor="text1"/>
                <w:spacing w:val="0"/>
                <w:kern w:val="21"/>
                <w:position w:val="0"/>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SS</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氨氮</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p>
        </w:tc>
        <w:tc>
          <w:tcPr>
            <w:tcW w:w="1400" w:type="dxa"/>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1357"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t>一般工业固体废物</w:t>
            </w:r>
          </w:p>
        </w:tc>
        <w:tc>
          <w:tcPr>
            <w:tcW w:w="1208"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建筑固废中其他组成</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沥青</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0.225万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0.225万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szCs w:val="22"/>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szCs w:val="22"/>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玻璃</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0.03</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0.03</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金属</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0.525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0.525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塑料</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0.09</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0.09</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竹木料</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1.125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1.125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建筑固废中的品质较差骨料和渣土类（t/a）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1.00</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1.00</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生产线废水沉淀泥浆</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各类型收尘器集灰系统</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t>危险废物</w:t>
            </w: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废润滑油</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1.00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1.00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t>生活垃圾</w:t>
            </w: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val="0"/>
                <w:bCs w:val="0"/>
                <w:snapToGrid w:val="0"/>
                <w:color w:val="000000" w:themeColor="text1"/>
                <w:kern w:val="21"/>
                <w:sz w:val="21"/>
                <w:szCs w:val="21"/>
                <w:highlight w:val="none"/>
                <w:lang w:eastAsia="zh-CN"/>
                <w14:textFill>
                  <w14:solidFill>
                    <w14:schemeClr w14:val="tx1"/>
                  </w14:solidFill>
                </w14:textFill>
              </w:rPr>
              <w:t>生活垃圾</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21"/>
                <w:szCs w:val="21"/>
                <w:highlight w:val="none"/>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bl>
    <w:p>
      <w:pPr>
        <w:pStyle w:val="56"/>
        <w:adjustRightInd w:val="0"/>
        <w:snapToGrid w:val="0"/>
        <w:spacing w:before="69" w:beforeLines="20"/>
        <w:jc w:val="left"/>
      </w:pPr>
      <w:r>
        <w:rPr>
          <w:rFonts w:hint="default" w:ascii="Times New Roman" w:hAnsi="Times New Roman" w:eastAsia="宋体" w:cs="Times New Roman"/>
          <w:b w:val="0"/>
          <w:bCs w:val="0"/>
          <w:snapToGrid w:val="0"/>
          <w:color w:val="000000" w:themeColor="text1"/>
          <w:kern w:val="21"/>
          <w:sz w:val="21"/>
          <w:szCs w:val="21"/>
          <w:highlight w:val="none"/>
          <w14:textFill>
            <w14:solidFill>
              <w14:schemeClr w14:val="tx1"/>
            </w14:solidFill>
          </w14:textFill>
        </w:rPr>
        <w:t>注：</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⑥</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①</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③</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④</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⑤</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⑦</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⑥</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①</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p>
    <w:p/>
    <w:sectPr>
      <w:footerReference r:id="rId12" w:type="default"/>
      <w:pgSz w:w="16838" w:h="11905" w:orient="landscape"/>
      <w:pgMar w:top="1701" w:right="1417" w:bottom="1417" w:left="1417" w:header="1247" w:footer="1247" w:gutter="0"/>
      <w:pgBorders>
        <w:top w:val="none" w:sz="0" w:space="0"/>
        <w:left w:val="none" w:sz="0" w:space="0"/>
        <w:bottom w:val="none" w:sz="0" w:space="0"/>
        <w:right w:val="none" w:sz="0" w:space="0"/>
      </w:pgBorders>
      <w:pgNumType w:fmt="decimal"/>
      <w:cols w:space="0" w:num="1"/>
      <w:rtlGutter w:val="0"/>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003BBA1-7124-4AA9-B2C3-6D7E3261C229}"/>
  </w:font>
  <w:font w:name="黑体">
    <w:panose1 w:val="02010609060101010101"/>
    <w:charset w:val="86"/>
    <w:family w:val="auto"/>
    <w:pitch w:val="default"/>
    <w:sig w:usb0="800002BF" w:usb1="38CF7CFA" w:usb2="00000016" w:usb3="00000000" w:csb0="00040001" w:csb1="00000000"/>
    <w:embedRegular r:id="rId2" w:fontKey="{17B0CE57-5293-413A-825D-3BB6D13C4A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F9F8E6D2-4A6F-4711-B9B9-F38C15C4AAB1}"/>
  </w:font>
  <w:font w:name="仿宋_GB2312">
    <w:panose1 w:val="02010609030101010101"/>
    <w:charset w:val="86"/>
    <w:family w:val="modern"/>
    <w:pitch w:val="default"/>
    <w:sig w:usb0="00000001" w:usb1="080E0000" w:usb2="00000000" w:usb3="00000000" w:csb0="00040000" w:csb1="00000000"/>
    <w:embedRegular r:id="rId4" w:fontKey="{E42AE2A4-94B6-4FB0-862A-119E1B38266A}"/>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5" w:fontKey="{802E0627-0E9F-4066-BF37-C8B8903BF4E2}"/>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书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3C2F213C-5A71-4F34-933C-C3140212D083}"/>
  </w:font>
  <w:font w:name="仿宋">
    <w:panose1 w:val="02010609060101010101"/>
    <w:charset w:val="86"/>
    <w:family w:val="auto"/>
    <w:pitch w:val="default"/>
    <w:sig w:usb0="800002BF" w:usb1="38CF7CFA" w:usb2="00000016" w:usb3="00000000" w:csb0="00040001" w:csb1="00000000"/>
    <w:embedRegular r:id="rId7" w:fontKey="{78652911-71B5-402E-BBFF-AB9022400C9A}"/>
  </w:font>
  <w:font w:name="Wingdings 2">
    <w:altName w:val="Wingdings"/>
    <w:panose1 w:val="05020102010507070707"/>
    <w:charset w:val="02"/>
    <w:family w:val="roman"/>
    <w:pitch w:val="default"/>
    <w:sig w:usb0="00000000" w:usb1="00000000" w:usb2="00000000" w:usb3="00000000" w:csb0="80000000" w:csb1="00000000"/>
    <w:embedRegular r:id="rId8" w:fontKey="{57234D56-9A14-43C1-B819-F01F00726E6E}"/>
  </w:font>
  <w:font w:name="Wingdings">
    <w:panose1 w:val="05000000000000000000"/>
    <w:charset w:val="00"/>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embedRegular r:id="rId9" w:fontKey="{3707B4B5-4679-49E0-AAB8-76563EB76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1"/>
      </w:rPr>
    </w:pPr>
    <w:r>
      <w:fldChar w:fldCharType="begin"/>
    </w:r>
    <w:r>
      <w:rPr>
        <w:rStyle w:val="41"/>
      </w:rPr>
      <w:instrText xml:space="preserve">PAGE  </w:instrText>
    </w:r>
    <w:r>
      <w:fldChar w:fldCharType="end"/>
    </w:r>
  </w:p>
  <w:p>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default" w:ascii="Times New Roman" w:hAnsi="Times New Roman" w:cs="Times New Roman"/>
                              <w:b/>
                              <w:bCs/>
                            </w:rPr>
                          </w:pPr>
                          <w:r>
                            <w:rPr>
                              <w:rFonts w:hint="default" w:ascii="Times New Roman" w:hAnsi="Times New Roman" w:cs="Times New Roman"/>
                              <w:b/>
                              <w:bCs/>
                            </w:rPr>
                            <w:t xml:space="preserve">— </w:t>
                          </w:r>
                          <w:r>
                            <w:rPr>
                              <w:rFonts w:hint="default" w:ascii="Times New Roman" w:hAnsi="Times New Roman" w:cs="Times New Roman"/>
                              <w:b/>
                              <w:bCs/>
                            </w:rPr>
                            <w:fldChar w:fldCharType="begin"/>
                          </w:r>
                          <w:r>
                            <w:rPr>
                              <w:rFonts w:hint="default" w:ascii="Times New Roman" w:hAnsi="Times New Roman" w:cs="Times New Roman"/>
                              <w:b/>
                              <w:bCs/>
                            </w:rPr>
                            <w:instrText xml:space="preserve"> PAGE  \* MERGEFORMAT </w:instrText>
                          </w:r>
                          <w:r>
                            <w:rPr>
                              <w:rFonts w:hint="default" w:ascii="Times New Roman" w:hAnsi="Times New Roman" w:cs="Times New Roman"/>
                              <w:b/>
                              <w:bCs/>
                            </w:rPr>
                            <w:fldChar w:fldCharType="separate"/>
                          </w:r>
                          <w:r>
                            <w:rPr>
                              <w:rFonts w:hint="default" w:ascii="Times New Roman" w:hAnsi="Times New Roman" w:cs="Times New Roman"/>
                              <w:b/>
                              <w:bCs/>
                            </w:rPr>
                            <w:t>1</w:t>
                          </w:r>
                          <w:r>
                            <w:rPr>
                              <w:rFonts w:hint="default" w:ascii="Times New Roman" w:hAnsi="Times New Roman" w:cs="Times New Roman"/>
                              <w:b/>
                              <w:bCs/>
                            </w:rPr>
                            <w:fldChar w:fldCharType="end"/>
                          </w:r>
                          <w:r>
                            <w:rPr>
                              <w:rFonts w:hint="default" w:ascii="Times New Roman" w:hAnsi="Times New Roman" w:cs="Times New Roman"/>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8"/>
                      <w:rPr>
                        <w:rFonts w:hint="default" w:ascii="Times New Roman" w:hAnsi="Times New Roman" w:cs="Times New Roman"/>
                        <w:b/>
                        <w:bCs/>
                      </w:rPr>
                    </w:pPr>
                    <w:r>
                      <w:rPr>
                        <w:rFonts w:hint="default" w:ascii="Times New Roman" w:hAnsi="Times New Roman" w:cs="Times New Roman"/>
                        <w:b/>
                        <w:bCs/>
                      </w:rPr>
                      <w:t xml:space="preserve">— </w:t>
                    </w:r>
                    <w:r>
                      <w:rPr>
                        <w:rFonts w:hint="default" w:ascii="Times New Roman" w:hAnsi="Times New Roman" w:cs="Times New Roman"/>
                        <w:b/>
                        <w:bCs/>
                      </w:rPr>
                      <w:fldChar w:fldCharType="begin"/>
                    </w:r>
                    <w:r>
                      <w:rPr>
                        <w:rFonts w:hint="default" w:ascii="Times New Roman" w:hAnsi="Times New Roman" w:cs="Times New Roman"/>
                        <w:b/>
                        <w:bCs/>
                      </w:rPr>
                      <w:instrText xml:space="preserve"> PAGE  \* MERGEFORMAT </w:instrText>
                    </w:r>
                    <w:r>
                      <w:rPr>
                        <w:rFonts w:hint="default" w:ascii="Times New Roman" w:hAnsi="Times New Roman" w:cs="Times New Roman"/>
                        <w:b/>
                        <w:bCs/>
                      </w:rPr>
                      <w:fldChar w:fldCharType="separate"/>
                    </w:r>
                    <w:r>
                      <w:rPr>
                        <w:rFonts w:hint="default" w:ascii="Times New Roman" w:hAnsi="Times New Roman" w:cs="Times New Roman"/>
                        <w:b/>
                        <w:bCs/>
                      </w:rPr>
                      <w:t>1</w:t>
                    </w:r>
                    <w:r>
                      <w:rPr>
                        <w:rFonts w:hint="default" w:ascii="Times New Roman" w:hAnsi="Times New Roman" w:cs="Times New Roman"/>
                        <w:b/>
                        <w:bCs/>
                      </w:rPr>
                      <w:fldChar w:fldCharType="end"/>
                    </w:r>
                    <w:r>
                      <w:rPr>
                        <w:rFonts w:hint="default" w:ascii="Times New Roman" w:hAnsi="Times New Roman" w:cs="Times New Roman"/>
                        <w:b/>
                        <w:bCs/>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single" w:color="auto" w:sz="4" w:space="1"/>
        <w:left w:val="none" w:color="auto" w:sz="0" w:space="4"/>
        <w:bottom w:val="none" w:color="auto" w:sz="0" w:space="1"/>
        <w:right w:val="none" w:color="auto" w:sz="0" w:space="4"/>
      </w:pBdr>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lang w:val="en-US" w:eastAsia="zh-CN"/>
      </w:rPr>
      <w:t xml:space="preserve">                                                                      </w:t>
    </w:r>
    <w:r>
      <w:rPr>
        <w:rStyle w:val="41"/>
        <w:rFonts w:hint="eastAsia"/>
        <w:b/>
        <w:i/>
      </w:rPr>
      <w:t xml:space="preserve">众旺达（宁夏）技术咨询有限公司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single" w:color="auto" w:sz="4" w:space="1"/>
        <w:left w:val="none" w:color="auto" w:sz="0" w:space="4"/>
        <w:bottom w:val="none" w:color="auto" w:sz="0" w:space="1"/>
        <w:right w:val="none" w:color="auto" w:sz="0" w:space="4"/>
      </w:pBdr>
      <w:rPr>
        <w:rFonts w:hint="default"/>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b/>
                              <w:bCs/>
                            </w:rPr>
                          </w:pPr>
                          <w:r>
                            <w:rPr>
                              <w:b/>
                              <w:bCs/>
                            </w:rPr>
                            <w:t xml:space="preserve">— </w:t>
                          </w:r>
                          <w:r>
                            <w:rPr>
                              <w:b/>
                              <w:bCs/>
                            </w:rPr>
                            <w:fldChar w:fldCharType="begin"/>
                          </w:r>
                          <w:r>
                            <w:rPr>
                              <w:b/>
                              <w:bCs/>
                            </w:rPr>
                            <w:instrText xml:space="preserve"> PAGE  \* MERGEFORMAT </w:instrText>
                          </w:r>
                          <w:r>
                            <w:rPr>
                              <w:b/>
                              <w:bCs/>
                            </w:rPr>
                            <w:fldChar w:fldCharType="separate"/>
                          </w:r>
                          <w:r>
                            <w:rPr>
                              <w:b/>
                              <w:bCs/>
                            </w:rPr>
                            <w:t>39</w:t>
                          </w:r>
                          <w:r>
                            <w:rPr>
                              <w:b/>
                              <w:bCs/>
                            </w:rPr>
                            <w:fldChar w:fldCharType="end"/>
                          </w:r>
                          <w:r>
                            <w:rPr>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rPr>
                        <w:b/>
                        <w:bCs/>
                      </w:rPr>
                    </w:pPr>
                    <w:r>
                      <w:rPr>
                        <w:b/>
                        <w:bCs/>
                      </w:rPr>
                      <w:t xml:space="preserve">— </w:t>
                    </w:r>
                    <w:r>
                      <w:rPr>
                        <w:b/>
                        <w:bCs/>
                      </w:rPr>
                      <w:fldChar w:fldCharType="begin"/>
                    </w:r>
                    <w:r>
                      <w:rPr>
                        <w:b/>
                        <w:bCs/>
                      </w:rPr>
                      <w:instrText xml:space="preserve"> PAGE  \* MERGEFORMAT </w:instrText>
                    </w:r>
                    <w:r>
                      <w:rPr>
                        <w:b/>
                        <w:bCs/>
                      </w:rPr>
                      <w:fldChar w:fldCharType="separate"/>
                    </w:r>
                    <w:r>
                      <w:rPr>
                        <w:b/>
                        <w:bCs/>
                      </w:rPr>
                      <w:t>39</w:t>
                    </w:r>
                    <w:r>
                      <w:rPr>
                        <w:b/>
                        <w:bCs/>
                      </w:rPr>
                      <w:fldChar w:fldCharType="end"/>
                    </w:r>
                    <w:r>
                      <w:rPr>
                        <w:b/>
                        <w:bCs/>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318A1"/>
    <w:multiLevelType w:val="singleLevel"/>
    <w:tmpl w:val="8BC318A1"/>
    <w:lvl w:ilvl="0" w:tentative="0">
      <w:start w:val="1"/>
      <w:numFmt w:val="bullet"/>
      <w:pStyle w:val="24"/>
      <w:lvlText w:val=""/>
      <w:lvlJc w:val="left"/>
      <w:pPr>
        <w:tabs>
          <w:tab w:val="left" w:pos="2040"/>
        </w:tabs>
        <w:ind w:left="2040" w:hanging="360"/>
      </w:pPr>
      <w:rPr>
        <w:rFonts w:hint="default" w:ascii="Wingdings" w:hAnsi="Wingdings"/>
      </w:rPr>
    </w:lvl>
  </w:abstractNum>
  <w:abstractNum w:abstractNumId="1">
    <w:nsid w:val="06867139"/>
    <w:multiLevelType w:val="singleLevel"/>
    <w:tmpl w:val="06867139"/>
    <w:lvl w:ilvl="0" w:tentative="0">
      <w:start w:val="1"/>
      <w:numFmt w:val="decimal"/>
      <w:suff w:val="nothing"/>
      <w:lvlText w:val="%1）"/>
      <w:lvlJc w:val="left"/>
    </w:lvl>
  </w:abstractNum>
  <w:abstractNum w:abstractNumId="2">
    <w:nsid w:val="1E3583DF"/>
    <w:multiLevelType w:val="singleLevel"/>
    <w:tmpl w:val="1E3583DF"/>
    <w:lvl w:ilvl="0" w:tentative="0">
      <w:start w:val="1"/>
      <w:numFmt w:val="decimal"/>
      <w:suff w:val="nothing"/>
      <w:lvlText w:val="%1）"/>
      <w:lvlJc w:val="left"/>
    </w:lvl>
  </w:abstractNum>
  <w:abstractNum w:abstractNumId="3">
    <w:nsid w:val="498B6F13"/>
    <w:multiLevelType w:val="singleLevel"/>
    <w:tmpl w:val="498B6F13"/>
    <w:lvl w:ilvl="0" w:tentative="0">
      <w:start w:val="1"/>
      <w:numFmt w:val="bullet"/>
      <w:pStyle w:val="18"/>
      <w:lvlText w:val=""/>
      <w:lvlJc w:val="left"/>
      <w:pPr>
        <w:tabs>
          <w:tab w:val="left" w:pos="780"/>
        </w:tabs>
        <w:ind w:left="78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MjFiYmViMDI4YzdlMDM2YjY0YTlmZGJiMmFlZTUifQ=="/>
  </w:docVars>
  <w:rsids>
    <w:rsidRoot w:val="00172A27"/>
    <w:rsid w:val="000B7E86"/>
    <w:rsid w:val="000F7FB0"/>
    <w:rsid w:val="001978C2"/>
    <w:rsid w:val="001A3A69"/>
    <w:rsid w:val="001D4FE5"/>
    <w:rsid w:val="002703A8"/>
    <w:rsid w:val="002C1819"/>
    <w:rsid w:val="002E3FB2"/>
    <w:rsid w:val="00330D26"/>
    <w:rsid w:val="003C7C35"/>
    <w:rsid w:val="0042597E"/>
    <w:rsid w:val="004277C9"/>
    <w:rsid w:val="004D140B"/>
    <w:rsid w:val="00602824"/>
    <w:rsid w:val="006D22AA"/>
    <w:rsid w:val="009143A4"/>
    <w:rsid w:val="00921F00"/>
    <w:rsid w:val="00960906"/>
    <w:rsid w:val="009E2E03"/>
    <w:rsid w:val="00A566D5"/>
    <w:rsid w:val="00A628CD"/>
    <w:rsid w:val="00A868B6"/>
    <w:rsid w:val="00AB6B25"/>
    <w:rsid w:val="00AD6733"/>
    <w:rsid w:val="00C6108D"/>
    <w:rsid w:val="00CF3752"/>
    <w:rsid w:val="00D348C5"/>
    <w:rsid w:val="00F124C4"/>
    <w:rsid w:val="00F932C9"/>
    <w:rsid w:val="0118675A"/>
    <w:rsid w:val="01203FAE"/>
    <w:rsid w:val="01261B49"/>
    <w:rsid w:val="01282880"/>
    <w:rsid w:val="01283BE8"/>
    <w:rsid w:val="013A1A54"/>
    <w:rsid w:val="0144498C"/>
    <w:rsid w:val="01506417"/>
    <w:rsid w:val="015367A4"/>
    <w:rsid w:val="015525C2"/>
    <w:rsid w:val="016609DC"/>
    <w:rsid w:val="016A2419"/>
    <w:rsid w:val="016E2F6B"/>
    <w:rsid w:val="01724363"/>
    <w:rsid w:val="017E136D"/>
    <w:rsid w:val="018A4696"/>
    <w:rsid w:val="018C47B0"/>
    <w:rsid w:val="019422A6"/>
    <w:rsid w:val="01964C25"/>
    <w:rsid w:val="01973B44"/>
    <w:rsid w:val="01A26771"/>
    <w:rsid w:val="01AA4475"/>
    <w:rsid w:val="01B14C06"/>
    <w:rsid w:val="01BB2C67"/>
    <w:rsid w:val="01D1627A"/>
    <w:rsid w:val="01D47F8D"/>
    <w:rsid w:val="01D52A58"/>
    <w:rsid w:val="01D5768E"/>
    <w:rsid w:val="01DF268E"/>
    <w:rsid w:val="01E172CD"/>
    <w:rsid w:val="01FB4FFA"/>
    <w:rsid w:val="022B2C0A"/>
    <w:rsid w:val="022E1921"/>
    <w:rsid w:val="023923B2"/>
    <w:rsid w:val="023B0C37"/>
    <w:rsid w:val="0244580B"/>
    <w:rsid w:val="024C1528"/>
    <w:rsid w:val="025D2470"/>
    <w:rsid w:val="025F1FA7"/>
    <w:rsid w:val="029B0978"/>
    <w:rsid w:val="029B0DDF"/>
    <w:rsid w:val="02D174F5"/>
    <w:rsid w:val="02D87994"/>
    <w:rsid w:val="02F17460"/>
    <w:rsid w:val="0310576A"/>
    <w:rsid w:val="032C7DBF"/>
    <w:rsid w:val="03323B24"/>
    <w:rsid w:val="03494ECF"/>
    <w:rsid w:val="034E5A78"/>
    <w:rsid w:val="035A360D"/>
    <w:rsid w:val="03675EC4"/>
    <w:rsid w:val="0379457F"/>
    <w:rsid w:val="03882E57"/>
    <w:rsid w:val="038D3451"/>
    <w:rsid w:val="039C537B"/>
    <w:rsid w:val="03A314FC"/>
    <w:rsid w:val="03A964DC"/>
    <w:rsid w:val="03AF5994"/>
    <w:rsid w:val="03DB0081"/>
    <w:rsid w:val="03DC22E7"/>
    <w:rsid w:val="03E96B3C"/>
    <w:rsid w:val="03EF6907"/>
    <w:rsid w:val="03F70F0C"/>
    <w:rsid w:val="03FE4B5C"/>
    <w:rsid w:val="04247911"/>
    <w:rsid w:val="043722D1"/>
    <w:rsid w:val="046723D5"/>
    <w:rsid w:val="046B64CF"/>
    <w:rsid w:val="04763EE5"/>
    <w:rsid w:val="04831DF5"/>
    <w:rsid w:val="04855289"/>
    <w:rsid w:val="04893EB2"/>
    <w:rsid w:val="0494553B"/>
    <w:rsid w:val="04B43E48"/>
    <w:rsid w:val="04C1196E"/>
    <w:rsid w:val="04C40660"/>
    <w:rsid w:val="04C82992"/>
    <w:rsid w:val="04E361A4"/>
    <w:rsid w:val="04E653C9"/>
    <w:rsid w:val="04F80B8D"/>
    <w:rsid w:val="051C2CDE"/>
    <w:rsid w:val="0522647B"/>
    <w:rsid w:val="052D6C99"/>
    <w:rsid w:val="053E0EA6"/>
    <w:rsid w:val="056226A1"/>
    <w:rsid w:val="056C1A12"/>
    <w:rsid w:val="056F1060"/>
    <w:rsid w:val="05755BC8"/>
    <w:rsid w:val="05810A13"/>
    <w:rsid w:val="05850883"/>
    <w:rsid w:val="05854E9B"/>
    <w:rsid w:val="05B6346C"/>
    <w:rsid w:val="05BB1A2C"/>
    <w:rsid w:val="05D047B3"/>
    <w:rsid w:val="05D70424"/>
    <w:rsid w:val="05DA23A7"/>
    <w:rsid w:val="05EA057C"/>
    <w:rsid w:val="0630648B"/>
    <w:rsid w:val="06587D46"/>
    <w:rsid w:val="065D535C"/>
    <w:rsid w:val="06601CDA"/>
    <w:rsid w:val="06691F53"/>
    <w:rsid w:val="06787FCA"/>
    <w:rsid w:val="067E0411"/>
    <w:rsid w:val="068F0189"/>
    <w:rsid w:val="06A74829"/>
    <w:rsid w:val="06B003D1"/>
    <w:rsid w:val="06B677B4"/>
    <w:rsid w:val="06B75692"/>
    <w:rsid w:val="06C4407E"/>
    <w:rsid w:val="06C477F9"/>
    <w:rsid w:val="06E850CA"/>
    <w:rsid w:val="06EE2458"/>
    <w:rsid w:val="06EF294E"/>
    <w:rsid w:val="06FB0143"/>
    <w:rsid w:val="070B6B66"/>
    <w:rsid w:val="071D659A"/>
    <w:rsid w:val="072B25DC"/>
    <w:rsid w:val="072C6909"/>
    <w:rsid w:val="07376794"/>
    <w:rsid w:val="07437267"/>
    <w:rsid w:val="0745455B"/>
    <w:rsid w:val="076622AE"/>
    <w:rsid w:val="0766494E"/>
    <w:rsid w:val="076B52A9"/>
    <w:rsid w:val="077170A8"/>
    <w:rsid w:val="077435CE"/>
    <w:rsid w:val="077C659D"/>
    <w:rsid w:val="078046A1"/>
    <w:rsid w:val="078A4401"/>
    <w:rsid w:val="07A875C9"/>
    <w:rsid w:val="07B46F4A"/>
    <w:rsid w:val="07C170A8"/>
    <w:rsid w:val="07CD0AC8"/>
    <w:rsid w:val="07D7263A"/>
    <w:rsid w:val="07DB1BE6"/>
    <w:rsid w:val="07DF15EF"/>
    <w:rsid w:val="07EF7893"/>
    <w:rsid w:val="07F10D4C"/>
    <w:rsid w:val="08010BE6"/>
    <w:rsid w:val="08112707"/>
    <w:rsid w:val="08215AE4"/>
    <w:rsid w:val="08250390"/>
    <w:rsid w:val="083002FD"/>
    <w:rsid w:val="08342A7D"/>
    <w:rsid w:val="08402703"/>
    <w:rsid w:val="084E1B03"/>
    <w:rsid w:val="084F4B56"/>
    <w:rsid w:val="08506633"/>
    <w:rsid w:val="08550EBF"/>
    <w:rsid w:val="08724ABA"/>
    <w:rsid w:val="08B550AD"/>
    <w:rsid w:val="08B57D04"/>
    <w:rsid w:val="08B77236"/>
    <w:rsid w:val="08B8106C"/>
    <w:rsid w:val="08CE2541"/>
    <w:rsid w:val="08D35086"/>
    <w:rsid w:val="08DF0836"/>
    <w:rsid w:val="08E60C68"/>
    <w:rsid w:val="08F77F6B"/>
    <w:rsid w:val="08F85B47"/>
    <w:rsid w:val="090C0F64"/>
    <w:rsid w:val="09404186"/>
    <w:rsid w:val="09490DC9"/>
    <w:rsid w:val="09622255"/>
    <w:rsid w:val="0972111F"/>
    <w:rsid w:val="09891BB3"/>
    <w:rsid w:val="09A36D10"/>
    <w:rsid w:val="09A950D4"/>
    <w:rsid w:val="09B05F7A"/>
    <w:rsid w:val="09BF3F1F"/>
    <w:rsid w:val="09E74A15"/>
    <w:rsid w:val="09FC1363"/>
    <w:rsid w:val="09FE0C04"/>
    <w:rsid w:val="0A0509EF"/>
    <w:rsid w:val="0A0B4E4C"/>
    <w:rsid w:val="0A0B50CF"/>
    <w:rsid w:val="0A0F696E"/>
    <w:rsid w:val="0A1172DE"/>
    <w:rsid w:val="0A15647C"/>
    <w:rsid w:val="0A1B6C8C"/>
    <w:rsid w:val="0A2278F4"/>
    <w:rsid w:val="0A27518B"/>
    <w:rsid w:val="0A29573B"/>
    <w:rsid w:val="0A3B25D7"/>
    <w:rsid w:val="0A40419F"/>
    <w:rsid w:val="0A522CFE"/>
    <w:rsid w:val="0A605D88"/>
    <w:rsid w:val="0A627318"/>
    <w:rsid w:val="0A6A05C2"/>
    <w:rsid w:val="0A871872"/>
    <w:rsid w:val="0A887AA4"/>
    <w:rsid w:val="0A92216F"/>
    <w:rsid w:val="0A9E0A94"/>
    <w:rsid w:val="0AB07751"/>
    <w:rsid w:val="0AB60A3E"/>
    <w:rsid w:val="0AB83079"/>
    <w:rsid w:val="0AD60454"/>
    <w:rsid w:val="0AE71698"/>
    <w:rsid w:val="0AEA410A"/>
    <w:rsid w:val="0AFA3004"/>
    <w:rsid w:val="0AFB4013"/>
    <w:rsid w:val="0AFB6824"/>
    <w:rsid w:val="0B15135B"/>
    <w:rsid w:val="0B160C13"/>
    <w:rsid w:val="0B1F67D0"/>
    <w:rsid w:val="0B2145A4"/>
    <w:rsid w:val="0B2B3C7B"/>
    <w:rsid w:val="0B316389"/>
    <w:rsid w:val="0B5223A9"/>
    <w:rsid w:val="0B852B9F"/>
    <w:rsid w:val="0BBA5954"/>
    <w:rsid w:val="0BC35C62"/>
    <w:rsid w:val="0BC51F38"/>
    <w:rsid w:val="0BDD3A6A"/>
    <w:rsid w:val="0BED35B4"/>
    <w:rsid w:val="0BED6E9E"/>
    <w:rsid w:val="0BF24710"/>
    <w:rsid w:val="0C0B53B3"/>
    <w:rsid w:val="0C0D1B68"/>
    <w:rsid w:val="0C13055B"/>
    <w:rsid w:val="0C254A1B"/>
    <w:rsid w:val="0C25691C"/>
    <w:rsid w:val="0C293D90"/>
    <w:rsid w:val="0C302D8B"/>
    <w:rsid w:val="0C352A96"/>
    <w:rsid w:val="0C362890"/>
    <w:rsid w:val="0C5A7F01"/>
    <w:rsid w:val="0C8B34A5"/>
    <w:rsid w:val="0C907468"/>
    <w:rsid w:val="0C992E66"/>
    <w:rsid w:val="0C9D4705"/>
    <w:rsid w:val="0C9E7822"/>
    <w:rsid w:val="0CB810E8"/>
    <w:rsid w:val="0CCE11F4"/>
    <w:rsid w:val="0CDA4CC1"/>
    <w:rsid w:val="0CDC2D7A"/>
    <w:rsid w:val="0CE836F9"/>
    <w:rsid w:val="0CF87285"/>
    <w:rsid w:val="0CF87B8D"/>
    <w:rsid w:val="0D185287"/>
    <w:rsid w:val="0D1E0763"/>
    <w:rsid w:val="0D1F587B"/>
    <w:rsid w:val="0D224A8A"/>
    <w:rsid w:val="0D283592"/>
    <w:rsid w:val="0D594DF0"/>
    <w:rsid w:val="0D6004FB"/>
    <w:rsid w:val="0D67410D"/>
    <w:rsid w:val="0D6C1913"/>
    <w:rsid w:val="0D78681B"/>
    <w:rsid w:val="0D7C4FAB"/>
    <w:rsid w:val="0D857E27"/>
    <w:rsid w:val="0D890E55"/>
    <w:rsid w:val="0D8A1D43"/>
    <w:rsid w:val="0D9965CC"/>
    <w:rsid w:val="0D9B752C"/>
    <w:rsid w:val="0DBE0DD6"/>
    <w:rsid w:val="0DBE6FD3"/>
    <w:rsid w:val="0DC25855"/>
    <w:rsid w:val="0DCA63AF"/>
    <w:rsid w:val="0DDE5050"/>
    <w:rsid w:val="0DE42ED3"/>
    <w:rsid w:val="0DFF6240"/>
    <w:rsid w:val="0E1536E2"/>
    <w:rsid w:val="0E1A3BB0"/>
    <w:rsid w:val="0E1C459B"/>
    <w:rsid w:val="0E1E5E3A"/>
    <w:rsid w:val="0E1F1468"/>
    <w:rsid w:val="0E305D54"/>
    <w:rsid w:val="0E327E99"/>
    <w:rsid w:val="0E330ED4"/>
    <w:rsid w:val="0E3610CB"/>
    <w:rsid w:val="0E4E21B3"/>
    <w:rsid w:val="0E87741A"/>
    <w:rsid w:val="0E8C2C83"/>
    <w:rsid w:val="0E8D69FB"/>
    <w:rsid w:val="0E8F73F2"/>
    <w:rsid w:val="0E953933"/>
    <w:rsid w:val="0EB16245"/>
    <w:rsid w:val="0EB41B5D"/>
    <w:rsid w:val="0EB67214"/>
    <w:rsid w:val="0EDD488B"/>
    <w:rsid w:val="0EE72023"/>
    <w:rsid w:val="0EE80D86"/>
    <w:rsid w:val="0EF23E17"/>
    <w:rsid w:val="0EF40F53"/>
    <w:rsid w:val="0F02058A"/>
    <w:rsid w:val="0F234C69"/>
    <w:rsid w:val="0F553B7C"/>
    <w:rsid w:val="0F571187"/>
    <w:rsid w:val="0F7363A4"/>
    <w:rsid w:val="0F76748F"/>
    <w:rsid w:val="0F784FB5"/>
    <w:rsid w:val="0F9E3046"/>
    <w:rsid w:val="0FB941A6"/>
    <w:rsid w:val="0FC30177"/>
    <w:rsid w:val="0FE94ABA"/>
    <w:rsid w:val="1015061C"/>
    <w:rsid w:val="101F18D4"/>
    <w:rsid w:val="102C3AAB"/>
    <w:rsid w:val="102D2123"/>
    <w:rsid w:val="10303AE2"/>
    <w:rsid w:val="10390BE8"/>
    <w:rsid w:val="1054237C"/>
    <w:rsid w:val="105E2AE5"/>
    <w:rsid w:val="10665407"/>
    <w:rsid w:val="106A7E47"/>
    <w:rsid w:val="106C2051"/>
    <w:rsid w:val="10727658"/>
    <w:rsid w:val="1087314D"/>
    <w:rsid w:val="109611B9"/>
    <w:rsid w:val="10997BAE"/>
    <w:rsid w:val="109C5E4D"/>
    <w:rsid w:val="10BB4DD1"/>
    <w:rsid w:val="10C64491"/>
    <w:rsid w:val="10C811C1"/>
    <w:rsid w:val="10D8419A"/>
    <w:rsid w:val="10DA379A"/>
    <w:rsid w:val="10DD77C5"/>
    <w:rsid w:val="10EA764A"/>
    <w:rsid w:val="10EE5D63"/>
    <w:rsid w:val="10F60B9D"/>
    <w:rsid w:val="10FF7003"/>
    <w:rsid w:val="110D797F"/>
    <w:rsid w:val="11105076"/>
    <w:rsid w:val="11211A8F"/>
    <w:rsid w:val="112278CE"/>
    <w:rsid w:val="11250B13"/>
    <w:rsid w:val="11286567"/>
    <w:rsid w:val="113768E4"/>
    <w:rsid w:val="115A4BCD"/>
    <w:rsid w:val="115E7F6C"/>
    <w:rsid w:val="11697B20"/>
    <w:rsid w:val="11713CFC"/>
    <w:rsid w:val="11717F0E"/>
    <w:rsid w:val="11780E02"/>
    <w:rsid w:val="11916802"/>
    <w:rsid w:val="119A1FCA"/>
    <w:rsid w:val="11AC730F"/>
    <w:rsid w:val="11BC387F"/>
    <w:rsid w:val="11E00626"/>
    <w:rsid w:val="11E95673"/>
    <w:rsid w:val="11EE77B0"/>
    <w:rsid w:val="120E1C01"/>
    <w:rsid w:val="121B418D"/>
    <w:rsid w:val="122225D7"/>
    <w:rsid w:val="123773D0"/>
    <w:rsid w:val="123F625E"/>
    <w:rsid w:val="124B075F"/>
    <w:rsid w:val="12590E2F"/>
    <w:rsid w:val="125A6B29"/>
    <w:rsid w:val="126942B0"/>
    <w:rsid w:val="1279797B"/>
    <w:rsid w:val="127A5BCC"/>
    <w:rsid w:val="127F0CDB"/>
    <w:rsid w:val="1283439D"/>
    <w:rsid w:val="12856D80"/>
    <w:rsid w:val="128E1EEE"/>
    <w:rsid w:val="128F7CBD"/>
    <w:rsid w:val="129170FA"/>
    <w:rsid w:val="12A33457"/>
    <w:rsid w:val="12B24BE1"/>
    <w:rsid w:val="12C16C73"/>
    <w:rsid w:val="12C64827"/>
    <w:rsid w:val="12D90460"/>
    <w:rsid w:val="12FF0EBB"/>
    <w:rsid w:val="13085039"/>
    <w:rsid w:val="130D0014"/>
    <w:rsid w:val="130F5C30"/>
    <w:rsid w:val="13196AAF"/>
    <w:rsid w:val="1320280B"/>
    <w:rsid w:val="1329321B"/>
    <w:rsid w:val="132E043C"/>
    <w:rsid w:val="133509F9"/>
    <w:rsid w:val="133D2B2C"/>
    <w:rsid w:val="1344242A"/>
    <w:rsid w:val="13482CC0"/>
    <w:rsid w:val="134D574D"/>
    <w:rsid w:val="139317ED"/>
    <w:rsid w:val="1396040F"/>
    <w:rsid w:val="139C67BB"/>
    <w:rsid w:val="13C46A1B"/>
    <w:rsid w:val="13C56740"/>
    <w:rsid w:val="13CD6F8A"/>
    <w:rsid w:val="13D05D10"/>
    <w:rsid w:val="13E23345"/>
    <w:rsid w:val="13E604E2"/>
    <w:rsid w:val="13F26994"/>
    <w:rsid w:val="140D3617"/>
    <w:rsid w:val="141B1E2B"/>
    <w:rsid w:val="1423444A"/>
    <w:rsid w:val="143F1D7B"/>
    <w:rsid w:val="144274A8"/>
    <w:rsid w:val="144A4233"/>
    <w:rsid w:val="144D0ACC"/>
    <w:rsid w:val="144D2D5B"/>
    <w:rsid w:val="14634486"/>
    <w:rsid w:val="14742EF1"/>
    <w:rsid w:val="14867011"/>
    <w:rsid w:val="149B05E1"/>
    <w:rsid w:val="149B3F31"/>
    <w:rsid w:val="14CE7046"/>
    <w:rsid w:val="14D276DE"/>
    <w:rsid w:val="14F14B90"/>
    <w:rsid w:val="14F523D2"/>
    <w:rsid w:val="14F8397B"/>
    <w:rsid w:val="15011C56"/>
    <w:rsid w:val="15055AB5"/>
    <w:rsid w:val="15131E7B"/>
    <w:rsid w:val="153720E2"/>
    <w:rsid w:val="156A53A0"/>
    <w:rsid w:val="156C55BC"/>
    <w:rsid w:val="156D4E90"/>
    <w:rsid w:val="15891A6F"/>
    <w:rsid w:val="158A4DBA"/>
    <w:rsid w:val="159616C7"/>
    <w:rsid w:val="15994905"/>
    <w:rsid w:val="15A2296B"/>
    <w:rsid w:val="15A547C9"/>
    <w:rsid w:val="15A9411A"/>
    <w:rsid w:val="15B312AC"/>
    <w:rsid w:val="15C85046"/>
    <w:rsid w:val="15EA64E1"/>
    <w:rsid w:val="15F03877"/>
    <w:rsid w:val="15FC23FE"/>
    <w:rsid w:val="15FF3B4E"/>
    <w:rsid w:val="16113F5E"/>
    <w:rsid w:val="16165BCA"/>
    <w:rsid w:val="16296DE9"/>
    <w:rsid w:val="16381757"/>
    <w:rsid w:val="1645407B"/>
    <w:rsid w:val="16521E65"/>
    <w:rsid w:val="165A2D6B"/>
    <w:rsid w:val="1667245B"/>
    <w:rsid w:val="16672597"/>
    <w:rsid w:val="166B1332"/>
    <w:rsid w:val="16714EDE"/>
    <w:rsid w:val="167655B5"/>
    <w:rsid w:val="167A2592"/>
    <w:rsid w:val="16804E96"/>
    <w:rsid w:val="16981026"/>
    <w:rsid w:val="169A2C48"/>
    <w:rsid w:val="16B87951"/>
    <w:rsid w:val="16BA4105"/>
    <w:rsid w:val="16C67F6C"/>
    <w:rsid w:val="16C75CDE"/>
    <w:rsid w:val="16D1641C"/>
    <w:rsid w:val="16D57191"/>
    <w:rsid w:val="16D82C42"/>
    <w:rsid w:val="170B19CF"/>
    <w:rsid w:val="170F61FF"/>
    <w:rsid w:val="17236291"/>
    <w:rsid w:val="17274AB1"/>
    <w:rsid w:val="17444A5A"/>
    <w:rsid w:val="174F125F"/>
    <w:rsid w:val="175A07E0"/>
    <w:rsid w:val="176C028F"/>
    <w:rsid w:val="17716EA8"/>
    <w:rsid w:val="17772BF6"/>
    <w:rsid w:val="17B752F6"/>
    <w:rsid w:val="17C3523B"/>
    <w:rsid w:val="17C90AA4"/>
    <w:rsid w:val="17D41B5D"/>
    <w:rsid w:val="17D5490C"/>
    <w:rsid w:val="17D82FB2"/>
    <w:rsid w:val="17FD33B6"/>
    <w:rsid w:val="17FD7422"/>
    <w:rsid w:val="18043D2B"/>
    <w:rsid w:val="182B3432"/>
    <w:rsid w:val="183539C6"/>
    <w:rsid w:val="183C74C7"/>
    <w:rsid w:val="184E23FE"/>
    <w:rsid w:val="18643121"/>
    <w:rsid w:val="188752A7"/>
    <w:rsid w:val="18AD6B08"/>
    <w:rsid w:val="18D23988"/>
    <w:rsid w:val="18E81B33"/>
    <w:rsid w:val="18F36F9A"/>
    <w:rsid w:val="18FE36B5"/>
    <w:rsid w:val="191F6A49"/>
    <w:rsid w:val="19332FA3"/>
    <w:rsid w:val="1954601C"/>
    <w:rsid w:val="195848C8"/>
    <w:rsid w:val="19696175"/>
    <w:rsid w:val="19697BFA"/>
    <w:rsid w:val="1979635E"/>
    <w:rsid w:val="198B4326"/>
    <w:rsid w:val="1999328D"/>
    <w:rsid w:val="19BE5A4B"/>
    <w:rsid w:val="19BF4370"/>
    <w:rsid w:val="19C21C4E"/>
    <w:rsid w:val="19D25AEF"/>
    <w:rsid w:val="19EB2693"/>
    <w:rsid w:val="19F0253A"/>
    <w:rsid w:val="19F4792E"/>
    <w:rsid w:val="1A01625B"/>
    <w:rsid w:val="1A1047A5"/>
    <w:rsid w:val="1A106081"/>
    <w:rsid w:val="1A3F7507"/>
    <w:rsid w:val="1A684039"/>
    <w:rsid w:val="1A78055F"/>
    <w:rsid w:val="1A8E78C8"/>
    <w:rsid w:val="1A9A12C1"/>
    <w:rsid w:val="1A9A5EF7"/>
    <w:rsid w:val="1AA5653A"/>
    <w:rsid w:val="1AAB623F"/>
    <w:rsid w:val="1ADC6D40"/>
    <w:rsid w:val="1ADE35C5"/>
    <w:rsid w:val="1AEC75EB"/>
    <w:rsid w:val="1AF01679"/>
    <w:rsid w:val="1AF45477"/>
    <w:rsid w:val="1B012302"/>
    <w:rsid w:val="1B201915"/>
    <w:rsid w:val="1B33402F"/>
    <w:rsid w:val="1B337307"/>
    <w:rsid w:val="1B4875AE"/>
    <w:rsid w:val="1B493D5D"/>
    <w:rsid w:val="1B6E410D"/>
    <w:rsid w:val="1B9904EA"/>
    <w:rsid w:val="1B9D3EAD"/>
    <w:rsid w:val="1BAA3957"/>
    <w:rsid w:val="1BB83309"/>
    <w:rsid w:val="1BBF3B1A"/>
    <w:rsid w:val="1BC83FED"/>
    <w:rsid w:val="1BCA303C"/>
    <w:rsid w:val="1BF05EB4"/>
    <w:rsid w:val="1C1A2C44"/>
    <w:rsid w:val="1C3D380E"/>
    <w:rsid w:val="1C3D6D64"/>
    <w:rsid w:val="1C4C1CA3"/>
    <w:rsid w:val="1C4C4BD9"/>
    <w:rsid w:val="1C6E5335"/>
    <w:rsid w:val="1C840525"/>
    <w:rsid w:val="1C8A33DD"/>
    <w:rsid w:val="1C8B48E5"/>
    <w:rsid w:val="1C8B7086"/>
    <w:rsid w:val="1C976791"/>
    <w:rsid w:val="1CB82E95"/>
    <w:rsid w:val="1CCE090A"/>
    <w:rsid w:val="1CF74EC6"/>
    <w:rsid w:val="1D0019E8"/>
    <w:rsid w:val="1D004BAD"/>
    <w:rsid w:val="1D1C76D4"/>
    <w:rsid w:val="1D39116E"/>
    <w:rsid w:val="1D417AA2"/>
    <w:rsid w:val="1D4B1B26"/>
    <w:rsid w:val="1D4D7A81"/>
    <w:rsid w:val="1D693CD4"/>
    <w:rsid w:val="1DB004D6"/>
    <w:rsid w:val="1DC001AC"/>
    <w:rsid w:val="1DCC6295"/>
    <w:rsid w:val="1DE228BA"/>
    <w:rsid w:val="1E0E51C2"/>
    <w:rsid w:val="1E1B13F5"/>
    <w:rsid w:val="1E1B75CE"/>
    <w:rsid w:val="1E256DDB"/>
    <w:rsid w:val="1E2C038C"/>
    <w:rsid w:val="1E380731"/>
    <w:rsid w:val="1E6F24FC"/>
    <w:rsid w:val="1EC11B21"/>
    <w:rsid w:val="1EC12A93"/>
    <w:rsid w:val="1ECA2F0B"/>
    <w:rsid w:val="1ED65FDF"/>
    <w:rsid w:val="1EDA5128"/>
    <w:rsid w:val="1EDD3086"/>
    <w:rsid w:val="1EE44D31"/>
    <w:rsid w:val="1EFC33E4"/>
    <w:rsid w:val="1F0B6217"/>
    <w:rsid w:val="1F2208FE"/>
    <w:rsid w:val="1F474DE8"/>
    <w:rsid w:val="1F4F29B7"/>
    <w:rsid w:val="1F6364CC"/>
    <w:rsid w:val="1F65178F"/>
    <w:rsid w:val="1FB94710"/>
    <w:rsid w:val="1FBF028E"/>
    <w:rsid w:val="1FBF27F4"/>
    <w:rsid w:val="1FC35DD8"/>
    <w:rsid w:val="1FC47E35"/>
    <w:rsid w:val="1FCA6F35"/>
    <w:rsid w:val="1FCE183D"/>
    <w:rsid w:val="1FDC71C1"/>
    <w:rsid w:val="1FFB365A"/>
    <w:rsid w:val="1FFD54FC"/>
    <w:rsid w:val="20211783"/>
    <w:rsid w:val="20312AEB"/>
    <w:rsid w:val="20370574"/>
    <w:rsid w:val="2042407C"/>
    <w:rsid w:val="2043583C"/>
    <w:rsid w:val="20456F3D"/>
    <w:rsid w:val="20472DB0"/>
    <w:rsid w:val="20476170"/>
    <w:rsid w:val="20490E7D"/>
    <w:rsid w:val="205D51D0"/>
    <w:rsid w:val="207532D7"/>
    <w:rsid w:val="20967767"/>
    <w:rsid w:val="20AA3001"/>
    <w:rsid w:val="20B00A53"/>
    <w:rsid w:val="20B87308"/>
    <w:rsid w:val="20B87907"/>
    <w:rsid w:val="20DA5298"/>
    <w:rsid w:val="20E33285"/>
    <w:rsid w:val="20FD40A4"/>
    <w:rsid w:val="20FD7C95"/>
    <w:rsid w:val="21182154"/>
    <w:rsid w:val="21183C0B"/>
    <w:rsid w:val="21294B90"/>
    <w:rsid w:val="212A5D22"/>
    <w:rsid w:val="212F75DD"/>
    <w:rsid w:val="214C2FB8"/>
    <w:rsid w:val="21676577"/>
    <w:rsid w:val="216A28C3"/>
    <w:rsid w:val="21771570"/>
    <w:rsid w:val="219736C9"/>
    <w:rsid w:val="219B39C7"/>
    <w:rsid w:val="219F4623"/>
    <w:rsid w:val="21A35416"/>
    <w:rsid w:val="21B856E5"/>
    <w:rsid w:val="21B87493"/>
    <w:rsid w:val="21B9578A"/>
    <w:rsid w:val="21C23934"/>
    <w:rsid w:val="21CC613C"/>
    <w:rsid w:val="21D17860"/>
    <w:rsid w:val="21D32722"/>
    <w:rsid w:val="21E42E36"/>
    <w:rsid w:val="21E7724D"/>
    <w:rsid w:val="21F42BC1"/>
    <w:rsid w:val="21F50916"/>
    <w:rsid w:val="2211618D"/>
    <w:rsid w:val="2225345A"/>
    <w:rsid w:val="22360692"/>
    <w:rsid w:val="22542BB3"/>
    <w:rsid w:val="225E4B9C"/>
    <w:rsid w:val="2265586D"/>
    <w:rsid w:val="22703D10"/>
    <w:rsid w:val="22823B5E"/>
    <w:rsid w:val="22835CF3"/>
    <w:rsid w:val="228D5360"/>
    <w:rsid w:val="22A5210D"/>
    <w:rsid w:val="22AA12DD"/>
    <w:rsid w:val="22BC5D17"/>
    <w:rsid w:val="22DC30C2"/>
    <w:rsid w:val="23016E57"/>
    <w:rsid w:val="231132FF"/>
    <w:rsid w:val="231F41F1"/>
    <w:rsid w:val="23241049"/>
    <w:rsid w:val="23537BC6"/>
    <w:rsid w:val="236017E5"/>
    <w:rsid w:val="2373013C"/>
    <w:rsid w:val="237C7048"/>
    <w:rsid w:val="237F64BA"/>
    <w:rsid w:val="23A567CE"/>
    <w:rsid w:val="23A75F8B"/>
    <w:rsid w:val="23C92B4F"/>
    <w:rsid w:val="23CC380E"/>
    <w:rsid w:val="23CE67A9"/>
    <w:rsid w:val="23EB0406"/>
    <w:rsid w:val="24030F89"/>
    <w:rsid w:val="241750B5"/>
    <w:rsid w:val="242645DB"/>
    <w:rsid w:val="242A0654"/>
    <w:rsid w:val="242E07E9"/>
    <w:rsid w:val="245244EF"/>
    <w:rsid w:val="24662EAB"/>
    <w:rsid w:val="247A3D65"/>
    <w:rsid w:val="24857B00"/>
    <w:rsid w:val="248D2E59"/>
    <w:rsid w:val="24910C95"/>
    <w:rsid w:val="249266C1"/>
    <w:rsid w:val="24AA3A0B"/>
    <w:rsid w:val="24B35C26"/>
    <w:rsid w:val="24B959FC"/>
    <w:rsid w:val="24CA1191"/>
    <w:rsid w:val="24D4278F"/>
    <w:rsid w:val="24D80578"/>
    <w:rsid w:val="24E56F56"/>
    <w:rsid w:val="24F84634"/>
    <w:rsid w:val="24FD1D8D"/>
    <w:rsid w:val="25143F64"/>
    <w:rsid w:val="2540611D"/>
    <w:rsid w:val="25430923"/>
    <w:rsid w:val="25595016"/>
    <w:rsid w:val="256767C9"/>
    <w:rsid w:val="25A94457"/>
    <w:rsid w:val="25AB495B"/>
    <w:rsid w:val="25B96C70"/>
    <w:rsid w:val="25BF7042"/>
    <w:rsid w:val="25D63C52"/>
    <w:rsid w:val="26176E7E"/>
    <w:rsid w:val="261C4796"/>
    <w:rsid w:val="262E2533"/>
    <w:rsid w:val="263A3182"/>
    <w:rsid w:val="26570C4B"/>
    <w:rsid w:val="26583B53"/>
    <w:rsid w:val="266876DA"/>
    <w:rsid w:val="267912AC"/>
    <w:rsid w:val="26A4077D"/>
    <w:rsid w:val="26A44261"/>
    <w:rsid w:val="26A57B72"/>
    <w:rsid w:val="26BB2124"/>
    <w:rsid w:val="26BD577A"/>
    <w:rsid w:val="26C0493F"/>
    <w:rsid w:val="26C14EEF"/>
    <w:rsid w:val="26D51FEF"/>
    <w:rsid w:val="26E20FE9"/>
    <w:rsid w:val="26E60A36"/>
    <w:rsid w:val="26E94DE4"/>
    <w:rsid w:val="26EC5D68"/>
    <w:rsid w:val="26ED4E51"/>
    <w:rsid w:val="26F851D5"/>
    <w:rsid w:val="26F92A28"/>
    <w:rsid w:val="272C3CC5"/>
    <w:rsid w:val="272D4EE1"/>
    <w:rsid w:val="272E0D57"/>
    <w:rsid w:val="27304F05"/>
    <w:rsid w:val="274C7086"/>
    <w:rsid w:val="274D1422"/>
    <w:rsid w:val="274F2647"/>
    <w:rsid w:val="276E6C81"/>
    <w:rsid w:val="278B7B24"/>
    <w:rsid w:val="278C389C"/>
    <w:rsid w:val="27A60580"/>
    <w:rsid w:val="27B16DAB"/>
    <w:rsid w:val="27B67EFB"/>
    <w:rsid w:val="27BF5B24"/>
    <w:rsid w:val="27E54BC2"/>
    <w:rsid w:val="27E85056"/>
    <w:rsid w:val="27F377F6"/>
    <w:rsid w:val="27F51A4F"/>
    <w:rsid w:val="27F53AFB"/>
    <w:rsid w:val="280356C1"/>
    <w:rsid w:val="28041431"/>
    <w:rsid w:val="281C4C20"/>
    <w:rsid w:val="2826114B"/>
    <w:rsid w:val="282E4323"/>
    <w:rsid w:val="283122A8"/>
    <w:rsid w:val="28394B73"/>
    <w:rsid w:val="283F661F"/>
    <w:rsid w:val="284727B8"/>
    <w:rsid w:val="2861580E"/>
    <w:rsid w:val="28690F59"/>
    <w:rsid w:val="286B3457"/>
    <w:rsid w:val="286F2BB2"/>
    <w:rsid w:val="28873999"/>
    <w:rsid w:val="28A23518"/>
    <w:rsid w:val="28B112DC"/>
    <w:rsid w:val="28C57065"/>
    <w:rsid w:val="28C8445F"/>
    <w:rsid w:val="28C92B27"/>
    <w:rsid w:val="28CD64C9"/>
    <w:rsid w:val="28D32D5A"/>
    <w:rsid w:val="28EA07E4"/>
    <w:rsid w:val="290B020C"/>
    <w:rsid w:val="290F02E0"/>
    <w:rsid w:val="2914481A"/>
    <w:rsid w:val="292639D6"/>
    <w:rsid w:val="2928376B"/>
    <w:rsid w:val="294D58D8"/>
    <w:rsid w:val="2962248F"/>
    <w:rsid w:val="297D17ED"/>
    <w:rsid w:val="29977D32"/>
    <w:rsid w:val="29A21154"/>
    <w:rsid w:val="29AC58EC"/>
    <w:rsid w:val="29AF0534"/>
    <w:rsid w:val="29AF20F4"/>
    <w:rsid w:val="29B665AC"/>
    <w:rsid w:val="29B84025"/>
    <w:rsid w:val="29DB4666"/>
    <w:rsid w:val="29EF0FA3"/>
    <w:rsid w:val="2A0609B2"/>
    <w:rsid w:val="2A171AFA"/>
    <w:rsid w:val="2A1738F0"/>
    <w:rsid w:val="2A1A518F"/>
    <w:rsid w:val="2A35454B"/>
    <w:rsid w:val="2A415297"/>
    <w:rsid w:val="2A4A7DC1"/>
    <w:rsid w:val="2A677CA8"/>
    <w:rsid w:val="2A6E026E"/>
    <w:rsid w:val="2A8320CC"/>
    <w:rsid w:val="2A8D625F"/>
    <w:rsid w:val="2A977349"/>
    <w:rsid w:val="2AA9230C"/>
    <w:rsid w:val="2AB47391"/>
    <w:rsid w:val="2ABB5AA9"/>
    <w:rsid w:val="2ACC15C7"/>
    <w:rsid w:val="2ADE61BC"/>
    <w:rsid w:val="2AEB5E29"/>
    <w:rsid w:val="2AEC2D35"/>
    <w:rsid w:val="2AF21067"/>
    <w:rsid w:val="2AF86188"/>
    <w:rsid w:val="2B0F3CBA"/>
    <w:rsid w:val="2B0F5B31"/>
    <w:rsid w:val="2B1A3027"/>
    <w:rsid w:val="2B2E2565"/>
    <w:rsid w:val="2B43250A"/>
    <w:rsid w:val="2B5E7C6F"/>
    <w:rsid w:val="2B62264C"/>
    <w:rsid w:val="2B643164"/>
    <w:rsid w:val="2B6A7747"/>
    <w:rsid w:val="2B7D3C27"/>
    <w:rsid w:val="2B805104"/>
    <w:rsid w:val="2B9D029C"/>
    <w:rsid w:val="2C0C17E0"/>
    <w:rsid w:val="2C0F0D1A"/>
    <w:rsid w:val="2C25328E"/>
    <w:rsid w:val="2C2A4C66"/>
    <w:rsid w:val="2C336597"/>
    <w:rsid w:val="2C422697"/>
    <w:rsid w:val="2C5129BE"/>
    <w:rsid w:val="2C5876E7"/>
    <w:rsid w:val="2C712DC0"/>
    <w:rsid w:val="2C772424"/>
    <w:rsid w:val="2C7C5C8D"/>
    <w:rsid w:val="2C7C7A3B"/>
    <w:rsid w:val="2C7F4490"/>
    <w:rsid w:val="2C844B41"/>
    <w:rsid w:val="2C8D37A6"/>
    <w:rsid w:val="2CA360A8"/>
    <w:rsid w:val="2CB97AED"/>
    <w:rsid w:val="2CC37066"/>
    <w:rsid w:val="2CD4199C"/>
    <w:rsid w:val="2CDA0C05"/>
    <w:rsid w:val="2CDB5335"/>
    <w:rsid w:val="2CE05F21"/>
    <w:rsid w:val="2CEE6160"/>
    <w:rsid w:val="2D043452"/>
    <w:rsid w:val="2D08313E"/>
    <w:rsid w:val="2D096DD5"/>
    <w:rsid w:val="2D322C15"/>
    <w:rsid w:val="2D377E06"/>
    <w:rsid w:val="2D3F3249"/>
    <w:rsid w:val="2D5131E6"/>
    <w:rsid w:val="2D531F79"/>
    <w:rsid w:val="2D5C0118"/>
    <w:rsid w:val="2D8A02CD"/>
    <w:rsid w:val="2D904AA2"/>
    <w:rsid w:val="2D974EE9"/>
    <w:rsid w:val="2DA25199"/>
    <w:rsid w:val="2DA8657D"/>
    <w:rsid w:val="2DB04802"/>
    <w:rsid w:val="2DB51229"/>
    <w:rsid w:val="2DBB1FC2"/>
    <w:rsid w:val="2DBC01B4"/>
    <w:rsid w:val="2DC118C0"/>
    <w:rsid w:val="2DD95502"/>
    <w:rsid w:val="2DDC0B9C"/>
    <w:rsid w:val="2DFC0F52"/>
    <w:rsid w:val="2DFC7AB3"/>
    <w:rsid w:val="2DFF1D40"/>
    <w:rsid w:val="2E06719B"/>
    <w:rsid w:val="2E126E25"/>
    <w:rsid w:val="2E136AA5"/>
    <w:rsid w:val="2E2A7997"/>
    <w:rsid w:val="2E3A1E59"/>
    <w:rsid w:val="2E476983"/>
    <w:rsid w:val="2E50690A"/>
    <w:rsid w:val="2E663E46"/>
    <w:rsid w:val="2E930678"/>
    <w:rsid w:val="2EAE2A4C"/>
    <w:rsid w:val="2ED42A36"/>
    <w:rsid w:val="2EDB23D1"/>
    <w:rsid w:val="2EE329A9"/>
    <w:rsid w:val="2EEE362A"/>
    <w:rsid w:val="2EF00F19"/>
    <w:rsid w:val="2F067332"/>
    <w:rsid w:val="2F171C9D"/>
    <w:rsid w:val="2F2148C9"/>
    <w:rsid w:val="2F2B0AFC"/>
    <w:rsid w:val="2F2D7712"/>
    <w:rsid w:val="2F392A60"/>
    <w:rsid w:val="2F444B8E"/>
    <w:rsid w:val="2F445E74"/>
    <w:rsid w:val="2F445F24"/>
    <w:rsid w:val="2F4912C9"/>
    <w:rsid w:val="2F553C0E"/>
    <w:rsid w:val="2F600CC5"/>
    <w:rsid w:val="2F601896"/>
    <w:rsid w:val="2F90775A"/>
    <w:rsid w:val="2F956463"/>
    <w:rsid w:val="2FA923BE"/>
    <w:rsid w:val="2FAA4FC6"/>
    <w:rsid w:val="2FB40713"/>
    <w:rsid w:val="2FD13B11"/>
    <w:rsid w:val="2FE456D1"/>
    <w:rsid w:val="2FF823FB"/>
    <w:rsid w:val="2FFD70E5"/>
    <w:rsid w:val="30055F99"/>
    <w:rsid w:val="3008714B"/>
    <w:rsid w:val="300E2F88"/>
    <w:rsid w:val="301D445D"/>
    <w:rsid w:val="301D650E"/>
    <w:rsid w:val="303B4CED"/>
    <w:rsid w:val="30427B90"/>
    <w:rsid w:val="30511CAE"/>
    <w:rsid w:val="30521C16"/>
    <w:rsid w:val="307B1892"/>
    <w:rsid w:val="3081266C"/>
    <w:rsid w:val="30A5355B"/>
    <w:rsid w:val="30B81EEA"/>
    <w:rsid w:val="30BA6D84"/>
    <w:rsid w:val="30BB3500"/>
    <w:rsid w:val="30E06ACA"/>
    <w:rsid w:val="30FF4A39"/>
    <w:rsid w:val="310D6ED5"/>
    <w:rsid w:val="31191D33"/>
    <w:rsid w:val="311C584B"/>
    <w:rsid w:val="312071B2"/>
    <w:rsid w:val="313F372D"/>
    <w:rsid w:val="31453715"/>
    <w:rsid w:val="314D6E54"/>
    <w:rsid w:val="31557E7B"/>
    <w:rsid w:val="316776D6"/>
    <w:rsid w:val="316C7AA1"/>
    <w:rsid w:val="31837ABD"/>
    <w:rsid w:val="31887B58"/>
    <w:rsid w:val="319B288F"/>
    <w:rsid w:val="31B12793"/>
    <w:rsid w:val="31D834D2"/>
    <w:rsid w:val="31D835C8"/>
    <w:rsid w:val="31DE2F46"/>
    <w:rsid w:val="31DE3C7B"/>
    <w:rsid w:val="31E41CE9"/>
    <w:rsid w:val="31F75EFF"/>
    <w:rsid w:val="31FA4F04"/>
    <w:rsid w:val="320C360F"/>
    <w:rsid w:val="3211598E"/>
    <w:rsid w:val="3223427F"/>
    <w:rsid w:val="32253768"/>
    <w:rsid w:val="32557EB6"/>
    <w:rsid w:val="326776AE"/>
    <w:rsid w:val="327E2047"/>
    <w:rsid w:val="328855E4"/>
    <w:rsid w:val="329E088F"/>
    <w:rsid w:val="32A475C4"/>
    <w:rsid w:val="32A9493D"/>
    <w:rsid w:val="32C13733"/>
    <w:rsid w:val="32C15A1E"/>
    <w:rsid w:val="32D20E13"/>
    <w:rsid w:val="32DA1C3C"/>
    <w:rsid w:val="32E13A28"/>
    <w:rsid w:val="32F92E88"/>
    <w:rsid w:val="32F96AA8"/>
    <w:rsid w:val="32FB79C5"/>
    <w:rsid w:val="331754E6"/>
    <w:rsid w:val="3335547E"/>
    <w:rsid w:val="334A5D82"/>
    <w:rsid w:val="334E7548"/>
    <w:rsid w:val="33546C9C"/>
    <w:rsid w:val="33574D5E"/>
    <w:rsid w:val="33590AD6"/>
    <w:rsid w:val="33636574"/>
    <w:rsid w:val="33646AD5"/>
    <w:rsid w:val="33665779"/>
    <w:rsid w:val="337558F7"/>
    <w:rsid w:val="33836288"/>
    <w:rsid w:val="339D5D33"/>
    <w:rsid w:val="33AE622E"/>
    <w:rsid w:val="33D55500"/>
    <w:rsid w:val="340978C3"/>
    <w:rsid w:val="340A166E"/>
    <w:rsid w:val="341D44C9"/>
    <w:rsid w:val="342121ED"/>
    <w:rsid w:val="342C7785"/>
    <w:rsid w:val="3435049D"/>
    <w:rsid w:val="343530F3"/>
    <w:rsid w:val="34525525"/>
    <w:rsid w:val="345F375A"/>
    <w:rsid w:val="34692B53"/>
    <w:rsid w:val="346F5230"/>
    <w:rsid w:val="34795B77"/>
    <w:rsid w:val="34873421"/>
    <w:rsid w:val="348C232D"/>
    <w:rsid w:val="348F3CC4"/>
    <w:rsid w:val="3492714D"/>
    <w:rsid w:val="34A70F65"/>
    <w:rsid w:val="34A72BA0"/>
    <w:rsid w:val="34AD46FA"/>
    <w:rsid w:val="34CC096F"/>
    <w:rsid w:val="34E07471"/>
    <w:rsid w:val="34F31940"/>
    <w:rsid w:val="351017D4"/>
    <w:rsid w:val="3522098E"/>
    <w:rsid w:val="352275ED"/>
    <w:rsid w:val="352769B2"/>
    <w:rsid w:val="35276A04"/>
    <w:rsid w:val="35365E57"/>
    <w:rsid w:val="353978DB"/>
    <w:rsid w:val="353E4427"/>
    <w:rsid w:val="354F3A03"/>
    <w:rsid w:val="3561037B"/>
    <w:rsid w:val="35693C08"/>
    <w:rsid w:val="357320AE"/>
    <w:rsid w:val="35750D11"/>
    <w:rsid w:val="35776803"/>
    <w:rsid w:val="3598340C"/>
    <w:rsid w:val="35AC34AA"/>
    <w:rsid w:val="35DD0411"/>
    <w:rsid w:val="35EF5721"/>
    <w:rsid w:val="35FF6696"/>
    <w:rsid w:val="36367635"/>
    <w:rsid w:val="36735DDA"/>
    <w:rsid w:val="3676199F"/>
    <w:rsid w:val="367D72E8"/>
    <w:rsid w:val="368158FA"/>
    <w:rsid w:val="369000BC"/>
    <w:rsid w:val="36AB4187"/>
    <w:rsid w:val="36B91801"/>
    <w:rsid w:val="36BB4631"/>
    <w:rsid w:val="36C450EA"/>
    <w:rsid w:val="36D8295A"/>
    <w:rsid w:val="36E508D2"/>
    <w:rsid w:val="36E56CEA"/>
    <w:rsid w:val="36ED45C2"/>
    <w:rsid w:val="36F33E3F"/>
    <w:rsid w:val="36F50F7A"/>
    <w:rsid w:val="37214503"/>
    <w:rsid w:val="37312019"/>
    <w:rsid w:val="373D6148"/>
    <w:rsid w:val="37722DAB"/>
    <w:rsid w:val="377460B1"/>
    <w:rsid w:val="37790091"/>
    <w:rsid w:val="37857701"/>
    <w:rsid w:val="37935938"/>
    <w:rsid w:val="37B95E1E"/>
    <w:rsid w:val="37C9239D"/>
    <w:rsid w:val="37E961A0"/>
    <w:rsid w:val="37FF2BF5"/>
    <w:rsid w:val="37FF5EC8"/>
    <w:rsid w:val="38086F32"/>
    <w:rsid w:val="381E03A7"/>
    <w:rsid w:val="382E68BB"/>
    <w:rsid w:val="38802A7B"/>
    <w:rsid w:val="388109FB"/>
    <w:rsid w:val="388163D9"/>
    <w:rsid w:val="38835502"/>
    <w:rsid w:val="38A3040B"/>
    <w:rsid w:val="38B93C34"/>
    <w:rsid w:val="38BB18EB"/>
    <w:rsid w:val="38CA3756"/>
    <w:rsid w:val="38CE00EA"/>
    <w:rsid w:val="38E819FF"/>
    <w:rsid w:val="38F10BD0"/>
    <w:rsid w:val="39060B1C"/>
    <w:rsid w:val="3918409D"/>
    <w:rsid w:val="39432B7F"/>
    <w:rsid w:val="396404E2"/>
    <w:rsid w:val="39660BB2"/>
    <w:rsid w:val="39677CC5"/>
    <w:rsid w:val="39694B31"/>
    <w:rsid w:val="396C7364"/>
    <w:rsid w:val="39727B89"/>
    <w:rsid w:val="39840742"/>
    <w:rsid w:val="398C5311"/>
    <w:rsid w:val="39A700C1"/>
    <w:rsid w:val="39AB2C0A"/>
    <w:rsid w:val="39AE222F"/>
    <w:rsid w:val="39B51940"/>
    <w:rsid w:val="39B7542A"/>
    <w:rsid w:val="39BD78E5"/>
    <w:rsid w:val="39CC413E"/>
    <w:rsid w:val="39D733F3"/>
    <w:rsid w:val="39FF6177"/>
    <w:rsid w:val="3A0177D1"/>
    <w:rsid w:val="3A042F7D"/>
    <w:rsid w:val="3A1D647A"/>
    <w:rsid w:val="3A1E4D78"/>
    <w:rsid w:val="3A3233DD"/>
    <w:rsid w:val="3A443801"/>
    <w:rsid w:val="3A443B62"/>
    <w:rsid w:val="3A5E0035"/>
    <w:rsid w:val="3A680062"/>
    <w:rsid w:val="3A7754FB"/>
    <w:rsid w:val="3A836438"/>
    <w:rsid w:val="3A90095D"/>
    <w:rsid w:val="3ABB6EE9"/>
    <w:rsid w:val="3AD35612"/>
    <w:rsid w:val="3AD63889"/>
    <w:rsid w:val="3ADC48A5"/>
    <w:rsid w:val="3B077069"/>
    <w:rsid w:val="3B1D4ADF"/>
    <w:rsid w:val="3B216DAF"/>
    <w:rsid w:val="3B2D429E"/>
    <w:rsid w:val="3B342DF9"/>
    <w:rsid w:val="3B40671F"/>
    <w:rsid w:val="3B421254"/>
    <w:rsid w:val="3B4A33FA"/>
    <w:rsid w:val="3B597325"/>
    <w:rsid w:val="3B5C3AF8"/>
    <w:rsid w:val="3B7B4841"/>
    <w:rsid w:val="3B861E17"/>
    <w:rsid w:val="3B875338"/>
    <w:rsid w:val="3B962BA9"/>
    <w:rsid w:val="3B96663F"/>
    <w:rsid w:val="3BC14B4C"/>
    <w:rsid w:val="3BC4735F"/>
    <w:rsid w:val="3BD27491"/>
    <w:rsid w:val="3BE8086F"/>
    <w:rsid w:val="3C035857"/>
    <w:rsid w:val="3C232FB8"/>
    <w:rsid w:val="3C2B4835"/>
    <w:rsid w:val="3C302844"/>
    <w:rsid w:val="3C346FC8"/>
    <w:rsid w:val="3C6029C0"/>
    <w:rsid w:val="3C6978B0"/>
    <w:rsid w:val="3C7B6ECA"/>
    <w:rsid w:val="3C835BE5"/>
    <w:rsid w:val="3C9E1825"/>
    <w:rsid w:val="3CA37C09"/>
    <w:rsid w:val="3CC2593E"/>
    <w:rsid w:val="3CF9265F"/>
    <w:rsid w:val="3CFC0724"/>
    <w:rsid w:val="3D053171"/>
    <w:rsid w:val="3D056D5A"/>
    <w:rsid w:val="3D2D739E"/>
    <w:rsid w:val="3D387AA6"/>
    <w:rsid w:val="3D3A6D34"/>
    <w:rsid w:val="3D3F6F8E"/>
    <w:rsid w:val="3D4203F1"/>
    <w:rsid w:val="3D487FC4"/>
    <w:rsid w:val="3D4D5030"/>
    <w:rsid w:val="3D581357"/>
    <w:rsid w:val="3D673E6D"/>
    <w:rsid w:val="3D7514AF"/>
    <w:rsid w:val="3D7C2832"/>
    <w:rsid w:val="3D9646D4"/>
    <w:rsid w:val="3D9D439C"/>
    <w:rsid w:val="3DA940B9"/>
    <w:rsid w:val="3DB04FD3"/>
    <w:rsid w:val="3DC24E9A"/>
    <w:rsid w:val="3DF134AA"/>
    <w:rsid w:val="3DF462C3"/>
    <w:rsid w:val="3E125F0B"/>
    <w:rsid w:val="3E173A3F"/>
    <w:rsid w:val="3E2B3E23"/>
    <w:rsid w:val="3E2B6CD1"/>
    <w:rsid w:val="3E2B76CA"/>
    <w:rsid w:val="3E3E7EE6"/>
    <w:rsid w:val="3E5A0659"/>
    <w:rsid w:val="3E686005"/>
    <w:rsid w:val="3E900B33"/>
    <w:rsid w:val="3E931162"/>
    <w:rsid w:val="3EAD5DCC"/>
    <w:rsid w:val="3EC62D97"/>
    <w:rsid w:val="3ED2489E"/>
    <w:rsid w:val="3EDA3100"/>
    <w:rsid w:val="3EF82D74"/>
    <w:rsid w:val="3EFC77D8"/>
    <w:rsid w:val="3F011085"/>
    <w:rsid w:val="3F191F84"/>
    <w:rsid w:val="3F1E4982"/>
    <w:rsid w:val="3F24019A"/>
    <w:rsid w:val="3F282BD9"/>
    <w:rsid w:val="3F3A042F"/>
    <w:rsid w:val="3F524B18"/>
    <w:rsid w:val="3F5642B0"/>
    <w:rsid w:val="3F6619C5"/>
    <w:rsid w:val="3F690816"/>
    <w:rsid w:val="3F7140F5"/>
    <w:rsid w:val="3F896774"/>
    <w:rsid w:val="3FA37EA3"/>
    <w:rsid w:val="3FAB3F3C"/>
    <w:rsid w:val="3FCC7787"/>
    <w:rsid w:val="3FCE2739"/>
    <w:rsid w:val="3FEA67EB"/>
    <w:rsid w:val="40261CF3"/>
    <w:rsid w:val="40302BBE"/>
    <w:rsid w:val="403B2A9D"/>
    <w:rsid w:val="4046718B"/>
    <w:rsid w:val="404B47FE"/>
    <w:rsid w:val="404D19C2"/>
    <w:rsid w:val="405B0FBF"/>
    <w:rsid w:val="406367F6"/>
    <w:rsid w:val="40752D1B"/>
    <w:rsid w:val="40913F93"/>
    <w:rsid w:val="40953369"/>
    <w:rsid w:val="409928E5"/>
    <w:rsid w:val="40CA028E"/>
    <w:rsid w:val="40E825ED"/>
    <w:rsid w:val="40EE0612"/>
    <w:rsid w:val="40FD19F9"/>
    <w:rsid w:val="411018B9"/>
    <w:rsid w:val="412B5F23"/>
    <w:rsid w:val="41350DA8"/>
    <w:rsid w:val="41452699"/>
    <w:rsid w:val="414712E6"/>
    <w:rsid w:val="415B6A48"/>
    <w:rsid w:val="4169503B"/>
    <w:rsid w:val="41A557EE"/>
    <w:rsid w:val="41A7646C"/>
    <w:rsid w:val="41B8730F"/>
    <w:rsid w:val="41D53C94"/>
    <w:rsid w:val="41DB7B41"/>
    <w:rsid w:val="41E040DE"/>
    <w:rsid w:val="41E33890"/>
    <w:rsid w:val="41EB2AB3"/>
    <w:rsid w:val="421546B0"/>
    <w:rsid w:val="422B2074"/>
    <w:rsid w:val="42342D2C"/>
    <w:rsid w:val="425608D6"/>
    <w:rsid w:val="426D44F3"/>
    <w:rsid w:val="426F0B0E"/>
    <w:rsid w:val="4278361D"/>
    <w:rsid w:val="427B634F"/>
    <w:rsid w:val="42800DA9"/>
    <w:rsid w:val="42876CE2"/>
    <w:rsid w:val="428F7412"/>
    <w:rsid w:val="429409DC"/>
    <w:rsid w:val="42994728"/>
    <w:rsid w:val="429F565A"/>
    <w:rsid w:val="42BF647C"/>
    <w:rsid w:val="42DD7FDF"/>
    <w:rsid w:val="43074C8F"/>
    <w:rsid w:val="43094CE9"/>
    <w:rsid w:val="430D368B"/>
    <w:rsid w:val="43234C5C"/>
    <w:rsid w:val="432D5ADB"/>
    <w:rsid w:val="43324E9F"/>
    <w:rsid w:val="43472434"/>
    <w:rsid w:val="435B2648"/>
    <w:rsid w:val="4363359A"/>
    <w:rsid w:val="436E63DD"/>
    <w:rsid w:val="43A20323"/>
    <w:rsid w:val="43DB5141"/>
    <w:rsid w:val="43E01557"/>
    <w:rsid w:val="43E10B3A"/>
    <w:rsid w:val="43EC2808"/>
    <w:rsid w:val="43F11EF9"/>
    <w:rsid w:val="43F5638C"/>
    <w:rsid w:val="44084643"/>
    <w:rsid w:val="44091B8D"/>
    <w:rsid w:val="440D66AC"/>
    <w:rsid w:val="442224C6"/>
    <w:rsid w:val="4422442A"/>
    <w:rsid w:val="442A71D3"/>
    <w:rsid w:val="44506C30"/>
    <w:rsid w:val="44557636"/>
    <w:rsid w:val="445D7FC4"/>
    <w:rsid w:val="446077EA"/>
    <w:rsid w:val="446217C8"/>
    <w:rsid w:val="446824B0"/>
    <w:rsid w:val="44693002"/>
    <w:rsid w:val="44803D71"/>
    <w:rsid w:val="44906321"/>
    <w:rsid w:val="44B30445"/>
    <w:rsid w:val="44C141C3"/>
    <w:rsid w:val="44CF7A97"/>
    <w:rsid w:val="44E86501"/>
    <w:rsid w:val="45156055"/>
    <w:rsid w:val="45325D93"/>
    <w:rsid w:val="45343151"/>
    <w:rsid w:val="45462E19"/>
    <w:rsid w:val="45464A34"/>
    <w:rsid w:val="456357E4"/>
    <w:rsid w:val="457C6CA0"/>
    <w:rsid w:val="4582269B"/>
    <w:rsid w:val="459C5647"/>
    <w:rsid w:val="45A831F7"/>
    <w:rsid w:val="45AD6173"/>
    <w:rsid w:val="45B052B0"/>
    <w:rsid w:val="45C65928"/>
    <w:rsid w:val="45CA6282"/>
    <w:rsid w:val="45E763A0"/>
    <w:rsid w:val="45F83EEA"/>
    <w:rsid w:val="45FD1795"/>
    <w:rsid w:val="46221BE8"/>
    <w:rsid w:val="462E6F30"/>
    <w:rsid w:val="464B42E2"/>
    <w:rsid w:val="46516CA2"/>
    <w:rsid w:val="46560EA5"/>
    <w:rsid w:val="465667F3"/>
    <w:rsid w:val="4661116D"/>
    <w:rsid w:val="46615C75"/>
    <w:rsid w:val="4669719A"/>
    <w:rsid w:val="466F73F9"/>
    <w:rsid w:val="46811F3E"/>
    <w:rsid w:val="469D0194"/>
    <w:rsid w:val="46A249D3"/>
    <w:rsid w:val="46AC4F69"/>
    <w:rsid w:val="46B71412"/>
    <w:rsid w:val="46B81B60"/>
    <w:rsid w:val="46C713E8"/>
    <w:rsid w:val="46C8454D"/>
    <w:rsid w:val="46E45AF9"/>
    <w:rsid w:val="46FC6684"/>
    <w:rsid w:val="470A018B"/>
    <w:rsid w:val="47176298"/>
    <w:rsid w:val="47181962"/>
    <w:rsid w:val="473C00AD"/>
    <w:rsid w:val="47411626"/>
    <w:rsid w:val="474A1F92"/>
    <w:rsid w:val="474E39F5"/>
    <w:rsid w:val="475D02C4"/>
    <w:rsid w:val="476002D2"/>
    <w:rsid w:val="47731615"/>
    <w:rsid w:val="477C24BE"/>
    <w:rsid w:val="47824475"/>
    <w:rsid w:val="478E0AAF"/>
    <w:rsid w:val="4796425D"/>
    <w:rsid w:val="47A52DC3"/>
    <w:rsid w:val="47AA7A75"/>
    <w:rsid w:val="47C118C5"/>
    <w:rsid w:val="47E514AB"/>
    <w:rsid w:val="47E7363D"/>
    <w:rsid w:val="47E744AA"/>
    <w:rsid w:val="480A2AF6"/>
    <w:rsid w:val="48103BBD"/>
    <w:rsid w:val="481161CC"/>
    <w:rsid w:val="482A37B7"/>
    <w:rsid w:val="483D40CA"/>
    <w:rsid w:val="48466A0C"/>
    <w:rsid w:val="484B4D8D"/>
    <w:rsid w:val="485A79CB"/>
    <w:rsid w:val="48830B4B"/>
    <w:rsid w:val="48AE3704"/>
    <w:rsid w:val="48C867A5"/>
    <w:rsid w:val="48FD25AA"/>
    <w:rsid w:val="4902013C"/>
    <w:rsid w:val="49074670"/>
    <w:rsid w:val="49095033"/>
    <w:rsid w:val="49177C78"/>
    <w:rsid w:val="491E7603"/>
    <w:rsid w:val="492A3ABB"/>
    <w:rsid w:val="492D0FDA"/>
    <w:rsid w:val="49316F70"/>
    <w:rsid w:val="495518E8"/>
    <w:rsid w:val="49630D88"/>
    <w:rsid w:val="4968786D"/>
    <w:rsid w:val="497951A0"/>
    <w:rsid w:val="498A7175"/>
    <w:rsid w:val="49906D5D"/>
    <w:rsid w:val="49945FFA"/>
    <w:rsid w:val="49B52386"/>
    <w:rsid w:val="49D66254"/>
    <w:rsid w:val="49DD73A3"/>
    <w:rsid w:val="49E06F2C"/>
    <w:rsid w:val="49E9759C"/>
    <w:rsid w:val="49FE1E46"/>
    <w:rsid w:val="4A05330E"/>
    <w:rsid w:val="4A0F7CE8"/>
    <w:rsid w:val="4A174DEF"/>
    <w:rsid w:val="4A1F118E"/>
    <w:rsid w:val="4A805E65"/>
    <w:rsid w:val="4A851D59"/>
    <w:rsid w:val="4A9E77DA"/>
    <w:rsid w:val="4AA32C82"/>
    <w:rsid w:val="4AA85A47"/>
    <w:rsid w:val="4AAD3591"/>
    <w:rsid w:val="4AC544BB"/>
    <w:rsid w:val="4ACE31B8"/>
    <w:rsid w:val="4AD54C00"/>
    <w:rsid w:val="4AD64009"/>
    <w:rsid w:val="4ADD3208"/>
    <w:rsid w:val="4AE20FB6"/>
    <w:rsid w:val="4AE42F23"/>
    <w:rsid w:val="4AEB6815"/>
    <w:rsid w:val="4B2C4CC9"/>
    <w:rsid w:val="4B2E419E"/>
    <w:rsid w:val="4B301ACF"/>
    <w:rsid w:val="4B46215F"/>
    <w:rsid w:val="4B717309"/>
    <w:rsid w:val="4B75264A"/>
    <w:rsid w:val="4B8616A8"/>
    <w:rsid w:val="4B97407A"/>
    <w:rsid w:val="4B9C34EA"/>
    <w:rsid w:val="4BA8078D"/>
    <w:rsid w:val="4BA93318"/>
    <w:rsid w:val="4BA95F1B"/>
    <w:rsid w:val="4BB7357F"/>
    <w:rsid w:val="4BC4164C"/>
    <w:rsid w:val="4BD00919"/>
    <w:rsid w:val="4BD60BC9"/>
    <w:rsid w:val="4BF63CBE"/>
    <w:rsid w:val="4BF94CF7"/>
    <w:rsid w:val="4C177328"/>
    <w:rsid w:val="4C1A156A"/>
    <w:rsid w:val="4C207F8B"/>
    <w:rsid w:val="4C210260"/>
    <w:rsid w:val="4C297B4D"/>
    <w:rsid w:val="4C513C42"/>
    <w:rsid w:val="4C567637"/>
    <w:rsid w:val="4C68384C"/>
    <w:rsid w:val="4C76404F"/>
    <w:rsid w:val="4C9C1771"/>
    <w:rsid w:val="4CA84C41"/>
    <w:rsid w:val="4CB411BC"/>
    <w:rsid w:val="4CB54313"/>
    <w:rsid w:val="4CB90C09"/>
    <w:rsid w:val="4CBC2952"/>
    <w:rsid w:val="4CBC32F1"/>
    <w:rsid w:val="4CC63BCF"/>
    <w:rsid w:val="4CD4216F"/>
    <w:rsid w:val="4CFA6A2E"/>
    <w:rsid w:val="4D066AEF"/>
    <w:rsid w:val="4D0B57F7"/>
    <w:rsid w:val="4D26727B"/>
    <w:rsid w:val="4D281F1A"/>
    <w:rsid w:val="4D2B22EC"/>
    <w:rsid w:val="4D2D02DE"/>
    <w:rsid w:val="4D3A40DE"/>
    <w:rsid w:val="4D405F2E"/>
    <w:rsid w:val="4D473198"/>
    <w:rsid w:val="4D4D4165"/>
    <w:rsid w:val="4D4D7CB5"/>
    <w:rsid w:val="4D55776A"/>
    <w:rsid w:val="4D5F0F87"/>
    <w:rsid w:val="4D862070"/>
    <w:rsid w:val="4D89273B"/>
    <w:rsid w:val="4D9145CE"/>
    <w:rsid w:val="4DAA7254"/>
    <w:rsid w:val="4DAE5A6A"/>
    <w:rsid w:val="4DBE346C"/>
    <w:rsid w:val="4DCD7C9F"/>
    <w:rsid w:val="4DDA74F9"/>
    <w:rsid w:val="4DDB62DA"/>
    <w:rsid w:val="4DDE38D0"/>
    <w:rsid w:val="4DE20732"/>
    <w:rsid w:val="4DE374C2"/>
    <w:rsid w:val="4E0324FD"/>
    <w:rsid w:val="4E0A25AE"/>
    <w:rsid w:val="4E111A60"/>
    <w:rsid w:val="4E175B19"/>
    <w:rsid w:val="4E255D2C"/>
    <w:rsid w:val="4E3C4E24"/>
    <w:rsid w:val="4E431E74"/>
    <w:rsid w:val="4E4B18F1"/>
    <w:rsid w:val="4E4C388B"/>
    <w:rsid w:val="4E5F40D4"/>
    <w:rsid w:val="4E6429AC"/>
    <w:rsid w:val="4E6A04CC"/>
    <w:rsid w:val="4E6A42A0"/>
    <w:rsid w:val="4E6C5709"/>
    <w:rsid w:val="4E8F0B9D"/>
    <w:rsid w:val="4EA80406"/>
    <w:rsid w:val="4EB04BF8"/>
    <w:rsid w:val="4EBD0DF8"/>
    <w:rsid w:val="4EC60287"/>
    <w:rsid w:val="4ECA3ECB"/>
    <w:rsid w:val="4ED60DD5"/>
    <w:rsid w:val="4EDB73C0"/>
    <w:rsid w:val="4EDD03B5"/>
    <w:rsid w:val="4F1134DF"/>
    <w:rsid w:val="4F155DF7"/>
    <w:rsid w:val="4F280E7A"/>
    <w:rsid w:val="4F2D3DA8"/>
    <w:rsid w:val="4F3A75B6"/>
    <w:rsid w:val="4F5A08DF"/>
    <w:rsid w:val="4F645E04"/>
    <w:rsid w:val="4FA354E5"/>
    <w:rsid w:val="4FB2095F"/>
    <w:rsid w:val="4FB214FE"/>
    <w:rsid w:val="4FBB7979"/>
    <w:rsid w:val="4FC9531E"/>
    <w:rsid w:val="4FC972A7"/>
    <w:rsid w:val="4FE7363D"/>
    <w:rsid w:val="50024740"/>
    <w:rsid w:val="50025BF9"/>
    <w:rsid w:val="500F0FD4"/>
    <w:rsid w:val="501D7BDC"/>
    <w:rsid w:val="502B02F9"/>
    <w:rsid w:val="50316F96"/>
    <w:rsid w:val="50544A78"/>
    <w:rsid w:val="50625B3A"/>
    <w:rsid w:val="50632029"/>
    <w:rsid w:val="5069558E"/>
    <w:rsid w:val="507854D6"/>
    <w:rsid w:val="508C7F06"/>
    <w:rsid w:val="50A67365"/>
    <w:rsid w:val="50AD1835"/>
    <w:rsid w:val="50AF7B2F"/>
    <w:rsid w:val="50B8382A"/>
    <w:rsid w:val="50D11C1B"/>
    <w:rsid w:val="50D61560"/>
    <w:rsid w:val="50DD1D25"/>
    <w:rsid w:val="50E7376D"/>
    <w:rsid w:val="50EA73C4"/>
    <w:rsid w:val="50F86935"/>
    <w:rsid w:val="50F95692"/>
    <w:rsid w:val="51002139"/>
    <w:rsid w:val="51140024"/>
    <w:rsid w:val="51186119"/>
    <w:rsid w:val="511D2C79"/>
    <w:rsid w:val="512C5624"/>
    <w:rsid w:val="51321BB6"/>
    <w:rsid w:val="5137195F"/>
    <w:rsid w:val="51465F14"/>
    <w:rsid w:val="51510631"/>
    <w:rsid w:val="516728DB"/>
    <w:rsid w:val="5169448E"/>
    <w:rsid w:val="51732E0C"/>
    <w:rsid w:val="51774CA3"/>
    <w:rsid w:val="519349D3"/>
    <w:rsid w:val="51A258E6"/>
    <w:rsid w:val="51AF2B05"/>
    <w:rsid w:val="51B22A95"/>
    <w:rsid w:val="51E25646"/>
    <w:rsid w:val="51F23E8F"/>
    <w:rsid w:val="5201260D"/>
    <w:rsid w:val="52024883"/>
    <w:rsid w:val="5204701C"/>
    <w:rsid w:val="520832BD"/>
    <w:rsid w:val="52335DFB"/>
    <w:rsid w:val="527466B7"/>
    <w:rsid w:val="527851EC"/>
    <w:rsid w:val="52923265"/>
    <w:rsid w:val="52AA11D3"/>
    <w:rsid w:val="52B23CBC"/>
    <w:rsid w:val="52C6305F"/>
    <w:rsid w:val="52C74B5B"/>
    <w:rsid w:val="52CC6014"/>
    <w:rsid w:val="52D13630"/>
    <w:rsid w:val="52D613DA"/>
    <w:rsid w:val="52D74DF5"/>
    <w:rsid w:val="52D95337"/>
    <w:rsid w:val="53021763"/>
    <w:rsid w:val="53281E1B"/>
    <w:rsid w:val="532D7F79"/>
    <w:rsid w:val="53331C8C"/>
    <w:rsid w:val="53392C60"/>
    <w:rsid w:val="533C2330"/>
    <w:rsid w:val="537517FC"/>
    <w:rsid w:val="53824EE5"/>
    <w:rsid w:val="53837051"/>
    <w:rsid w:val="538817FA"/>
    <w:rsid w:val="53A360D8"/>
    <w:rsid w:val="53A956B5"/>
    <w:rsid w:val="53BC2CAC"/>
    <w:rsid w:val="53BD11C4"/>
    <w:rsid w:val="53BE058F"/>
    <w:rsid w:val="53EB1F23"/>
    <w:rsid w:val="53F7629E"/>
    <w:rsid w:val="540135DE"/>
    <w:rsid w:val="54081667"/>
    <w:rsid w:val="540D4C85"/>
    <w:rsid w:val="541A4642"/>
    <w:rsid w:val="541B5E85"/>
    <w:rsid w:val="54212EFC"/>
    <w:rsid w:val="54214C19"/>
    <w:rsid w:val="54225EF4"/>
    <w:rsid w:val="54302D35"/>
    <w:rsid w:val="543214BB"/>
    <w:rsid w:val="545333E8"/>
    <w:rsid w:val="546A6470"/>
    <w:rsid w:val="546B1950"/>
    <w:rsid w:val="546C00AE"/>
    <w:rsid w:val="547A5087"/>
    <w:rsid w:val="547B54A6"/>
    <w:rsid w:val="548855E4"/>
    <w:rsid w:val="54901A26"/>
    <w:rsid w:val="54970E7F"/>
    <w:rsid w:val="549A5D50"/>
    <w:rsid w:val="54AF247D"/>
    <w:rsid w:val="54E3424B"/>
    <w:rsid w:val="54E9606F"/>
    <w:rsid w:val="54EE2EA3"/>
    <w:rsid w:val="54EF499E"/>
    <w:rsid w:val="55212F4E"/>
    <w:rsid w:val="55257EBD"/>
    <w:rsid w:val="552F4050"/>
    <w:rsid w:val="55356C1B"/>
    <w:rsid w:val="55356CA3"/>
    <w:rsid w:val="55416B61"/>
    <w:rsid w:val="554C2501"/>
    <w:rsid w:val="55841D62"/>
    <w:rsid w:val="55855303"/>
    <w:rsid w:val="559F569C"/>
    <w:rsid w:val="55B003E1"/>
    <w:rsid w:val="55C42A6B"/>
    <w:rsid w:val="55D06A26"/>
    <w:rsid w:val="55D1383D"/>
    <w:rsid w:val="55D6582E"/>
    <w:rsid w:val="55EB160A"/>
    <w:rsid w:val="560A3DC5"/>
    <w:rsid w:val="56137538"/>
    <w:rsid w:val="562D06F0"/>
    <w:rsid w:val="56335764"/>
    <w:rsid w:val="5645121E"/>
    <w:rsid w:val="56463D77"/>
    <w:rsid w:val="564927D4"/>
    <w:rsid w:val="56633E3F"/>
    <w:rsid w:val="566B4549"/>
    <w:rsid w:val="566E52C9"/>
    <w:rsid w:val="56791E49"/>
    <w:rsid w:val="56952723"/>
    <w:rsid w:val="56C056E0"/>
    <w:rsid w:val="56C7506B"/>
    <w:rsid w:val="56E9260C"/>
    <w:rsid w:val="56F30B90"/>
    <w:rsid w:val="56F3629C"/>
    <w:rsid w:val="57052952"/>
    <w:rsid w:val="57081D47"/>
    <w:rsid w:val="57283E0B"/>
    <w:rsid w:val="57306337"/>
    <w:rsid w:val="575B27BF"/>
    <w:rsid w:val="5795615F"/>
    <w:rsid w:val="579C6348"/>
    <w:rsid w:val="579C6E80"/>
    <w:rsid w:val="57A97FF6"/>
    <w:rsid w:val="57B05C93"/>
    <w:rsid w:val="57B53FFB"/>
    <w:rsid w:val="57BB55AC"/>
    <w:rsid w:val="57CB2067"/>
    <w:rsid w:val="57D83E10"/>
    <w:rsid w:val="57FD72B8"/>
    <w:rsid w:val="580C04C4"/>
    <w:rsid w:val="58201313"/>
    <w:rsid w:val="5828345F"/>
    <w:rsid w:val="582C109C"/>
    <w:rsid w:val="583019E9"/>
    <w:rsid w:val="583E6191"/>
    <w:rsid w:val="58443F8B"/>
    <w:rsid w:val="584F41FB"/>
    <w:rsid w:val="585B1212"/>
    <w:rsid w:val="586F0C14"/>
    <w:rsid w:val="587F428B"/>
    <w:rsid w:val="58986C22"/>
    <w:rsid w:val="589A53DC"/>
    <w:rsid w:val="589A7317"/>
    <w:rsid w:val="58A645EB"/>
    <w:rsid w:val="58B54896"/>
    <w:rsid w:val="58C425E6"/>
    <w:rsid w:val="58CD52F3"/>
    <w:rsid w:val="58E24461"/>
    <w:rsid w:val="58E6430A"/>
    <w:rsid w:val="5918236E"/>
    <w:rsid w:val="592C090B"/>
    <w:rsid w:val="592F4D5F"/>
    <w:rsid w:val="595C2B88"/>
    <w:rsid w:val="595E6596"/>
    <w:rsid w:val="59782434"/>
    <w:rsid w:val="597B65D4"/>
    <w:rsid w:val="597D5AB7"/>
    <w:rsid w:val="598D4786"/>
    <w:rsid w:val="598D76F3"/>
    <w:rsid w:val="599F0BEF"/>
    <w:rsid w:val="59AC73A5"/>
    <w:rsid w:val="59BB4918"/>
    <w:rsid w:val="59C940C7"/>
    <w:rsid w:val="59C94287"/>
    <w:rsid w:val="59DA6BF7"/>
    <w:rsid w:val="59EA6E92"/>
    <w:rsid w:val="59F34F31"/>
    <w:rsid w:val="59F51697"/>
    <w:rsid w:val="5A044136"/>
    <w:rsid w:val="5A0650E4"/>
    <w:rsid w:val="5A0802B0"/>
    <w:rsid w:val="5A0B2A38"/>
    <w:rsid w:val="5A1B4AF4"/>
    <w:rsid w:val="5A1F6067"/>
    <w:rsid w:val="5A2823FD"/>
    <w:rsid w:val="5A2B50A3"/>
    <w:rsid w:val="5A315C47"/>
    <w:rsid w:val="5A470DA7"/>
    <w:rsid w:val="5A4968FF"/>
    <w:rsid w:val="5A4A7FB1"/>
    <w:rsid w:val="5A4B12D2"/>
    <w:rsid w:val="5A4C63EF"/>
    <w:rsid w:val="5A5B6EB3"/>
    <w:rsid w:val="5A785436"/>
    <w:rsid w:val="5A897C95"/>
    <w:rsid w:val="5AA31F68"/>
    <w:rsid w:val="5ABF4E13"/>
    <w:rsid w:val="5AD751DB"/>
    <w:rsid w:val="5AE1370B"/>
    <w:rsid w:val="5AE44879"/>
    <w:rsid w:val="5B0E18F6"/>
    <w:rsid w:val="5B0F5D9A"/>
    <w:rsid w:val="5B124083"/>
    <w:rsid w:val="5B182775"/>
    <w:rsid w:val="5B3E0218"/>
    <w:rsid w:val="5B637E94"/>
    <w:rsid w:val="5B6C1A0E"/>
    <w:rsid w:val="5B6C540B"/>
    <w:rsid w:val="5B713816"/>
    <w:rsid w:val="5B740F76"/>
    <w:rsid w:val="5B7713D8"/>
    <w:rsid w:val="5B8D1AC1"/>
    <w:rsid w:val="5B9A4EF8"/>
    <w:rsid w:val="5BAD4574"/>
    <w:rsid w:val="5BB03C7E"/>
    <w:rsid w:val="5BBA2FF8"/>
    <w:rsid w:val="5BD052BE"/>
    <w:rsid w:val="5BD60FBC"/>
    <w:rsid w:val="5BD9413E"/>
    <w:rsid w:val="5BE641C0"/>
    <w:rsid w:val="5BE8603E"/>
    <w:rsid w:val="5BE97367"/>
    <w:rsid w:val="5BFA4D72"/>
    <w:rsid w:val="5C075F07"/>
    <w:rsid w:val="5C120482"/>
    <w:rsid w:val="5C1C603C"/>
    <w:rsid w:val="5C205086"/>
    <w:rsid w:val="5C206FF9"/>
    <w:rsid w:val="5C4C36A7"/>
    <w:rsid w:val="5C531996"/>
    <w:rsid w:val="5C5B3413"/>
    <w:rsid w:val="5C5D6916"/>
    <w:rsid w:val="5C7D5632"/>
    <w:rsid w:val="5C8704A4"/>
    <w:rsid w:val="5C8A1684"/>
    <w:rsid w:val="5C8E5E6A"/>
    <w:rsid w:val="5C966095"/>
    <w:rsid w:val="5CA02A22"/>
    <w:rsid w:val="5CDC7BFC"/>
    <w:rsid w:val="5CDF354A"/>
    <w:rsid w:val="5CEA58C1"/>
    <w:rsid w:val="5CFB5EAA"/>
    <w:rsid w:val="5CFF7E4D"/>
    <w:rsid w:val="5D1019B9"/>
    <w:rsid w:val="5D216FDE"/>
    <w:rsid w:val="5D2C5CEA"/>
    <w:rsid w:val="5D514C25"/>
    <w:rsid w:val="5D6A5CF1"/>
    <w:rsid w:val="5D795C02"/>
    <w:rsid w:val="5D9B3533"/>
    <w:rsid w:val="5DB17164"/>
    <w:rsid w:val="5DBB5D65"/>
    <w:rsid w:val="5DBD21F0"/>
    <w:rsid w:val="5DC1648D"/>
    <w:rsid w:val="5DD07337"/>
    <w:rsid w:val="5DD57C8D"/>
    <w:rsid w:val="5DD60701"/>
    <w:rsid w:val="5DDB4B89"/>
    <w:rsid w:val="5DDC260A"/>
    <w:rsid w:val="5DE01F55"/>
    <w:rsid w:val="5DF70D68"/>
    <w:rsid w:val="5E2002BE"/>
    <w:rsid w:val="5E370EEC"/>
    <w:rsid w:val="5E3E6E2C"/>
    <w:rsid w:val="5E67476D"/>
    <w:rsid w:val="5E6B2B26"/>
    <w:rsid w:val="5E71553F"/>
    <w:rsid w:val="5EA507C4"/>
    <w:rsid w:val="5EA762EA"/>
    <w:rsid w:val="5EA964DB"/>
    <w:rsid w:val="5EAA2FDD"/>
    <w:rsid w:val="5EBC6C6A"/>
    <w:rsid w:val="5EDA3F51"/>
    <w:rsid w:val="5EF77271"/>
    <w:rsid w:val="5EFB027D"/>
    <w:rsid w:val="5F0379C8"/>
    <w:rsid w:val="5F1120BF"/>
    <w:rsid w:val="5F181FAD"/>
    <w:rsid w:val="5F230066"/>
    <w:rsid w:val="5F2457B7"/>
    <w:rsid w:val="5F301A83"/>
    <w:rsid w:val="5F384AC5"/>
    <w:rsid w:val="5F462150"/>
    <w:rsid w:val="5F507BE6"/>
    <w:rsid w:val="5F7761D6"/>
    <w:rsid w:val="5F94195C"/>
    <w:rsid w:val="5FC85693"/>
    <w:rsid w:val="5FD638C0"/>
    <w:rsid w:val="5FE134EE"/>
    <w:rsid w:val="5FE32C3E"/>
    <w:rsid w:val="5FF20BEA"/>
    <w:rsid w:val="5FF81680"/>
    <w:rsid w:val="6012002C"/>
    <w:rsid w:val="604265FC"/>
    <w:rsid w:val="604C6F0D"/>
    <w:rsid w:val="60536A6E"/>
    <w:rsid w:val="60546516"/>
    <w:rsid w:val="60565C87"/>
    <w:rsid w:val="605E782B"/>
    <w:rsid w:val="606742D6"/>
    <w:rsid w:val="607B17DC"/>
    <w:rsid w:val="60830F1F"/>
    <w:rsid w:val="60A16616"/>
    <w:rsid w:val="60BE0144"/>
    <w:rsid w:val="60C47266"/>
    <w:rsid w:val="60CF4D3C"/>
    <w:rsid w:val="60DA2AE3"/>
    <w:rsid w:val="60E22D91"/>
    <w:rsid w:val="60EF5D26"/>
    <w:rsid w:val="60F41C77"/>
    <w:rsid w:val="6106763F"/>
    <w:rsid w:val="611D3A4D"/>
    <w:rsid w:val="6172141B"/>
    <w:rsid w:val="6185210C"/>
    <w:rsid w:val="61967E27"/>
    <w:rsid w:val="61B77BE1"/>
    <w:rsid w:val="61D14789"/>
    <w:rsid w:val="61D90EB0"/>
    <w:rsid w:val="61DA7617"/>
    <w:rsid w:val="61DE0EB4"/>
    <w:rsid w:val="61E83AEE"/>
    <w:rsid w:val="61EA5C06"/>
    <w:rsid w:val="61F335EF"/>
    <w:rsid w:val="61FE74DB"/>
    <w:rsid w:val="620057B1"/>
    <w:rsid w:val="620063F9"/>
    <w:rsid w:val="62147C10"/>
    <w:rsid w:val="621A7F9F"/>
    <w:rsid w:val="622909C8"/>
    <w:rsid w:val="6237077A"/>
    <w:rsid w:val="62377985"/>
    <w:rsid w:val="624C6651"/>
    <w:rsid w:val="6256605D"/>
    <w:rsid w:val="62685D90"/>
    <w:rsid w:val="628B008B"/>
    <w:rsid w:val="628F77C1"/>
    <w:rsid w:val="62A35548"/>
    <w:rsid w:val="62C21086"/>
    <w:rsid w:val="62DD677E"/>
    <w:rsid w:val="62E650EC"/>
    <w:rsid w:val="62E70A4E"/>
    <w:rsid w:val="62EC0759"/>
    <w:rsid w:val="62F7753C"/>
    <w:rsid w:val="630B54CD"/>
    <w:rsid w:val="631B6DA6"/>
    <w:rsid w:val="63287D19"/>
    <w:rsid w:val="633D260C"/>
    <w:rsid w:val="634024BF"/>
    <w:rsid w:val="6343305F"/>
    <w:rsid w:val="63471D6C"/>
    <w:rsid w:val="6353091E"/>
    <w:rsid w:val="636F3027"/>
    <w:rsid w:val="6379439E"/>
    <w:rsid w:val="637D2246"/>
    <w:rsid w:val="637D59E7"/>
    <w:rsid w:val="63A3183F"/>
    <w:rsid w:val="63A9438F"/>
    <w:rsid w:val="63D5394F"/>
    <w:rsid w:val="63D835CB"/>
    <w:rsid w:val="63D86F45"/>
    <w:rsid w:val="63E5256A"/>
    <w:rsid w:val="63E57BC3"/>
    <w:rsid w:val="63F3652B"/>
    <w:rsid w:val="63F60D64"/>
    <w:rsid w:val="64002BE9"/>
    <w:rsid w:val="64257D19"/>
    <w:rsid w:val="6449273D"/>
    <w:rsid w:val="644D1889"/>
    <w:rsid w:val="645C1924"/>
    <w:rsid w:val="646A0BCA"/>
    <w:rsid w:val="647B6B4E"/>
    <w:rsid w:val="649346A4"/>
    <w:rsid w:val="64A22A05"/>
    <w:rsid w:val="64A66831"/>
    <w:rsid w:val="64A80C46"/>
    <w:rsid w:val="64A94CC9"/>
    <w:rsid w:val="64AE103A"/>
    <w:rsid w:val="64D73325"/>
    <w:rsid w:val="64F15ED6"/>
    <w:rsid w:val="650818AE"/>
    <w:rsid w:val="65136974"/>
    <w:rsid w:val="65256370"/>
    <w:rsid w:val="65257F68"/>
    <w:rsid w:val="652F32A0"/>
    <w:rsid w:val="65377F11"/>
    <w:rsid w:val="653D642D"/>
    <w:rsid w:val="654C7BEB"/>
    <w:rsid w:val="657C558F"/>
    <w:rsid w:val="657F0712"/>
    <w:rsid w:val="65925606"/>
    <w:rsid w:val="65960498"/>
    <w:rsid w:val="65AE6534"/>
    <w:rsid w:val="65B905E2"/>
    <w:rsid w:val="65C01B73"/>
    <w:rsid w:val="65CF0D57"/>
    <w:rsid w:val="65DC00EE"/>
    <w:rsid w:val="65EA10FD"/>
    <w:rsid w:val="65EC561E"/>
    <w:rsid w:val="65F67148"/>
    <w:rsid w:val="661F791D"/>
    <w:rsid w:val="662551C7"/>
    <w:rsid w:val="662D1B30"/>
    <w:rsid w:val="662E6A60"/>
    <w:rsid w:val="66501CFD"/>
    <w:rsid w:val="66554BDA"/>
    <w:rsid w:val="665761F7"/>
    <w:rsid w:val="665F1585"/>
    <w:rsid w:val="66633B2F"/>
    <w:rsid w:val="66774FF1"/>
    <w:rsid w:val="668D432D"/>
    <w:rsid w:val="669252E2"/>
    <w:rsid w:val="669F0B6A"/>
    <w:rsid w:val="66A562F6"/>
    <w:rsid w:val="66A907A3"/>
    <w:rsid w:val="66B4639E"/>
    <w:rsid w:val="66B50CDB"/>
    <w:rsid w:val="66BC2B4E"/>
    <w:rsid w:val="66C05638"/>
    <w:rsid w:val="66CE6250"/>
    <w:rsid w:val="66D04506"/>
    <w:rsid w:val="66E16432"/>
    <w:rsid w:val="66E90098"/>
    <w:rsid w:val="66F02231"/>
    <w:rsid w:val="671465AA"/>
    <w:rsid w:val="679348FA"/>
    <w:rsid w:val="6796339F"/>
    <w:rsid w:val="67AE7B86"/>
    <w:rsid w:val="67BC5ABE"/>
    <w:rsid w:val="67D12054"/>
    <w:rsid w:val="67D5426E"/>
    <w:rsid w:val="67D63BC9"/>
    <w:rsid w:val="67DE6955"/>
    <w:rsid w:val="67EA7FB0"/>
    <w:rsid w:val="68003DE3"/>
    <w:rsid w:val="68070B84"/>
    <w:rsid w:val="68096DE4"/>
    <w:rsid w:val="6825208B"/>
    <w:rsid w:val="68262975"/>
    <w:rsid w:val="682D4AF8"/>
    <w:rsid w:val="68320F9A"/>
    <w:rsid w:val="68382E89"/>
    <w:rsid w:val="685409C3"/>
    <w:rsid w:val="68627B05"/>
    <w:rsid w:val="68767466"/>
    <w:rsid w:val="68814582"/>
    <w:rsid w:val="68955405"/>
    <w:rsid w:val="68CC428B"/>
    <w:rsid w:val="68CF69B5"/>
    <w:rsid w:val="68D91796"/>
    <w:rsid w:val="68EA6350"/>
    <w:rsid w:val="68EC14C9"/>
    <w:rsid w:val="68F13FB1"/>
    <w:rsid w:val="6905681A"/>
    <w:rsid w:val="69064239"/>
    <w:rsid w:val="69270594"/>
    <w:rsid w:val="69284E65"/>
    <w:rsid w:val="692B4B6C"/>
    <w:rsid w:val="692D5FFA"/>
    <w:rsid w:val="692E469B"/>
    <w:rsid w:val="69406733"/>
    <w:rsid w:val="69553FCE"/>
    <w:rsid w:val="69876ACF"/>
    <w:rsid w:val="6987794B"/>
    <w:rsid w:val="6990454A"/>
    <w:rsid w:val="69911042"/>
    <w:rsid w:val="69927C43"/>
    <w:rsid w:val="69A36E48"/>
    <w:rsid w:val="69BD19A5"/>
    <w:rsid w:val="69CA7D9D"/>
    <w:rsid w:val="69D267EB"/>
    <w:rsid w:val="69FA5E67"/>
    <w:rsid w:val="6A073BEB"/>
    <w:rsid w:val="6A087281"/>
    <w:rsid w:val="6A0F720C"/>
    <w:rsid w:val="6A1A5B79"/>
    <w:rsid w:val="6A1B1B6D"/>
    <w:rsid w:val="6A1B7B8C"/>
    <w:rsid w:val="6A20747A"/>
    <w:rsid w:val="6A3655C4"/>
    <w:rsid w:val="6A372254"/>
    <w:rsid w:val="6A41174A"/>
    <w:rsid w:val="6A541EFF"/>
    <w:rsid w:val="6A6F69BA"/>
    <w:rsid w:val="6A742B39"/>
    <w:rsid w:val="6A781B0A"/>
    <w:rsid w:val="6A7916DC"/>
    <w:rsid w:val="6A7E0847"/>
    <w:rsid w:val="6A804549"/>
    <w:rsid w:val="6AA47B81"/>
    <w:rsid w:val="6AC31C14"/>
    <w:rsid w:val="6AD22940"/>
    <w:rsid w:val="6ADA641F"/>
    <w:rsid w:val="6AF36D38"/>
    <w:rsid w:val="6AFF0A43"/>
    <w:rsid w:val="6B050B51"/>
    <w:rsid w:val="6B19056F"/>
    <w:rsid w:val="6B1B45D5"/>
    <w:rsid w:val="6B1F4E4B"/>
    <w:rsid w:val="6B4A5165"/>
    <w:rsid w:val="6B4D303F"/>
    <w:rsid w:val="6B5D5D70"/>
    <w:rsid w:val="6B6A054F"/>
    <w:rsid w:val="6B6F6C5A"/>
    <w:rsid w:val="6B795E70"/>
    <w:rsid w:val="6B855C05"/>
    <w:rsid w:val="6B984AE5"/>
    <w:rsid w:val="6B9A7157"/>
    <w:rsid w:val="6B9D10B5"/>
    <w:rsid w:val="6B9F6CC6"/>
    <w:rsid w:val="6BAA7962"/>
    <w:rsid w:val="6BC22ABF"/>
    <w:rsid w:val="6BE6265E"/>
    <w:rsid w:val="6BEC358E"/>
    <w:rsid w:val="6BF914CD"/>
    <w:rsid w:val="6C2947E2"/>
    <w:rsid w:val="6C2B7138"/>
    <w:rsid w:val="6C5E44E0"/>
    <w:rsid w:val="6C665490"/>
    <w:rsid w:val="6C72627E"/>
    <w:rsid w:val="6C7A6CDD"/>
    <w:rsid w:val="6C9172AB"/>
    <w:rsid w:val="6C9327AE"/>
    <w:rsid w:val="6C952B9E"/>
    <w:rsid w:val="6CA61377"/>
    <w:rsid w:val="6CAF20DF"/>
    <w:rsid w:val="6CCD403F"/>
    <w:rsid w:val="6CE82DDC"/>
    <w:rsid w:val="6CEC0D56"/>
    <w:rsid w:val="6CF16772"/>
    <w:rsid w:val="6D213317"/>
    <w:rsid w:val="6D362517"/>
    <w:rsid w:val="6D3C22F3"/>
    <w:rsid w:val="6D510F2F"/>
    <w:rsid w:val="6D617984"/>
    <w:rsid w:val="6D6D0BEC"/>
    <w:rsid w:val="6D7638B6"/>
    <w:rsid w:val="6D7F1132"/>
    <w:rsid w:val="6D83593A"/>
    <w:rsid w:val="6D967C55"/>
    <w:rsid w:val="6D9754BE"/>
    <w:rsid w:val="6DAA7BC7"/>
    <w:rsid w:val="6DAE136C"/>
    <w:rsid w:val="6DAF6F69"/>
    <w:rsid w:val="6DB225B5"/>
    <w:rsid w:val="6DB55CAD"/>
    <w:rsid w:val="6DBE59DF"/>
    <w:rsid w:val="6DC01176"/>
    <w:rsid w:val="6DC742B3"/>
    <w:rsid w:val="6DCD0BB8"/>
    <w:rsid w:val="6DD12138"/>
    <w:rsid w:val="6DEA68EA"/>
    <w:rsid w:val="6DEF3809"/>
    <w:rsid w:val="6DFA650F"/>
    <w:rsid w:val="6E035F2B"/>
    <w:rsid w:val="6E1F50EF"/>
    <w:rsid w:val="6E2308B8"/>
    <w:rsid w:val="6E2E7FD1"/>
    <w:rsid w:val="6E310B8E"/>
    <w:rsid w:val="6E39779B"/>
    <w:rsid w:val="6E825323"/>
    <w:rsid w:val="6E91620F"/>
    <w:rsid w:val="6E921E64"/>
    <w:rsid w:val="6E933DEA"/>
    <w:rsid w:val="6EAD214F"/>
    <w:rsid w:val="6EAF7F72"/>
    <w:rsid w:val="6EB2161A"/>
    <w:rsid w:val="6EB724B4"/>
    <w:rsid w:val="6ECF78C3"/>
    <w:rsid w:val="6ED13AB0"/>
    <w:rsid w:val="6ED755E8"/>
    <w:rsid w:val="6EDC5B3C"/>
    <w:rsid w:val="6EE10E81"/>
    <w:rsid w:val="6EE352C5"/>
    <w:rsid w:val="6EEC5DE9"/>
    <w:rsid w:val="6EEF22C9"/>
    <w:rsid w:val="6F102ACF"/>
    <w:rsid w:val="6F1251DF"/>
    <w:rsid w:val="6F143787"/>
    <w:rsid w:val="6F452128"/>
    <w:rsid w:val="6F4657CC"/>
    <w:rsid w:val="6F516F93"/>
    <w:rsid w:val="6F5A1CBD"/>
    <w:rsid w:val="6F5C7750"/>
    <w:rsid w:val="6F6618A9"/>
    <w:rsid w:val="6F733C45"/>
    <w:rsid w:val="6F7F1EFD"/>
    <w:rsid w:val="6FA5055C"/>
    <w:rsid w:val="6FA67EF8"/>
    <w:rsid w:val="6FA849C3"/>
    <w:rsid w:val="6FCF2F80"/>
    <w:rsid w:val="6FEB57F8"/>
    <w:rsid w:val="6FF70870"/>
    <w:rsid w:val="6FFA6A1B"/>
    <w:rsid w:val="7001594E"/>
    <w:rsid w:val="700571FA"/>
    <w:rsid w:val="70161521"/>
    <w:rsid w:val="702C0276"/>
    <w:rsid w:val="704A673A"/>
    <w:rsid w:val="704E0CBB"/>
    <w:rsid w:val="70513220"/>
    <w:rsid w:val="705F0F55"/>
    <w:rsid w:val="706865F7"/>
    <w:rsid w:val="707272B2"/>
    <w:rsid w:val="708E471C"/>
    <w:rsid w:val="70986E39"/>
    <w:rsid w:val="70AE2627"/>
    <w:rsid w:val="70B04B4C"/>
    <w:rsid w:val="70CA6B51"/>
    <w:rsid w:val="70CE50A2"/>
    <w:rsid w:val="70DF533C"/>
    <w:rsid w:val="70E701CA"/>
    <w:rsid w:val="70EB74D5"/>
    <w:rsid w:val="70F25F14"/>
    <w:rsid w:val="70FA354A"/>
    <w:rsid w:val="71056CF8"/>
    <w:rsid w:val="710849C6"/>
    <w:rsid w:val="711E46AE"/>
    <w:rsid w:val="71267175"/>
    <w:rsid w:val="712E63BF"/>
    <w:rsid w:val="7141353A"/>
    <w:rsid w:val="71472CEF"/>
    <w:rsid w:val="714C4B55"/>
    <w:rsid w:val="715B3E31"/>
    <w:rsid w:val="716A7BC1"/>
    <w:rsid w:val="717D3F41"/>
    <w:rsid w:val="717D5E55"/>
    <w:rsid w:val="718C2EED"/>
    <w:rsid w:val="718C6D66"/>
    <w:rsid w:val="718F158B"/>
    <w:rsid w:val="719921EC"/>
    <w:rsid w:val="71AA17BB"/>
    <w:rsid w:val="71B62F85"/>
    <w:rsid w:val="71C805F9"/>
    <w:rsid w:val="71CA1D49"/>
    <w:rsid w:val="71D6237A"/>
    <w:rsid w:val="71E13C65"/>
    <w:rsid w:val="71E82E10"/>
    <w:rsid w:val="71EE53D6"/>
    <w:rsid w:val="71F95905"/>
    <w:rsid w:val="721455EC"/>
    <w:rsid w:val="721553B9"/>
    <w:rsid w:val="72161365"/>
    <w:rsid w:val="7220705F"/>
    <w:rsid w:val="722171BF"/>
    <w:rsid w:val="722A2BBD"/>
    <w:rsid w:val="7236678B"/>
    <w:rsid w:val="723E3632"/>
    <w:rsid w:val="723F22BC"/>
    <w:rsid w:val="72561A63"/>
    <w:rsid w:val="72725752"/>
    <w:rsid w:val="72743489"/>
    <w:rsid w:val="728E0759"/>
    <w:rsid w:val="72924BDC"/>
    <w:rsid w:val="72A2006A"/>
    <w:rsid w:val="72A439A3"/>
    <w:rsid w:val="72AF260B"/>
    <w:rsid w:val="72BF37AA"/>
    <w:rsid w:val="72C56A2C"/>
    <w:rsid w:val="72D05AEC"/>
    <w:rsid w:val="72E148A9"/>
    <w:rsid w:val="72E53DB9"/>
    <w:rsid w:val="72EC0317"/>
    <w:rsid w:val="72F82053"/>
    <w:rsid w:val="73214147"/>
    <w:rsid w:val="732379EB"/>
    <w:rsid w:val="733E031E"/>
    <w:rsid w:val="734939BC"/>
    <w:rsid w:val="73797DFD"/>
    <w:rsid w:val="737A1DC7"/>
    <w:rsid w:val="737D110D"/>
    <w:rsid w:val="737E5413"/>
    <w:rsid w:val="7382587A"/>
    <w:rsid w:val="738354BB"/>
    <w:rsid w:val="738D738C"/>
    <w:rsid w:val="739C7B64"/>
    <w:rsid w:val="73AF6C96"/>
    <w:rsid w:val="73B13FFA"/>
    <w:rsid w:val="73D74237"/>
    <w:rsid w:val="73E17BD6"/>
    <w:rsid w:val="74090F16"/>
    <w:rsid w:val="7426442E"/>
    <w:rsid w:val="74277BCC"/>
    <w:rsid w:val="742E7D48"/>
    <w:rsid w:val="74393A30"/>
    <w:rsid w:val="743D55D8"/>
    <w:rsid w:val="7442412D"/>
    <w:rsid w:val="744D6689"/>
    <w:rsid w:val="74524843"/>
    <w:rsid w:val="74736F42"/>
    <w:rsid w:val="74741941"/>
    <w:rsid w:val="74915EC3"/>
    <w:rsid w:val="74962461"/>
    <w:rsid w:val="74AE17FA"/>
    <w:rsid w:val="74B77B69"/>
    <w:rsid w:val="74D05231"/>
    <w:rsid w:val="74D6695A"/>
    <w:rsid w:val="74DC17C9"/>
    <w:rsid w:val="74E76FE8"/>
    <w:rsid w:val="75080E44"/>
    <w:rsid w:val="750E4C99"/>
    <w:rsid w:val="750F0928"/>
    <w:rsid w:val="7510189E"/>
    <w:rsid w:val="751B7116"/>
    <w:rsid w:val="752062B5"/>
    <w:rsid w:val="752F3B99"/>
    <w:rsid w:val="75422471"/>
    <w:rsid w:val="754664F5"/>
    <w:rsid w:val="756C7CFF"/>
    <w:rsid w:val="756D573F"/>
    <w:rsid w:val="75724EBC"/>
    <w:rsid w:val="75752618"/>
    <w:rsid w:val="757B5D3C"/>
    <w:rsid w:val="75845FDA"/>
    <w:rsid w:val="758A3E54"/>
    <w:rsid w:val="758D193E"/>
    <w:rsid w:val="759130F1"/>
    <w:rsid w:val="75960453"/>
    <w:rsid w:val="75A23B0C"/>
    <w:rsid w:val="75A317DE"/>
    <w:rsid w:val="75CA33F4"/>
    <w:rsid w:val="75CA5AE5"/>
    <w:rsid w:val="75CC71DF"/>
    <w:rsid w:val="75DD4FC7"/>
    <w:rsid w:val="75F407B2"/>
    <w:rsid w:val="75F92BF7"/>
    <w:rsid w:val="76041BDF"/>
    <w:rsid w:val="76052043"/>
    <w:rsid w:val="760F2C9B"/>
    <w:rsid w:val="76121C14"/>
    <w:rsid w:val="76241FBB"/>
    <w:rsid w:val="762541FD"/>
    <w:rsid w:val="76255E4E"/>
    <w:rsid w:val="76417211"/>
    <w:rsid w:val="764F2508"/>
    <w:rsid w:val="76674E27"/>
    <w:rsid w:val="76745FAD"/>
    <w:rsid w:val="768014A2"/>
    <w:rsid w:val="76827F08"/>
    <w:rsid w:val="768458FA"/>
    <w:rsid w:val="768F65BF"/>
    <w:rsid w:val="769211D6"/>
    <w:rsid w:val="76B22FB6"/>
    <w:rsid w:val="76BF5074"/>
    <w:rsid w:val="76C738D8"/>
    <w:rsid w:val="76D77B85"/>
    <w:rsid w:val="76E965C3"/>
    <w:rsid w:val="76FA22C3"/>
    <w:rsid w:val="770678CD"/>
    <w:rsid w:val="772F05CC"/>
    <w:rsid w:val="772F73F8"/>
    <w:rsid w:val="773F0DFC"/>
    <w:rsid w:val="77463370"/>
    <w:rsid w:val="776808B4"/>
    <w:rsid w:val="77701517"/>
    <w:rsid w:val="778C4E6A"/>
    <w:rsid w:val="77A127FF"/>
    <w:rsid w:val="77AB5A7A"/>
    <w:rsid w:val="77BA4E88"/>
    <w:rsid w:val="77CA3C95"/>
    <w:rsid w:val="77CA50CB"/>
    <w:rsid w:val="77CE55D7"/>
    <w:rsid w:val="77D73A6B"/>
    <w:rsid w:val="77E30FE1"/>
    <w:rsid w:val="77EF6F31"/>
    <w:rsid w:val="78014ED8"/>
    <w:rsid w:val="78084936"/>
    <w:rsid w:val="78101A2B"/>
    <w:rsid w:val="781812BC"/>
    <w:rsid w:val="782D5447"/>
    <w:rsid w:val="784A3300"/>
    <w:rsid w:val="78654A86"/>
    <w:rsid w:val="786A0221"/>
    <w:rsid w:val="789970A0"/>
    <w:rsid w:val="78A01590"/>
    <w:rsid w:val="78A31478"/>
    <w:rsid w:val="78A957F7"/>
    <w:rsid w:val="78AB4608"/>
    <w:rsid w:val="78AF0554"/>
    <w:rsid w:val="78BC253A"/>
    <w:rsid w:val="78D21D5D"/>
    <w:rsid w:val="78D32916"/>
    <w:rsid w:val="78D80D98"/>
    <w:rsid w:val="78EF0EA3"/>
    <w:rsid w:val="78FF0DA4"/>
    <w:rsid w:val="79091C23"/>
    <w:rsid w:val="790C33A8"/>
    <w:rsid w:val="79191A54"/>
    <w:rsid w:val="791C6F06"/>
    <w:rsid w:val="791F0D44"/>
    <w:rsid w:val="79281469"/>
    <w:rsid w:val="793358AB"/>
    <w:rsid w:val="793876EF"/>
    <w:rsid w:val="79467199"/>
    <w:rsid w:val="794C7553"/>
    <w:rsid w:val="79511FE0"/>
    <w:rsid w:val="796E5F2A"/>
    <w:rsid w:val="7984417B"/>
    <w:rsid w:val="79932253"/>
    <w:rsid w:val="79B27A67"/>
    <w:rsid w:val="79C132A3"/>
    <w:rsid w:val="79C32891"/>
    <w:rsid w:val="79C70C86"/>
    <w:rsid w:val="79CE3466"/>
    <w:rsid w:val="79DA4CFA"/>
    <w:rsid w:val="79DB0614"/>
    <w:rsid w:val="79E6345B"/>
    <w:rsid w:val="79F3005C"/>
    <w:rsid w:val="79F6061B"/>
    <w:rsid w:val="79F76FDF"/>
    <w:rsid w:val="79FD4CA8"/>
    <w:rsid w:val="7A215F42"/>
    <w:rsid w:val="7A2A24FB"/>
    <w:rsid w:val="7A545CC3"/>
    <w:rsid w:val="7A5A50FB"/>
    <w:rsid w:val="7A644DAD"/>
    <w:rsid w:val="7A703502"/>
    <w:rsid w:val="7A721D49"/>
    <w:rsid w:val="7A801B3B"/>
    <w:rsid w:val="7A8713E5"/>
    <w:rsid w:val="7A886B78"/>
    <w:rsid w:val="7AA414E1"/>
    <w:rsid w:val="7AA5772A"/>
    <w:rsid w:val="7ABA1851"/>
    <w:rsid w:val="7AC31AC5"/>
    <w:rsid w:val="7AC32A88"/>
    <w:rsid w:val="7AC8166A"/>
    <w:rsid w:val="7ACE1446"/>
    <w:rsid w:val="7ACE190C"/>
    <w:rsid w:val="7AD16771"/>
    <w:rsid w:val="7AD23D1F"/>
    <w:rsid w:val="7AD30A69"/>
    <w:rsid w:val="7AD700E0"/>
    <w:rsid w:val="7AF024E9"/>
    <w:rsid w:val="7AF127C7"/>
    <w:rsid w:val="7B084B17"/>
    <w:rsid w:val="7B117EAA"/>
    <w:rsid w:val="7B1D7999"/>
    <w:rsid w:val="7B232217"/>
    <w:rsid w:val="7B283B3B"/>
    <w:rsid w:val="7B302040"/>
    <w:rsid w:val="7B396E35"/>
    <w:rsid w:val="7B60188E"/>
    <w:rsid w:val="7B603CB6"/>
    <w:rsid w:val="7B615DFB"/>
    <w:rsid w:val="7B837315"/>
    <w:rsid w:val="7B8E00CE"/>
    <w:rsid w:val="7B9C7CAD"/>
    <w:rsid w:val="7B9D6653"/>
    <w:rsid w:val="7B9F52CE"/>
    <w:rsid w:val="7BA274B4"/>
    <w:rsid w:val="7BCB1062"/>
    <w:rsid w:val="7BCE5874"/>
    <w:rsid w:val="7BE40DE4"/>
    <w:rsid w:val="7BEB414B"/>
    <w:rsid w:val="7C005F63"/>
    <w:rsid w:val="7C044924"/>
    <w:rsid w:val="7C06069C"/>
    <w:rsid w:val="7C070FB9"/>
    <w:rsid w:val="7C0C2E1D"/>
    <w:rsid w:val="7C2533B1"/>
    <w:rsid w:val="7C3D6B62"/>
    <w:rsid w:val="7C4B60AF"/>
    <w:rsid w:val="7C4D1CE0"/>
    <w:rsid w:val="7C577FE4"/>
    <w:rsid w:val="7C5F4430"/>
    <w:rsid w:val="7C75463E"/>
    <w:rsid w:val="7C773348"/>
    <w:rsid w:val="7C7F193B"/>
    <w:rsid w:val="7C8B669C"/>
    <w:rsid w:val="7C9064ED"/>
    <w:rsid w:val="7CA64E0D"/>
    <w:rsid w:val="7CB477C5"/>
    <w:rsid w:val="7CF20C20"/>
    <w:rsid w:val="7CFB51D0"/>
    <w:rsid w:val="7CFE329D"/>
    <w:rsid w:val="7D042C28"/>
    <w:rsid w:val="7D2F2CC6"/>
    <w:rsid w:val="7D3649DD"/>
    <w:rsid w:val="7D380D29"/>
    <w:rsid w:val="7D3D7734"/>
    <w:rsid w:val="7D566D23"/>
    <w:rsid w:val="7D6E7A51"/>
    <w:rsid w:val="7D784234"/>
    <w:rsid w:val="7D963F0A"/>
    <w:rsid w:val="7DA12F3E"/>
    <w:rsid w:val="7DC0663F"/>
    <w:rsid w:val="7DD65919"/>
    <w:rsid w:val="7DD722F0"/>
    <w:rsid w:val="7DDC1500"/>
    <w:rsid w:val="7DE85642"/>
    <w:rsid w:val="7DF10ED8"/>
    <w:rsid w:val="7DF9185F"/>
    <w:rsid w:val="7E18445A"/>
    <w:rsid w:val="7E1C30BF"/>
    <w:rsid w:val="7E260A84"/>
    <w:rsid w:val="7E272E76"/>
    <w:rsid w:val="7E396311"/>
    <w:rsid w:val="7E3F7376"/>
    <w:rsid w:val="7E403F70"/>
    <w:rsid w:val="7E475032"/>
    <w:rsid w:val="7E48012E"/>
    <w:rsid w:val="7E4A1C1F"/>
    <w:rsid w:val="7E4B0E2C"/>
    <w:rsid w:val="7E51388F"/>
    <w:rsid w:val="7E5B6332"/>
    <w:rsid w:val="7E5D6CD8"/>
    <w:rsid w:val="7E615A24"/>
    <w:rsid w:val="7E9644B2"/>
    <w:rsid w:val="7EA06B86"/>
    <w:rsid w:val="7EA31E30"/>
    <w:rsid w:val="7EA72608"/>
    <w:rsid w:val="7EA8068A"/>
    <w:rsid w:val="7EBA1AB7"/>
    <w:rsid w:val="7EC85F8F"/>
    <w:rsid w:val="7EE816E4"/>
    <w:rsid w:val="7EEB5AB6"/>
    <w:rsid w:val="7EF1604F"/>
    <w:rsid w:val="7F0B0A5C"/>
    <w:rsid w:val="7F1135E0"/>
    <w:rsid w:val="7F155E8B"/>
    <w:rsid w:val="7F2056AF"/>
    <w:rsid w:val="7F2D7CEE"/>
    <w:rsid w:val="7F32323D"/>
    <w:rsid w:val="7F381C68"/>
    <w:rsid w:val="7F5E5BB9"/>
    <w:rsid w:val="7F5F2461"/>
    <w:rsid w:val="7F82628B"/>
    <w:rsid w:val="7FAD4448"/>
    <w:rsid w:val="7FAFD5A8"/>
    <w:rsid w:val="7FBA5628"/>
    <w:rsid w:val="7FBA5A25"/>
    <w:rsid w:val="7FD3199B"/>
    <w:rsid w:val="7FD62884"/>
    <w:rsid w:val="7FD63D4B"/>
    <w:rsid w:val="7FDD4CBC"/>
    <w:rsid w:val="7FE1147B"/>
    <w:rsid w:val="7FE11D52"/>
    <w:rsid w:val="7FE66564"/>
    <w:rsid w:val="7FE71A67"/>
    <w:rsid w:val="7FF2085F"/>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7"/>
    <w:qFormat/>
    <w:uiPriority w:val="0"/>
    <w:pPr>
      <w:keepNext/>
      <w:keepLines/>
      <w:jc w:val="center"/>
      <w:outlineLvl w:val="0"/>
    </w:pPr>
    <w:rPr>
      <w:rFonts w:ascii="Times New Roman" w:hAnsi="Times New Roman" w:eastAsia="黑体"/>
      <w:kern w:val="44"/>
      <w:sz w:val="30"/>
    </w:rPr>
  </w:style>
  <w:style w:type="paragraph" w:styleId="5">
    <w:name w:val="heading 2"/>
    <w:basedOn w:val="1"/>
    <w:next w:val="1"/>
    <w:semiHidden/>
    <w:unhideWhenUsed/>
    <w:qFormat/>
    <w:uiPriority w:val="0"/>
    <w:pPr>
      <w:keepNext/>
      <w:keepLines/>
      <w:adjustRightInd w:val="0"/>
      <w:snapToGrid w:val="0"/>
      <w:spacing w:before="10" w:line="360" w:lineRule="auto"/>
      <w:outlineLvl w:val="1"/>
    </w:pPr>
    <w:rPr>
      <w:rFonts w:ascii="Arial" w:hAnsi="Arial"/>
      <w:b/>
      <w:sz w:val="28"/>
    </w:rPr>
  </w:style>
  <w:style w:type="paragraph" w:styleId="6">
    <w:name w:val="heading 3"/>
    <w:basedOn w:val="1"/>
    <w:next w:val="7"/>
    <w:qFormat/>
    <w:uiPriority w:val="0"/>
    <w:pPr>
      <w:keepNext/>
      <w:keepLines/>
      <w:spacing w:line="360" w:lineRule="auto"/>
      <w:ind w:firstLine="574" w:firstLineChars="200"/>
      <w:outlineLvl w:val="2"/>
    </w:pPr>
    <w:rPr>
      <w:rFonts w:eastAsia="黑体"/>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firstLine="210"/>
    </w:pPr>
  </w:style>
  <w:style w:type="paragraph" w:styleId="3">
    <w:name w:val="Body Text Indent"/>
    <w:basedOn w:val="1"/>
    <w:next w:val="2"/>
    <w:qFormat/>
    <w:uiPriority w:val="0"/>
    <w:pPr>
      <w:spacing w:line="360" w:lineRule="auto"/>
      <w:ind w:firstLine="560" w:firstLineChars="200"/>
      <w:jc w:val="left"/>
    </w:pPr>
    <w:rPr>
      <w:rFonts w:eastAsia="楷体_GB2312"/>
      <w:sz w:val="28"/>
      <w:szCs w:val="24"/>
    </w:rPr>
  </w:style>
  <w:style w:type="paragraph" w:customStyle="1" w:styleId="7">
    <w:name w:val="环评正文"/>
    <w:basedOn w:val="1"/>
    <w:next w:val="1"/>
    <w:qFormat/>
    <w:uiPriority w:val="0"/>
    <w:pPr>
      <w:spacing w:line="360" w:lineRule="auto"/>
      <w:ind w:firstLine="480" w:firstLineChars="200"/>
    </w:pPr>
    <w:rPr>
      <w:rFonts w:ascii="仿宋_GB2312" w:hAnsi="仿宋_GB2312" w:eastAsia="仿宋_GB2312"/>
      <w:sz w:val="24"/>
      <w:szCs w:val="20"/>
    </w:rPr>
  </w:style>
  <w:style w:type="paragraph" w:styleId="10">
    <w:name w:val="E-mail Signature"/>
    <w:basedOn w:val="1"/>
    <w:next w:val="11"/>
    <w:unhideWhenUsed/>
    <w:qFormat/>
    <w:uiPriority w:val="99"/>
    <w:pPr>
      <w:spacing w:line="460" w:lineRule="exact"/>
      <w:ind w:firstLine="200"/>
    </w:pPr>
    <w:rPr>
      <w:rFonts w:ascii="Times New Roman" w:hAnsi="Times New Roman" w:cs="Times New Roman"/>
    </w:rPr>
  </w:style>
  <w:style w:type="paragraph" w:customStyle="1" w:styleId="11">
    <w:name w:val="文章"/>
    <w:basedOn w:val="3"/>
    <w:next w:val="12"/>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2">
    <w:name w:val="List"/>
    <w:basedOn w:val="1"/>
    <w:qFormat/>
    <w:uiPriority w:val="0"/>
    <w:pPr>
      <w:ind w:left="200" w:hanging="200" w:hangingChars="200"/>
    </w:pPr>
  </w:style>
  <w:style w:type="paragraph" w:styleId="13">
    <w:name w:val="Normal Indent"/>
    <w:basedOn w:val="1"/>
    <w:next w:val="14"/>
    <w:qFormat/>
    <w:uiPriority w:val="0"/>
    <w:pPr>
      <w:ind w:firstLine="420" w:firstLineChars="200"/>
    </w:pPr>
  </w:style>
  <w:style w:type="paragraph" w:customStyle="1" w:styleId="14">
    <w:name w:val="表头"/>
    <w:basedOn w:val="12"/>
    <w:next w:val="1"/>
    <w:link w:val="45"/>
    <w:qFormat/>
    <w:uiPriority w:val="0"/>
    <w:pPr>
      <w:snapToGrid w:val="0"/>
      <w:spacing w:before="60" w:beforeLines="25"/>
    </w:pPr>
    <w:rPr>
      <w:rFonts w:hAnsi="宋体" w:eastAsia="仿宋_GB2312"/>
      <w:b/>
      <w:sz w:val="28"/>
      <w:szCs w:val="28"/>
    </w:rPr>
  </w:style>
  <w:style w:type="paragraph" w:styleId="15">
    <w:name w:val="caption"/>
    <w:basedOn w:val="1"/>
    <w:next w:val="1"/>
    <w:qFormat/>
    <w:uiPriority w:val="0"/>
    <w:pPr>
      <w:jc w:val="center"/>
    </w:pPr>
    <w:rPr>
      <w:rFonts w:eastAsia="黑体"/>
      <w:szCs w:val="21"/>
    </w:rPr>
  </w:style>
  <w:style w:type="paragraph" w:styleId="16">
    <w:name w:val="annotation text"/>
    <w:basedOn w:val="1"/>
    <w:link w:val="94"/>
    <w:qFormat/>
    <w:uiPriority w:val="99"/>
    <w:pPr>
      <w:jc w:val="left"/>
    </w:pPr>
  </w:style>
  <w:style w:type="paragraph" w:styleId="17">
    <w:name w:val="Body Text"/>
    <w:basedOn w:val="1"/>
    <w:next w:val="1"/>
    <w:qFormat/>
    <w:uiPriority w:val="0"/>
    <w:rPr>
      <w:rFonts w:eastAsia="楷体_GB2312"/>
      <w:b/>
      <w:bCs/>
      <w:sz w:val="32"/>
      <w:szCs w:val="24"/>
    </w:rPr>
  </w:style>
  <w:style w:type="paragraph" w:styleId="18">
    <w:name w:val="List Bullet 2"/>
    <w:basedOn w:val="1"/>
    <w:next w:val="19"/>
    <w:qFormat/>
    <w:uiPriority w:val="0"/>
    <w:pPr>
      <w:numPr>
        <w:ilvl w:val="0"/>
        <w:numId w:val="1"/>
      </w:numPr>
    </w:pPr>
  </w:style>
  <w:style w:type="paragraph" w:customStyle="1" w:styleId="19">
    <w:name w:val="xl70"/>
    <w:basedOn w:val="1"/>
    <w:next w:val="20"/>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20">
    <w:name w:val="正文缩进1"/>
    <w:basedOn w:val="1"/>
    <w:next w:val="21"/>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21">
    <w:name w:val="td1"/>
    <w:basedOn w:val="1"/>
    <w:next w:val="1"/>
    <w:qFormat/>
    <w:uiPriority w:val="0"/>
    <w:pPr>
      <w:widowControl/>
      <w:spacing w:before="280" w:after="280" w:line="300" w:lineRule="atLeast"/>
      <w:ind w:firstLine="200"/>
    </w:pPr>
    <w:rPr>
      <w:color w:val="000000"/>
      <w:sz w:val="18"/>
    </w:rPr>
  </w:style>
  <w:style w:type="paragraph" w:styleId="22">
    <w:name w:val="Plain Text"/>
    <w:basedOn w:val="1"/>
    <w:next w:val="23"/>
    <w:link w:val="109"/>
    <w:qFormat/>
    <w:uiPriority w:val="0"/>
    <w:rPr>
      <w:rFonts w:ascii="宋体" w:hAnsi="Courier New"/>
    </w:rPr>
  </w:style>
  <w:style w:type="paragraph" w:styleId="23">
    <w:name w:val="toc 1"/>
    <w:basedOn w:val="1"/>
    <w:next w:val="1"/>
    <w:qFormat/>
    <w:uiPriority w:val="0"/>
  </w:style>
  <w:style w:type="paragraph" w:styleId="24">
    <w:name w:val="List Bullet 5"/>
    <w:basedOn w:val="1"/>
    <w:qFormat/>
    <w:uiPriority w:val="0"/>
    <w:pPr>
      <w:numPr>
        <w:ilvl w:val="0"/>
        <w:numId w:val="2"/>
      </w:numPr>
    </w:pPr>
  </w:style>
  <w:style w:type="paragraph" w:styleId="25">
    <w:name w:val="Date"/>
    <w:basedOn w:val="1"/>
    <w:next w:val="1"/>
    <w:qFormat/>
    <w:uiPriority w:val="0"/>
    <w:rPr>
      <w:szCs w:val="21"/>
    </w:rPr>
  </w:style>
  <w:style w:type="paragraph" w:styleId="26">
    <w:name w:val="Body Text Indent 2"/>
    <w:basedOn w:val="1"/>
    <w:qFormat/>
    <w:uiPriority w:val="0"/>
    <w:pPr>
      <w:spacing w:after="120" w:afterLines="0" w:line="480" w:lineRule="auto"/>
      <w:ind w:left="420" w:leftChars="200"/>
    </w:pPr>
  </w:style>
  <w:style w:type="paragraph" w:styleId="27">
    <w:name w:val="Balloon Text"/>
    <w:basedOn w:val="1"/>
    <w:link w:val="93"/>
    <w:qFormat/>
    <w:uiPriority w:val="0"/>
    <w:rPr>
      <w:sz w:val="18"/>
      <w:szCs w:val="18"/>
    </w:rPr>
  </w:style>
  <w:style w:type="paragraph" w:styleId="28">
    <w:name w:val="footer"/>
    <w:basedOn w:val="1"/>
    <w:next w:val="1"/>
    <w:qFormat/>
    <w:uiPriority w:val="99"/>
    <w:pPr>
      <w:tabs>
        <w:tab w:val="center" w:pos="4153"/>
        <w:tab w:val="right" w:pos="8306"/>
      </w:tabs>
      <w:snapToGrid w:val="0"/>
      <w:jc w:val="left"/>
    </w:pPr>
    <w:rPr>
      <w:sz w:val="18"/>
      <w:szCs w:val="18"/>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0">
    <w:name w:val="Body Text Indent 3"/>
    <w:basedOn w:val="1"/>
    <w:qFormat/>
    <w:uiPriority w:val="0"/>
    <w:pPr>
      <w:spacing w:line="360" w:lineRule="auto"/>
      <w:ind w:left="-91" w:firstLine="582" w:firstLineChars="208"/>
    </w:pPr>
    <w:rPr>
      <w:rFonts w:eastAsia="楷体_GB2312"/>
      <w:sz w:val="28"/>
      <w:szCs w:val="24"/>
    </w:rPr>
  </w:style>
  <w:style w:type="paragraph" w:styleId="31">
    <w:name w:val="table of figures"/>
    <w:basedOn w:val="1"/>
    <w:next w:val="1"/>
    <w:qFormat/>
    <w:uiPriority w:val="0"/>
    <w:pPr>
      <w:ind w:left="200" w:leftChars="200" w:hanging="200" w:hangingChars="200"/>
    </w:pPr>
  </w:style>
  <w:style w:type="paragraph" w:styleId="32">
    <w:name w:val="toc 2"/>
    <w:basedOn w:val="1"/>
    <w:next w:val="10"/>
    <w:qFormat/>
    <w:uiPriority w:val="0"/>
    <w:pPr>
      <w:ind w:left="420" w:leftChars="200"/>
    </w:pPr>
  </w:style>
  <w:style w:type="paragraph" w:styleId="33">
    <w:name w:val="Body Text 2"/>
    <w:basedOn w:val="1"/>
    <w:qFormat/>
    <w:uiPriority w:val="0"/>
    <w:pPr>
      <w:jc w:val="left"/>
    </w:pPr>
    <w:rPr>
      <w:rFonts w:eastAsia="楷体_GB2312"/>
      <w:sz w:val="28"/>
      <w:szCs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5">
    <w:name w:val="annotation subject"/>
    <w:basedOn w:val="16"/>
    <w:next w:val="16"/>
    <w:link w:val="95"/>
    <w:qFormat/>
    <w:uiPriority w:val="0"/>
    <w:rPr>
      <w:b/>
      <w:bCs/>
    </w:rPr>
  </w:style>
  <w:style w:type="paragraph" w:styleId="36">
    <w:name w:val="Body Text First Indent"/>
    <w:basedOn w:val="17"/>
    <w:next w:val="1"/>
    <w:qFormat/>
    <w:uiPriority w:val="0"/>
    <w:pPr>
      <w:spacing w:after="120"/>
      <w:ind w:firstLine="420" w:firstLineChars="100"/>
    </w:pPr>
    <w:rPr>
      <w:rFonts w:eastAsia="宋体"/>
      <w:sz w:val="21"/>
      <w:szCs w:val="20"/>
    </w:rPr>
  </w:style>
  <w:style w:type="table" w:styleId="38">
    <w:name w:val="Table Grid"/>
    <w:basedOn w:val="37"/>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0">
    <w:name w:val="Strong"/>
    <w:basedOn w:val="39"/>
    <w:qFormat/>
    <w:uiPriority w:val="0"/>
    <w:rPr>
      <w:b/>
    </w:rPr>
  </w:style>
  <w:style w:type="character" w:styleId="41">
    <w:name w:val="page number"/>
    <w:basedOn w:val="39"/>
    <w:qFormat/>
    <w:uiPriority w:val="0"/>
  </w:style>
  <w:style w:type="character" w:styleId="42">
    <w:name w:val="Emphasis"/>
    <w:basedOn w:val="39"/>
    <w:qFormat/>
    <w:uiPriority w:val="0"/>
    <w:rPr>
      <w:i/>
    </w:rPr>
  </w:style>
  <w:style w:type="character" w:styleId="43">
    <w:name w:val="Hyperlink"/>
    <w:basedOn w:val="39"/>
    <w:qFormat/>
    <w:uiPriority w:val="0"/>
    <w:rPr>
      <w:color w:val="0000FF"/>
      <w:u w:val="single"/>
    </w:rPr>
  </w:style>
  <w:style w:type="character" w:styleId="44">
    <w:name w:val="annotation reference"/>
    <w:basedOn w:val="39"/>
    <w:qFormat/>
    <w:uiPriority w:val="0"/>
    <w:rPr>
      <w:sz w:val="21"/>
      <w:szCs w:val="21"/>
    </w:rPr>
  </w:style>
  <w:style w:type="character" w:customStyle="1" w:styleId="45">
    <w:name w:val="表头 Char"/>
    <w:link w:val="14"/>
    <w:qFormat/>
    <w:uiPriority w:val="0"/>
    <w:rPr>
      <w:rFonts w:hAnsi="宋体" w:eastAsia="仿宋_GB2312"/>
      <w:b/>
      <w:sz w:val="28"/>
      <w:szCs w:val="28"/>
    </w:rPr>
  </w:style>
  <w:style w:type="paragraph" w:customStyle="1" w:styleId="46">
    <w:name w:val="【表头】"/>
    <w:basedOn w:val="1"/>
    <w:qFormat/>
    <w:uiPriority w:val="0"/>
    <w:pPr>
      <w:spacing w:line="460" w:lineRule="exact"/>
      <w:jc w:val="center"/>
    </w:pPr>
    <w:rPr>
      <w:rFonts w:eastAsia="黑体" w:cs="宋体"/>
      <w:kern w:val="0"/>
      <w:szCs w:val="20"/>
    </w:rPr>
  </w:style>
  <w:style w:type="character" w:customStyle="1" w:styleId="47">
    <w:name w:val="标题 1 字符"/>
    <w:link w:val="4"/>
    <w:qFormat/>
    <w:uiPriority w:val="0"/>
    <w:rPr>
      <w:rFonts w:ascii="Times New Roman" w:hAnsi="Times New Roman" w:eastAsia="黑体"/>
      <w:kern w:val="44"/>
      <w:sz w:val="30"/>
    </w:rPr>
  </w:style>
  <w:style w:type="paragraph" w:customStyle="1" w:styleId="4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样式 正文11 + 首行缩进:  2 字符"/>
    <w:basedOn w:val="1"/>
    <w:unhideWhenUsed/>
    <w:qFormat/>
    <w:uiPriority w:val="0"/>
    <w:pPr>
      <w:spacing w:beforeLines="0" w:afterLines="0" w:line="500" w:lineRule="exact"/>
      <w:ind w:firstLine="560" w:firstLineChars="200"/>
    </w:pPr>
    <w:rPr>
      <w:rFonts w:hint="eastAsia"/>
      <w:color w:val="FF0000"/>
      <w:sz w:val="28"/>
      <w:szCs w:val="24"/>
    </w:rPr>
  </w:style>
  <w:style w:type="paragraph" w:customStyle="1" w:styleId="50">
    <w:name w:val="表格文字"/>
    <w:basedOn w:val="22"/>
    <w:next w:val="1"/>
    <w:qFormat/>
    <w:uiPriority w:val="0"/>
    <w:pPr>
      <w:spacing w:beforeLines="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51">
    <w:name w:val="表号题注"/>
    <w:basedOn w:val="1"/>
    <w:link w:val="52"/>
    <w:qFormat/>
    <w:uiPriority w:val="0"/>
    <w:pPr>
      <w:spacing w:line="360" w:lineRule="auto"/>
    </w:pPr>
    <w:rPr>
      <w:rFonts w:hAnsi="宋体"/>
      <w:color w:val="000000"/>
      <w:lang w:bidi="en-US"/>
    </w:rPr>
  </w:style>
  <w:style w:type="character" w:customStyle="1" w:styleId="52">
    <w:name w:val="表号题注 Char Char"/>
    <w:link w:val="51"/>
    <w:qFormat/>
    <w:uiPriority w:val="0"/>
    <w:rPr>
      <w:rFonts w:hAnsi="宋体"/>
      <w:color w:val="000000"/>
      <w:lang w:bidi="en-US"/>
    </w:rPr>
  </w:style>
  <w:style w:type="paragraph" w:customStyle="1" w:styleId="5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54">
    <w:name w:val="Date1"/>
    <w:basedOn w:val="1"/>
    <w:next w:val="1"/>
    <w:qFormat/>
    <w:uiPriority w:val="99"/>
    <w:pPr>
      <w:adjustRightInd w:val="0"/>
      <w:jc w:val="left"/>
      <w:textAlignment w:val="baseline"/>
    </w:pPr>
    <w:rPr>
      <w:rFonts w:ascii="宋体" w:hAnsi="宋体"/>
      <w:sz w:val="28"/>
    </w:rPr>
  </w:style>
  <w:style w:type="paragraph" w:customStyle="1" w:styleId="55">
    <w:name w:val="Char"/>
    <w:basedOn w:val="1"/>
    <w:qFormat/>
    <w:uiPriority w:val="0"/>
    <w:rPr>
      <w:rFonts w:eastAsia="宋体" w:cs="黑体"/>
    </w:rPr>
  </w:style>
  <w:style w:type="paragraph" w:customStyle="1" w:styleId="56">
    <w:name w:val="表格"/>
    <w:basedOn w:val="13"/>
    <w:next w:val="1"/>
    <w:qFormat/>
    <w:uiPriority w:val="0"/>
    <w:pPr>
      <w:spacing w:line="240" w:lineRule="atLeast"/>
      <w:jc w:val="center"/>
    </w:pPr>
    <w:rPr>
      <w:szCs w:val="21"/>
    </w:rPr>
  </w:style>
  <w:style w:type="paragraph" w:customStyle="1" w:styleId="57">
    <w:name w:val="正文（缩进）"/>
    <w:basedOn w:val="58"/>
    <w:next w:val="1"/>
    <w:qFormat/>
    <w:uiPriority w:val="99"/>
    <w:pPr>
      <w:spacing w:line="360" w:lineRule="auto"/>
      <w:ind w:firstLine="480" w:firstLineChars="200"/>
    </w:pPr>
    <w:rPr>
      <w:sz w:val="24"/>
      <w:szCs w:val="24"/>
    </w:rPr>
  </w:style>
  <w:style w:type="paragraph" w:customStyle="1" w:styleId="58">
    <w:name w:val="正文(首行缩进)"/>
    <w:basedOn w:val="1"/>
    <w:qFormat/>
    <w:uiPriority w:val="0"/>
    <w:pPr>
      <w:widowControl w:val="0"/>
      <w:jc w:val="both"/>
    </w:pPr>
    <w:rPr>
      <w:rFonts w:ascii="Times New Roman" w:hAnsi="Times New Roman" w:cs="Times New Roman"/>
      <w:kern w:val="0"/>
      <w:sz w:val="24"/>
      <w:szCs w:val="24"/>
    </w:rPr>
  </w:style>
  <w:style w:type="paragraph" w:customStyle="1" w:styleId="59">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60">
    <w:name w:val="样式 正文缩进正文缩进2正文缩进 Char Char正文缩进 Char Char Char Char正文缩进 Char ..."/>
    <w:basedOn w:val="13"/>
    <w:qFormat/>
    <w:uiPriority w:val="0"/>
    <w:pPr>
      <w:spacing w:line="360" w:lineRule="auto"/>
      <w:ind w:firstLine="200"/>
    </w:pPr>
    <w:rPr>
      <w:rFonts w:cs="宋体"/>
      <w:sz w:val="24"/>
    </w:rPr>
  </w:style>
  <w:style w:type="paragraph" w:customStyle="1" w:styleId="61">
    <w:name w:val="Char Char Char Char"/>
    <w:basedOn w:val="1"/>
    <w:qFormat/>
    <w:uiPriority w:val="0"/>
    <w:pPr>
      <w:snapToGrid w:val="0"/>
      <w:spacing w:line="360" w:lineRule="auto"/>
      <w:ind w:firstLine="529" w:firstLineChars="200"/>
    </w:pPr>
  </w:style>
  <w:style w:type="paragraph" w:customStyle="1" w:styleId="62">
    <w:name w:val="4正文"/>
    <w:basedOn w:val="1"/>
    <w:qFormat/>
    <w:uiPriority w:val="0"/>
    <w:pPr>
      <w:spacing w:line="240" w:lineRule="exact"/>
      <w:jc w:val="center"/>
    </w:pPr>
    <w:rPr>
      <w:rFonts w:ascii="Calibri" w:hAnsi="Calibri"/>
      <w:szCs w:val="21"/>
    </w:rPr>
  </w:style>
  <w:style w:type="paragraph" w:customStyle="1" w:styleId="63">
    <w:name w:val="填表内容"/>
    <w:basedOn w:val="1"/>
    <w:qFormat/>
    <w:uiPriority w:val="0"/>
    <w:pPr>
      <w:adjustRightInd w:val="0"/>
      <w:spacing w:line="480" w:lineRule="exact"/>
      <w:ind w:firstLine="560" w:firstLineChars="200"/>
      <w:jc w:val="left"/>
      <w:textAlignment w:val="baseline"/>
    </w:pPr>
    <w:rPr>
      <w:rFonts w:ascii="楷体_GB2312" w:eastAsia="楷体_GB2312"/>
      <w:sz w:val="28"/>
    </w:rPr>
  </w:style>
  <w:style w:type="paragraph" w:customStyle="1" w:styleId="64">
    <w:name w:val="报告表正文"/>
    <w:basedOn w:val="1"/>
    <w:link w:val="69"/>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5">
    <w:name w:val="表文"/>
    <w:basedOn w:val="1"/>
    <w:link w:val="100"/>
    <w:qFormat/>
    <w:uiPriority w:val="0"/>
    <w:pPr>
      <w:autoSpaceDE w:val="0"/>
      <w:autoSpaceDN w:val="0"/>
      <w:adjustRightInd w:val="0"/>
      <w:spacing w:line="360" w:lineRule="atLeast"/>
      <w:jc w:val="center"/>
      <w:textAlignment w:val="baseline"/>
    </w:pPr>
    <w:rPr>
      <w:rFonts w:ascii="宋体" w:hAnsi="Tms Rmn"/>
      <w:kern w:val="0"/>
      <w:sz w:val="24"/>
    </w:rPr>
  </w:style>
  <w:style w:type="paragraph" w:customStyle="1" w:styleId="66">
    <w:name w:val="表内文字"/>
    <w:basedOn w:val="1"/>
    <w:qFormat/>
    <w:uiPriority w:val="0"/>
    <w:pPr>
      <w:spacing w:line="320" w:lineRule="exact"/>
      <w:jc w:val="center"/>
    </w:pPr>
    <w:rPr>
      <w:rFonts w:eastAsia="仿宋_GB2312"/>
      <w:szCs w:val="24"/>
    </w:rPr>
  </w:style>
  <w:style w:type="paragraph" w:customStyle="1" w:styleId="67">
    <w:name w:val="表 正文"/>
    <w:basedOn w:val="1"/>
    <w:qFormat/>
    <w:uiPriority w:val="0"/>
    <w:pPr>
      <w:snapToGrid w:val="0"/>
      <w:spacing w:line="360" w:lineRule="auto"/>
      <w:ind w:firstLine="200" w:firstLineChars="200"/>
    </w:pPr>
    <w:rPr>
      <w:kern w:val="44"/>
      <w:sz w:val="24"/>
      <w:szCs w:val="24"/>
    </w:rPr>
  </w:style>
  <w:style w:type="paragraph" w:customStyle="1" w:styleId="68">
    <w:name w:val="xl26"/>
    <w:basedOn w:val="1"/>
    <w:qFormat/>
    <w:uiPriority w:val="0"/>
    <w:pPr>
      <w:widowControl/>
      <w:spacing w:before="100" w:after="100"/>
      <w:jc w:val="center"/>
    </w:pPr>
    <w:rPr>
      <w:kern w:val="0"/>
    </w:rPr>
  </w:style>
  <w:style w:type="character" w:customStyle="1" w:styleId="69">
    <w:name w:val="报告表正文 Char"/>
    <w:link w:val="64"/>
    <w:qFormat/>
    <w:uiPriority w:val="0"/>
    <w:rPr>
      <w:rFonts w:ascii="Times New Roman" w:hAnsi="Times New Roman" w:eastAsia="仿宋_GB2312"/>
      <w:color w:val="000000"/>
      <w:kern w:val="16"/>
      <w:sz w:val="24"/>
      <w:szCs w:val="24"/>
    </w:rPr>
  </w:style>
  <w:style w:type="paragraph" w:customStyle="1" w:styleId="70">
    <w:name w:val="正文1"/>
    <w:basedOn w:val="1"/>
    <w:next w:val="1"/>
    <w:qFormat/>
    <w:uiPriority w:val="0"/>
    <w:pPr>
      <w:snapToGrid w:val="0"/>
      <w:spacing w:line="360" w:lineRule="atLeast"/>
      <w:jc w:val="center"/>
    </w:pPr>
    <w:rPr>
      <w:kern w:val="21"/>
    </w:rPr>
  </w:style>
  <w:style w:type="paragraph" w:customStyle="1" w:styleId="71">
    <w:name w:val="【正文】"/>
    <w:basedOn w:val="1"/>
    <w:qFormat/>
    <w:uiPriority w:val="0"/>
    <w:pPr>
      <w:spacing w:line="440" w:lineRule="exact"/>
      <w:ind w:firstLine="544" w:firstLineChars="200"/>
    </w:pPr>
    <w:rPr>
      <w:kern w:val="0"/>
      <w:sz w:val="24"/>
    </w:rPr>
  </w:style>
  <w:style w:type="paragraph" w:customStyle="1" w:styleId="72">
    <w:name w:val="表 一级标题"/>
    <w:basedOn w:val="1"/>
    <w:qFormat/>
    <w:uiPriority w:val="0"/>
    <w:pPr>
      <w:adjustRightInd w:val="0"/>
      <w:snapToGrid w:val="0"/>
      <w:spacing w:line="360" w:lineRule="auto"/>
    </w:pPr>
    <w:rPr>
      <w:b/>
      <w:sz w:val="24"/>
      <w:szCs w:val="28"/>
    </w:rPr>
  </w:style>
  <w:style w:type="paragraph" w:customStyle="1" w:styleId="73">
    <w:name w:val="默认段落字体 Para Char"/>
    <w:basedOn w:val="1"/>
    <w:qFormat/>
    <w:uiPriority w:val="0"/>
    <w:pPr>
      <w:adjustRightInd w:val="0"/>
      <w:snapToGrid w:val="0"/>
      <w:spacing w:line="360" w:lineRule="auto"/>
      <w:ind w:firstLine="200" w:firstLineChars="200"/>
    </w:pPr>
  </w:style>
  <w:style w:type="paragraph" w:customStyle="1" w:styleId="74">
    <w:name w:val="中文报告书样式"/>
    <w:basedOn w:val="1"/>
    <w:qFormat/>
    <w:uiPriority w:val="0"/>
    <w:pPr>
      <w:adjustRightInd w:val="0"/>
      <w:spacing w:line="480" w:lineRule="atLeast"/>
      <w:ind w:firstLine="482"/>
      <w:textAlignment w:val="baseline"/>
    </w:pPr>
    <w:rPr>
      <w:kern w:val="24"/>
      <w:sz w:val="24"/>
    </w:rPr>
  </w:style>
  <w:style w:type="paragraph" w:customStyle="1" w:styleId="75">
    <w:name w:val="表格标题"/>
    <w:basedOn w:val="6"/>
    <w:next w:val="1"/>
    <w:qFormat/>
    <w:uiPriority w:val="0"/>
    <w:pPr>
      <w:spacing w:line="240" w:lineRule="auto"/>
      <w:ind w:firstLine="0" w:firstLineChars="0"/>
      <w:jc w:val="center"/>
    </w:pPr>
    <w:rPr>
      <w:szCs w:val="21"/>
    </w:rPr>
  </w:style>
  <w:style w:type="paragraph" w:customStyle="1" w:styleId="76">
    <w:name w:val="表格内容"/>
    <w:basedOn w:val="1"/>
    <w:qFormat/>
    <w:uiPriority w:val="0"/>
    <w:pPr>
      <w:adjustRightInd w:val="0"/>
      <w:snapToGrid w:val="0"/>
      <w:spacing w:line="240" w:lineRule="atLeast"/>
      <w:jc w:val="center"/>
    </w:pPr>
    <w:rPr>
      <w:szCs w:val="21"/>
    </w:rPr>
  </w:style>
  <w:style w:type="paragraph" w:customStyle="1" w:styleId="77">
    <w:name w:val="居中正文"/>
    <w:basedOn w:val="36"/>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78">
    <w:name w:val="正文2"/>
    <w:qFormat/>
    <w:uiPriority w:val="0"/>
    <w:pPr>
      <w:jc w:val="both"/>
    </w:pPr>
    <w:rPr>
      <w:rFonts w:ascii="Times New Roman" w:hAnsi="Times New Roman" w:eastAsia="宋体" w:cs="Times New Roman"/>
      <w:kern w:val="2"/>
      <w:sz w:val="21"/>
      <w:szCs w:val="21"/>
      <w:lang w:val="en-US" w:eastAsia="zh-CN" w:bidi="ar-SA"/>
    </w:rPr>
  </w:style>
  <w:style w:type="paragraph" w:styleId="79">
    <w:name w:val="List Paragraph"/>
    <w:basedOn w:val="1"/>
    <w:qFormat/>
    <w:uiPriority w:val="99"/>
    <w:pPr>
      <w:ind w:firstLine="420" w:firstLineChars="200"/>
    </w:pPr>
  </w:style>
  <w:style w:type="paragraph" w:customStyle="1" w:styleId="80">
    <w:name w:val="default"/>
    <w:basedOn w:val="1"/>
    <w:qFormat/>
    <w:uiPriority w:val="99"/>
    <w:pPr>
      <w:widowControl/>
      <w:spacing w:beforeAutospacing="1" w:afterAutospacing="1" w:line="408" w:lineRule="auto"/>
      <w:jc w:val="left"/>
    </w:pPr>
    <w:rPr>
      <w:rFonts w:ascii="宋体" w:hAnsi="宋体" w:eastAsia="微软雅黑"/>
      <w:kern w:val="0"/>
      <w:sz w:val="28"/>
    </w:rPr>
  </w:style>
  <w:style w:type="paragraph" w:customStyle="1" w:styleId="81">
    <w:name w:val="表头111"/>
    <w:basedOn w:val="1"/>
    <w:qFormat/>
    <w:uiPriority w:val="0"/>
    <w:pPr>
      <w:jc w:val="center"/>
    </w:pPr>
    <w:rPr>
      <w:b/>
      <w:szCs w:val="21"/>
    </w:rPr>
  </w:style>
  <w:style w:type="paragraph" w:customStyle="1" w:styleId="82">
    <w:name w:val="报告表小标题"/>
    <w:basedOn w:val="1"/>
    <w:qFormat/>
    <w:uiPriority w:val="0"/>
    <w:pPr>
      <w:spacing w:line="360" w:lineRule="auto"/>
    </w:pPr>
    <w:rPr>
      <w:b/>
      <w:sz w:val="24"/>
    </w:rPr>
  </w:style>
  <w:style w:type="character" w:customStyle="1" w:styleId="83">
    <w:name w:val="font41"/>
    <w:qFormat/>
    <w:uiPriority w:val="0"/>
    <w:rPr>
      <w:rFonts w:hint="default" w:ascii="Times New Roman" w:hAnsi="Times New Roman" w:cs="Times New Roman"/>
      <w:color w:val="000000"/>
      <w:sz w:val="21"/>
      <w:szCs w:val="21"/>
      <w:u w:val="none"/>
    </w:rPr>
  </w:style>
  <w:style w:type="character" w:customStyle="1" w:styleId="84">
    <w:name w:val="font51"/>
    <w:qFormat/>
    <w:uiPriority w:val="0"/>
    <w:rPr>
      <w:rFonts w:hint="eastAsia" w:ascii="宋体" w:hAnsi="宋体" w:eastAsia="宋体" w:cs="宋体"/>
      <w:b/>
      <w:color w:val="000000"/>
      <w:sz w:val="21"/>
      <w:szCs w:val="21"/>
      <w:u w:val="none"/>
    </w:rPr>
  </w:style>
  <w:style w:type="character" w:customStyle="1" w:styleId="85">
    <w:name w:val="font21"/>
    <w:qFormat/>
    <w:uiPriority w:val="0"/>
    <w:rPr>
      <w:rFonts w:hint="eastAsia" w:ascii="宋体" w:hAnsi="宋体" w:eastAsia="宋体" w:cs="宋体"/>
      <w:color w:val="FF0000"/>
      <w:sz w:val="24"/>
      <w:szCs w:val="24"/>
      <w:u w:val="none"/>
    </w:rPr>
  </w:style>
  <w:style w:type="character" w:customStyle="1" w:styleId="86">
    <w:name w:val="font11"/>
    <w:qFormat/>
    <w:uiPriority w:val="0"/>
    <w:rPr>
      <w:rFonts w:hint="eastAsia" w:ascii="宋体" w:hAnsi="宋体" w:eastAsia="宋体" w:cs="宋体"/>
      <w:color w:val="000000"/>
      <w:sz w:val="21"/>
      <w:szCs w:val="21"/>
      <w:u w:val="none"/>
    </w:rPr>
  </w:style>
  <w:style w:type="paragraph" w:customStyle="1" w:styleId="87">
    <w:name w:val="Table Paragraph"/>
    <w:basedOn w:val="1"/>
    <w:qFormat/>
    <w:uiPriority w:val="0"/>
    <w:pPr>
      <w:autoSpaceDE w:val="0"/>
      <w:autoSpaceDN w:val="0"/>
      <w:jc w:val="center"/>
    </w:pPr>
    <w:rPr>
      <w:kern w:val="0"/>
      <w:sz w:val="22"/>
      <w:szCs w:val="22"/>
    </w:rPr>
  </w:style>
  <w:style w:type="paragraph" w:customStyle="1" w:styleId="88">
    <w:name w:val="表格字"/>
    <w:basedOn w:val="12"/>
    <w:qFormat/>
    <w:uiPriority w:val="0"/>
    <w:rPr>
      <w:rFonts w:ascii="Calibri" w:hAnsi="Calibri"/>
      <w:sz w:val="20"/>
    </w:rPr>
  </w:style>
  <w:style w:type="paragraph" w:customStyle="1" w:styleId="89">
    <w:name w:val="正文格式－表格－中"/>
    <w:basedOn w:val="1"/>
    <w:semiHidden/>
    <w:qFormat/>
    <w:uiPriority w:val="0"/>
    <w:pPr>
      <w:widowControl/>
      <w:snapToGrid w:val="0"/>
      <w:jc w:val="center"/>
      <w:textAlignment w:val="center"/>
    </w:pPr>
    <w:rPr>
      <w:sz w:val="24"/>
      <w:szCs w:val="24"/>
    </w:rPr>
  </w:style>
  <w:style w:type="paragraph" w:customStyle="1" w:styleId="90">
    <w:name w:val="环评正文2"/>
    <w:basedOn w:val="1"/>
    <w:qFormat/>
    <w:uiPriority w:val="0"/>
    <w:pPr>
      <w:spacing w:line="360" w:lineRule="auto"/>
    </w:pPr>
    <w:rPr>
      <w:rFonts w:ascii="宋体" w:hAnsi="宋体" w:eastAsia="仿宋_GB2312"/>
      <w:color w:val="000000"/>
      <w:kern w:val="16"/>
      <w:sz w:val="24"/>
      <w:szCs w:val="24"/>
    </w:rPr>
  </w:style>
  <w:style w:type="paragraph" w:customStyle="1" w:styleId="91">
    <w:name w:val="书 正文"/>
    <w:basedOn w:val="1"/>
    <w:qFormat/>
    <w:uiPriority w:val="0"/>
    <w:pPr>
      <w:ind w:firstLine="514" w:firstLineChars="200"/>
    </w:pPr>
    <w:rPr>
      <w:kern w:val="24"/>
      <w:sz w:val="24"/>
    </w:rPr>
  </w:style>
  <w:style w:type="paragraph" w:customStyle="1" w:styleId="92">
    <w:name w:val="报告表表头"/>
    <w:basedOn w:val="65"/>
    <w:next w:val="56"/>
    <w:qFormat/>
    <w:uiPriority w:val="0"/>
    <w:pPr>
      <w:snapToGrid w:val="0"/>
      <w:spacing w:line="240" w:lineRule="auto"/>
    </w:pPr>
    <w:rPr>
      <w:rFonts w:ascii="Times New Roman" w:hAnsi="Times New Roman" w:eastAsia="黑体"/>
      <w:sz w:val="24"/>
      <w:szCs w:val="28"/>
    </w:rPr>
  </w:style>
  <w:style w:type="character" w:customStyle="1" w:styleId="93">
    <w:name w:val="批注框文本 字符"/>
    <w:basedOn w:val="39"/>
    <w:link w:val="27"/>
    <w:qFormat/>
    <w:uiPriority w:val="0"/>
    <w:rPr>
      <w:rFonts w:ascii="Times New Roman" w:hAnsi="Times New Roman" w:eastAsia="宋体" w:cs="Times New Roman"/>
      <w:kern w:val="2"/>
      <w:sz w:val="18"/>
      <w:szCs w:val="18"/>
    </w:rPr>
  </w:style>
  <w:style w:type="character" w:customStyle="1" w:styleId="94">
    <w:name w:val="批注文字 字符"/>
    <w:basedOn w:val="39"/>
    <w:link w:val="16"/>
    <w:qFormat/>
    <w:uiPriority w:val="99"/>
    <w:rPr>
      <w:rFonts w:ascii="Times New Roman" w:hAnsi="Times New Roman" w:eastAsia="宋体" w:cs="Times New Roman"/>
      <w:kern w:val="2"/>
      <w:sz w:val="21"/>
    </w:rPr>
  </w:style>
  <w:style w:type="character" w:customStyle="1" w:styleId="95">
    <w:name w:val="批注主题 字符"/>
    <w:basedOn w:val="94"/>
    <w:link w:val="35"/>
    <w:qFormat/>
    <w:uiPriority w:val="0"/>
    <w:rPr>
      <w:rFonts w:ascii="Times New Roman" w:hAnsi="Times New Roman" w:eastAsia="宋体" w:cs="Times New Roman"/>
      <w:b/>
      <w:bCs/>
      <w:kern w:val="2"/>
      <w:sz w:val="21"/>
    </w:rPr>
  </w:style>
  <w:style w:type="paragraph" w:customStyle="1" w:styleId="96">
    <w:name w:val="No Spacing"/>
    <w:qFormat/>
    <w:uiPriority w:val="0"/>
    <w:pPr>
      <w:widowControl w:val="0"/>
      <w:spacing w:beforeLines="50"/>
      <w:jc w:val="both"/>
    </w:pPr>
    <w:rPr>
      <w:rFonts w:ascii="Calibri" w:hAnsi="Calibri" w:eastAsia="宋体" w:cs="Times New Roman"/>
      <w:kern w:val="2"/>
      <w:sz w:val="21"/>
      <w:szCs w:val="22"/>
      <w:lang w:val="en-US" w:eastAsia="zh-CN" w:bidi="ar-SA"/>
    </w:rPr>
  </w:style>
  <w:style w:type="character" w:customStyle="1" w:styleId="97">
    <w:name w:val="标题 2 Char Char Char Char Char Char Char Char Char Char Char Char Char Char Char Char Char Char Char Char Char Char Char Char"/>
    <w:basedOn w:val="39"/>
    <w:qFormat/>
    <w:uiPriority w:val="0"/>
    <w:rPr>
      <w:rFonts w:ascii="Arial" w:hAnsi="Arial" w:eastAsia="黑体"/>
      <w:b/>
      <w:bCs/>
      <w:kern w:val="2"/>
      <w:sz w:val="32"/>
      <w:szCs w:val="32"/>
      <w:lang w:val="en-US" w:eastAsia="zh-CN" w:bidi="ar-SA"/>
    </w:rPr>
  </w:style>
  <w:style w:type="paragraph" w:customStyle="1" w:styleId="98">
    <w:name w:val="标题　4"/>
    <w:basedOn w:val="8"/>
    <w:qFormat/>
    <w:uiPriority w:val="0"/>
    <w:pPr>
      <w:numPr>
        <w:ilvl w:val="0"/>
        <w:numId w:val="0"/>
      </w:numPr>
      <w:spacing w:before="20" w:beforeLines="20" w:after="20" w:afterLines="20"/>
    </w:pPr>
    <w:rPr>
      <w:rFonts w:ascii="Times New Roman" w:hAnsi="Times New Roman"/>
      <w:b w:val="0"/>
      <w:kern w:val="0"/>
      <w:szCs w:val="20"/>
    </w:rPr>
  </w:style>
  <w:style w:type="paragraph" w:customStyle="1" w:styleId="99">
    <w:name w:val="样式1"/>
    <w:basedOn w:val="1"/>
    <w:qFormat/>
    <w:uiPriority w:val="0"/>
    <w:rPr>
      <w:rFonts w:ascii="Times New Roman"/>
    </w:rPr>
  </w:style>
  <w:style w:type="character" w:customStyle="1" w:styleId="100">
    <w:name w:val="表文 Char"/>
    <w:link w:val="65"/>
    <w:qFormat/>
    <w:uiPriority w:val="0"/>
    <w:rPr>
      <w:rFonts w:ascii="宋体" w:hAnsi="Tms Rmn"/>
      <w:kern w:val="0"/>
      <w:sz w:val="24"/>
    </w:rPr>
  </w:style>
  <w:style w:type="table" w:customStyle="1" w:styleId="10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02">
    <w:name w:val="15"/>
    <w:basedOn w:val="39"/>
    <w:qFormat/>
    <w:uiPriority w:val="0"/>
    <w:rPr>
      <w:rFonts w:hint="default" w:ascii="Times New Roman" w:hAnsi="Times New Roman" w:cs="Times New Roman"/>
      <w:color w:val="0000FF"/>
      <w:u w:val="single"/>
    </w:rPr>
  </w:style>
  <w:style w:type="paragraph" w:customStyle="1" w:styleId="103">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104">
    <w:name w:val="预测表格"/>
    <w:basedOn w:val="105"/>
    <w:next w:val="1"/>
    <w:qFormat/>
    <w:uiPriority w:val="0"/>
    <w:pPr>
      <w:ind w:left="-15" w:leftChars="-15" w:right="-15" w:rightChars="-15"/>
      <w:jc w:val="center"/>
    </w:pPr>
    <w:rPr>
      <w:rFonts w:ascii="宋体" w:hAnsi="宋体"/>
      <w:spacing w:val="-5"/>
      <w:sz w:val="18"/>
      <w:szCs w:val="18"/>
    </w:rPr>
  </w:style>
  <w:style w:type="paragraph" w:customStyle="1" w:styleId="105">
    <w:name w:val="表格1"/>
    <w:basedOn w:val="1"/>
    <w:qFormat/>
    <w:uiPriority w:val="0"/>
    <w:pPr>
      <w:adjustRightInd w:val="0"/>
      <w:spacing w:line="300" w:lineRule="auto"/>
      <w:jc w:val="center"/>
      <w:textAlignment w:val="baseline"/>
    </w:pPr>
    <w:rPr>
      <w:rFonts w:ascii="宋体"/>
      <w:kern w:val="0"/>
      <w:lang w:val="en-US" w:eastAsia="zh-CN"/>
    </w:rPr>
  </w:style>
  <w:style w:type="table" w:customStyle="1" w:styleId="106">
    <w:name w:val="表格主题11"/>
    <w:basedOn w:val="37"/>
    <w:qFormat/>
    <w:uiPriority w:val="0"/>
    <w:pPr>
      <w:widowControl w:val="0"/>
      <w:jc w:val="both"/>
    </w:pPr>
    <w:rPr>
      <w:rFonts w:ascii="宋体"/>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107">
    <w:name w:val="zhang正文"/>
    <w:basedOn w:val="3"/>
    <w:qFormat/>
    <w:uiPriority w:val="0"/>
    <w:pPr>
      <w:autoSpaceDE w:val="0"/>
      <w:autoSpaceDN w:val="0"/>
      <w:adjustRightInd w:val="0"/>
      <w:snapToGrid w:val="0"/>
      <w:spacing w:after="0" w:line="500" w:lineRule="exact"/>
      <w:ind w:left="0" w:leftChars="0" w:firstLine="539"/>
    </w:pPr>
    <w:rPr>
      <w:rFonts w:eastAsia="楷体_GB2312"/>
      <w:kern w:val="0"/>
      <w:sz w:val="28"/>
      <w:szCs w:val="20"/>
    </w:rPr>
  </w:style>
  <w:style w:type="paragraph" w:customStyle="1" w:styleId="108">
    <w:name w:val="表格正文"/>
    <w:basedOn w:val="1"/>
    <w:qFormat/>
    <w:uiPriority w:val="0"/>
    <w:pPr>
      <w:jc w:val="center"/>
    </w:pPr>
    <w:rPr>
      <w:rFonts w:ascii="仿宋_GB2312" w:hAnsi="仿宋_GB2312" w:eastAsia="仿宋_GB2312"/>
    </w:rPr>
  </w:style>
  <w:style w:type="character" w:customStyle="1" w:styleId="109">
    <w:name w:val="纯文本 Char"/>
    <w:basedOn w:val="39"/>
    <w:link w:val="22"/>
    <w:qFormat/>
    <w:uiPriority w:val="0"/>
    <w:rPr>
      <w:rFonts w:hint="eastAsia" w:ascii="宋体" w:hAnsi="Courier New" w:eastAsia="宋体" w:cs="宋体"/>
      <w:kern w:val="2"/>
      <w:sz w:val="21"/>
    </w:rPr>
  </w:style>
  <w:style w:type="paragraph" w:customStyle="1" w:styleId="110">
    <w:name w:val="新格式表"/>
    <w:basedOn w:val="1"/>
    <w:qFormat/>
    <w:uiPriority w:val="0"/>
    <w:pPr>
      <w:adjustRightInd w:val="0"/>
      <w:snapToGrid w:val="0"/>
      <w:spacing w:line="0" w:lineRule="atLeast"/>
      <w:jc w:val="center"/>
    </w:pPr>
    <w:rPr>
      <w:color w:val="000000"/>
      <w:kern w:val="0"/>
      <w:szCs w:val="21"/>
    </w:rPr>
  </w:style>
  <w:style w:type="paragraph" w:customStyle="1" w:styleId="111">
    <w:name w:val="0正文中9.8新"/>
    <w:basedOn w:val="1"/>
    <w:qFormat/>
    <w:uiPriority w:val="0"/>
    <w:pPr>
      <w:spacing w:line="360" w:lineRule="auto"/>
      <w:ind w:firstLine="200" w:firstLineChars="200"/>
    </w:pPr>
    <w:rPr>
      <w:rFonts w:ascii="宋体" w:hAnsi="宋体" w:eastAsia="仿宋_GB2312"/>
      <w:sz w:val="24"/>
      <w:szCs w:val="24"/>
    </w:rPr>
  </w:style>
  <w:style w:type="paragraph" w:customStyle="1" w:styleId="112">
    <w:name w:val="1表格"/>
    <w:basedOn w:val="1"/>
    <w:qFormat/>
    <w:uiPriority w:val="0"/>
    <w:pPr>
      <w:snapToGrid w:val="0"/>
      <w:spacing w:line="160" w:lineRule="atLeast"/>
      <w:jc w:val="center"/>
    </w:pPr>
    <w:rPr>
      <w:rFonts w:eastAsia="仿宋_GB2312"/>
    </w:rPr>
  </w:style>
  <w:style w:type="paragraph" w:customStyle="1" w:styleId="113">
    <w:name w:val="二级无标题条"/>
    <w:basedOn w:val="1"/>
    <w:qFormat/>
    <w:uiPriority w:val="0"/>
    <w:rPr>
      <w:szCs w:val="24"/>
    </w:rPr>
  </w:style>
  <w:style w:type="paragraph" w:customStyle="1" w:styleId="114">
    <w:name w:val="正文修改"/>
    <w:basedOn w:val="1"/>
    <w:qFormat/>
    <w:uiPriority w:val="0"/>
    <w:pPr>
      <w:ind w:firstLine="480"/>
    </w:pPr>
    <w:rPr>
      <w:rFonts w:cs="宋体"/>
      <w:sz w:val="24"/>
      <w:szCs w:val="24"/>
    </w:rPr>
  </w:style>
  <w:style w:type="paragraph" w:customStyle="1" w:styleId="115">
    <w:name w:val="7、表格中文字"/>
    <w:basedOn w:val="1"/>
    <w:qFormat/>
    <w:uiPriority w:val="0"/>
    <w:pPr>
      <w:spacing w:line="240" w:lineRule="exact"/>
    </w:pPr>
    <w:rPr>
      <w:rFonts w:ascii="方正书宋简体" w:eastAsia="方正书宋简体"/>
      <w:sz w:val="18"/>
      <w:szCs w:val="18"/>
    </w:rPr>
  </w:style>
  <w:style w:type="paragraph" w:customStyle="1" w:styleId="116">
    <w:name w:val="【表中文字】"/>
    <w:basedOn w:val="1"/>
    <w:semiHidden/>
    <w:qFormat/>
    <w:uiPriority w:val="0"/>
    <w:pPr>
      <w:jc w:val="center"/>
    </w:pPr>
    <w:rPr>
      <w:rFonts w:eastAsia="Times New Roman"/>
    </w:rPr>
  </w:style>
  <w:style w:type="paragraph" w:customStyle="1" w:styleId="117">
    <w:name w:val="表格内"/>
    <w:basedOn w:val="1"/>
    <w:qFormat/>
    <w:uiPriority w:val="99"/>
    <w:pPr>
      <w:widowControl/>
      <w:adjustRightInd w:val="0"/>
      <w:spacing w:line="240" w:lineRule="atLeast"/>
      <w:jc w:val="center"/>
      <w:textAlignment w:val="baseline"/>
    </w:pPr>
    <w:rPr>
      <w:rFonts w:ascii="宋体" w:hAnsi="Calibri"/>
      <w:kern w:val="0"/>
      <w:szCs w:val="20"/>
    </w:rPr>
  </w:style>
  <w:style w:type="paragraph" w:customStyle="1" w:styleId="118">
    <w:name w:val="标准正文"/>
    <w:basedOn w:val="1"/>
    <w:qFormat/>
    <w:uiPriority w:val="0"/>
    <w:pPr>
      <w:spacing w:line="360" w:lineRule="auto"/>
      <w:ind w:firstLine="480" w:firstLineChars="200"/>
    </w:pPr>
    <w:rPr>
      <w:rFonts w:ascii="Calibri" w:hAnsi="宋体" w:cs="Times New Roman"/>
      <w:sz w:val="24"/>
    </w:rPr>
  </w:style>
  <w:style w:type="paragraph" w:customStyle="1" w:styleId="119">
    <w:name w:val="夏氏正文"/>
    <w:basedOn w:val="1"/>
    <w:qFormat/>
    <w:uiPriority w:val="0"/>
    <w:pPr>
      <w:widowControl/>
      <w:adjustRightInd w:val="0"/>
      <w:snapToGrid w:val="0"/>
      <w:spacing w:line="360" w:lineRule="auto"/>
      <w:ind w:firstLine="482"/>
    </w:pPr>
    <w:rPr>
      <w:rFonts w:ascii="Times New Roman" w:hAnsi="Times New Roman" w:cs="Times New Roman"/>
      <w:color w:val="auto"/>
      <w:kern w:val="0"/>
    </w:rPr>
  </w:style>
  <w:style w:type="paragraph" w:customStyle="1" w:styleId="120">
    <w:name w:val="样式 表格 32 + 首行缩进:  2 字符"/>
    <w:basedOn w:val="1"/>
    <w:qFormat/>
    <w:uiPriority w:val="0"/>
    <w:pPr>
      <w:tabs>
        <w:tab w:val="left" w:pos="480"/>
      </w:tabs>
      <w:autoSpaceDE w:val="0"/>
      <w:autoSpaceDN w:val="0"/>
      <w:adjustRightInd w:val="0"/>
      <w:spacing w:line="240" w:lineRule="atLeast"/>
      <w:jc w:val="center"/>
      <w:textAlignment w:val="baseline"/>
    </w:pPr>
    <w:rPr>
      <w:kern w:val="0"/>
      <w:sz w:val="21"/>
      <w:szCs w:val="21"/>
    </w:rPr>
  </w:style>
  <w:style w:type="paragraph" w:customStyle="1" w:styleId="121">
    <w:name w:val="Heading 1"/>
    <w:basedOn w:val="1"/>
    <w:qFormat/>
    <w:uiPriority w:val="0"/>
    <w:pPr>
      <w:spacing w:before="39"/>
      <w:outlineLvl w:val="1"/>
    </w:pPr>
    <w:rPr>
      <w:b/>
      <w:bCs/>
      <w:sz w:val="36"/>
      <w:szCs w:val="36"/>
    </w:rPr>
  </w:style>
  <w:style w:type="character" w:customStyle="1" w:styleId="122">
    <w:name w:val="16"/>
    <w:basedOn w:val="39"/>
    <w:qFormat/>
    <w:uiPriority w:val="0"/>
    <w:rPr>
      <w:rFonts w:hint="eastAsia" w:ascii="宋体" w:hAnsi="宋体" w:eastAsia="宋体"/>
      <w:color w:val="000000"/>
      <w:sz w:val="21"/>
      <w:szCs w:val="21"/>
    </w:rPr>
  </w:style>
  <w:style w:type="paragraph" w:customStyle="1" w:styleId="123">
    <w:name w:val="正文_7"/>
    <w:qFormat/>
    <w:uiPriority w:val="0"/>
    <w:pPr>
      <w:widowControl w:val="0"/>
      <w:jc w:val="both"/>
    </w:pPr>
    <w:rPr>
      <w:rFonts w:ascii="Calibri" w:hAnsi="Calibri" w:eastAsia="楷体_GB2312" w:cs="Arial"/>
      <w:kern w:val="2"/>
      <w:sz w:val="21"/>
      <w:lang w:val="en-US" w:eastAsia="zh-CN" w:bidi="ar-SA"/>
    </w:rPr>
  </w:style>
  <w:style w:type="paragraph" w:customStyle="1" w:styleId="124">
    <w:name w:val="君邦正文"/>
    <w:qFormat/>
    <w:uiPriority w:val="0"/>
    <w:pPr>
      <w:spacing w:after="60" w:line="360" w:lineRule="auto"/>
      <w:ind w:firstLine="480" w:firstLineChars="200"/>
      <w:jc w:val="both"/>
    </w:pPr>
    <w:rPr>
      <w:rFonts w:ascii="Arial" w:hAnsi="Arial" w:eastAsia="楷体_GB2312" w:cs="Arial"/>
      <w:bCs/>
      <w:snapToGrid w:val="0"/>
      <w:sz w:val="24"/>
      <w:szCs w:val="22"/>
      <w:lang w:val="en-US" w:eastAsia="zh-CN" w:bidi="ar-SA"/>
    </w:rPr>
  </w:style>
  <w:style w:type="paragraph" w:customStyle="1" w:styleId="125">
    <w:name w:val="1表格字体"/>
    <w:basedOn w:val="1"/>
    <w:qFormat/>
    <w:uiPriority w:val="0"/>
    <w:pPr>
      <w:adjustRightInd w:val="0"/>
      <w:jc w:val="center"/>
    </w:pPr>
  </w:style>
  <w:style w:type="paragraph" w:customStyle="1" w:styleId="126">
    <w:name w:val="00-表头"/>
    <w:basedOn w:val="127"/>
    <w:next w:val="128"/>
    <w:qFormat/>
    <w:uiPriority w:val="0"/>
    <w:pPr>
      <w:spacing w:line="240" w:lineRule="auto"/>
    </w:pPr>
    <w:rPr>
      <w:rFonts w:ascii="Times New Roman" w:hAnsi="Times New Roman"/>
      <w:sz w:val="21"/>
      <w:szCs w:val="20"/>
    </w:rPr>
  </w:style>
  <w:style w:type="paragraph" w:customStyle="1" w:styleId="127">
    <w:name w:val="表 标题"/>
    <w:basedOn w:val="31"/>
    <w:next w:val="56"/>
    <w:qFormat/>
    <w:uiPriority w:val="0"/>
    <w:pPr>
      <w:spacing w:before="156" w:beforeLines="50"/>
      <w:ind w:left="0" w:leftChars="0" w:firstLine="0" w:firstLineChars="0"/>
      <w:jc w:val="center"/>
    </w:pPr>
    <w:rPr>
      <w:rFonts w:hAnsi="宋体"/>
      <w:b/>
      <w:sz w:val="24"/>
      <w:szCs w:val="20"/>
    </w:rPr>
  </w:style>
  <w:style w:type="paragraph" w:customStyle="1" w:styleId="128">
    <w:name w:val="正文-唐"/>
    <w:basedOn w:val="17"/>
    <w:qFormat/>
    <w:uiPriority w:val="0"/>
    <w:pPr>
      <w:spacing w:line="360" w:lineRule="auto"/>
      <w:ind w:firstLine="600" w:firstLineChars="200"/>
      <w:jc w:val="left"/>
    </w:pPr>
    <w:rPr>
      <w:rFonts w:ascii="Times New Roman" w:hAnsi="Times New Roman"/>
      <w:kern w:val="0"/>
      <w:sz w:val="24"/>
    </w:rPr>
  </w:style>
  <w:style w:type="paragraph" w:customStyle="1" w:styleId="129">
    <w:name w:val="表 图 内容"/>
    <w:basedOn w:val="130"/>
    <w:qFormat/>
    <w:uiPriority w:val="0"/>
    <w:pPr>
      <w:jc w:val="center"/>
    </w:pPr>
    <w:rPr>
      <w:color w:val="000000"/>
      <w:sz w:val="21"/>
    </w:rPr>
  </w:style>
  <w:style w:type="paragraph" w:customStyle="1" w:styleId="130">
    <w:name w:val="正  文"/>
    <w:basedOn w:val="1"/>
    <w:qFormat/>
    <w:uiPriority w:val="0"/>
    <w:pPr>
      <w:spacing w:line="360" w:lineRule="auto"/>
      <w:ind w:firstLine="560" w:firstLineChars="200"/>
    </w:pPr>
    <w:rPr>
      <w:rFonts w:eastAsia="仿宋_GB2312"/>
      <w:sz w:val="28"/>
      <w:szCs w:val="28"/>
    </w:rPr>
  </w:style>
  <w:style w:type="paragraph" w:customStyle="1" w:styleId="131">
    <w:name w:val="正文 小丹"/>
    <w:basedOn w:val="36"/>
    <w:semiHidden/>
    <w:qFormat/>
    <w:uiPriority w:val="0"/>
    <w:pPr>
      <w:adjustRightInd w:val="0"/>
      <w:snapToGrid w:val="0"/>
      <w:spacing w:after="0" w:line="360" w:lineRule="auto"/>
      <w:ind w:firstLine="200" w:firstLineChars="200"/>
      <w:textAlignment w:val="baseline"/>
    </w:pPr>
    <w:rPr>
      <w:rFonts w:ascii="宋体" w:hAnsi="宋体"/>
      <w:color w:val="000000"/>
      <w:spacing w:val="6"/>
      <w:kern w:val="0"/>
      <w:sz w:val="24"/>
    </w:rPr>
  </w:style>
  <w:style w:type="paragraph" w:customStyle="1" w:styleId="132">
    <w:name w:val="表格001"/>
    <w:basedOn w:val="1"/>
    <w:qFormat/>
    <w:uiPriority w:val="0"/>
    <w:pPr>
      <w:jc w:val="center"/>
    </w:pPr>
    <w:rPr>
      <w:szCs w:val="20"/>
    </w:rPr>
  </w:style>
  <w:style w:type="character" w:customStyle="1" w:styleId="133">
    <w:name w:val="font81"/>
    <w:basedOn w:val="39"/>
    <w:qFormat/>
    <w:uiPriority w:val="0"/>
    <w:rPr>
      <w:rFonts w:hint="default" w:ascii="Times New Roman" w:hAnsi="Times New Roman" w:cs="Times New Roman"/>
      <w:b/>
      <w:bCs/>
      <w:color w:val="000000"/>
      <w:sz w:val="21"/>
      <w:szCs w:val="21"/>
      <w:u w:val="none"/>
      <w:vertAlign w:val="subscript"/>
    </w:rPr>
  </w:style>
  <w:style w:type="character" w:customStyle="1" w:styleId="134">
    <w:name w:val="font31"/>
    <w:basedOn w:val="39"/>
    <w:qFormat/>
    <w:uiPriority w:val="0"/>
    <w:rPr>
      <w:rFonts w:hint="eastAsia" w:ascii="宋体" w:hAnsi="宋体" w:eastAsia="宋体" w:cs="宋体"/>
      <w:color w:val="000000"/>
      <w:sz w:val="18"/>
      <w:szCs w:val="18"/>
      <w:u w:val="none"/>
    </w:rPr>
  </w:style>
  <w:style w:type="character" w:customStyle="1" w:styleId="135">
    <w:name w:val="font01"/>
    <w:basedOn w:val="39"/>
    <w:qFormat/>
    <w:uiPriority w:val="0"/>
    <w:rPr>
      <w:rFonts w:hint="default" w:ascii="Times New Roman" w:hAnsi="Times New Roman" w:cs="Times New Roman"/>
      <w:b/>
      <w:bCs/>
      <w:color w:val="000000"/>
      <w:sz w:val="18"/>
      <w:szCs w:val="18"/>
      <w:u w:val="none"/>
    </w:rPr>
  </w:style>
  <w:style w:type="paragraph" w:styleId="136">
    <w:name w:val="Quote"/>
    <w:basedOn w:val="1"/>
    <w:next w:val="1"/>
    <w:qFormat/>
    <w:uiPriority w:val="0"/>
    <w:rPr>
      <w:rFonts w:ascii="Calibri" w:hAnsi="Calibri"/>
      <w:i/>
      <w:kern w:val="0"/>
      <w:lang w:eastAsia="en-US" w:bidi="en-US"/>
    </w:rPr>
  </w:style>
  <w:style w:type="paragraph" w:customStyle="1" w:styleId="137">
    <w:name w:val="表格格式1"/>
    <w:basedOn w:val="1"/>
    <w:qFormat/>
    <w:uiPriority w:val="0"/>
    <w:pPr>
      <w:adjustRightInd w:val="0"/>
      <w:snapToGrid w:val="0"/>
      <w:jc w:val="center"/>
    </w:pPr>
    <w:rPr>
      <w:rFonts w:ascii="宋体" w:hAnsi="宋体" w:eastAsia="宋体" w:cs="Times New Roman"/>
      <w:color w:val="0000FF"/>
      <w:w w:val="9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emf"/><Relationship Id="rId22" Type="http://schemas.openxmlformats.org/officeDocument/2006/relationships/oleObject" Target="embeddings/oleObject5.bin"/><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45054</Words>
  <Characters>50673</Characters>
  <Lines>1</Lines>
  <Paragraphs>1</Paragraphs>
  <TotalTime>20</TotalTime>
  <ScaleCrop>false</ScaleCrop>
  <LinksUpToDate>false</LinksUpToDate>
  <CharactersWithSpaces>50969</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2020-04-02T10:31:00Z</dcterms:created>
  <dc:creator>妮娜</dc:creator>
  <cp:lastModifiedBy>Administrator</cp:lastModifiedBy>
  <cp:lastPrinted>2021-04-03T11:15:00Z</cp:lastPrinted>
  <dcterms:modified xsi:type="dcterms:W3CDTF">2026-04-20T08:49:28Z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DD60E4A3544D4FB09C55E7EA4A6652FB</vt:lpwstr>
  </property>
  <property fmtid="{D5CDD505-2E9C-101B-9397-08002B2CF9AE}" pid="4" name="KSOTemplateDocerSaveRecord">
    <vt:lpwstr>eyJoZGlkIjoiMzM0ZWVlZTg1OGVkYTBmZmY5MWM5OTZkZDBmNmNiNzUiLCJ1c2VySWQiOiIyNjc5ODE4MTEifQ==</vt:lpwstr>
  </property>
</Properties>
</file>