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left="0" w:leftChars="0" w:firstLine="0"/>
      </w:pPr>
      <w:bookmarkStart w:id="38" w:name="_GoBack"/>
      <w:bookmarkEnd w:id="38"/>
    </w:p>
    <w:p/>
    <w:p>
      <w:pPr>
        <w:pStyle w:val="46"/>
      </w:pPr>
    </w:p>
    <w:p>
      <w:pPr>
        <w:pStyle w:val="46"/>
      </w:pPr>
    </w:p>
    <w:p>
      <w:pPr>
        <w:widowControl/>
        <w:adjustRightInd w:val="0"/>
        <w:snapToGrid w:val="0"/>
        <w:jc w:val="center"/>
        <w:outlineLvl w:val="0"/>
        <w:rPr>
          <w:rFonts w:eastAsia="楷体_GB2312"/>
          <w:bCs/>
          <w:sz w:val="72"/>
          <w:szCs w:val="72"/>
        </w:rPr>
      </w:pPr>
      <w:r>
        <w:rPr>
          <w:rFonts w:eastAsia="方正小标宋_GBK"/>
          <w:bCs/>
          <w:sz w:val="72"/>
          <w:szCs w:val="72"/>
        </w:rPr>
        <w:t>建设项目环境影响报告表</w:t>
      </w:r>
    </w:p>
    <w:p>
      <w:pPr>
        <w:adjustRightInd w:val="0"/>
        <w:snapToGrid w:val="0"/>
        <w:spacing w:beforeLines="80"/>
        <w:jc w:val="center"/>
        <w:rPr>
          <w:rFonts w:eastAsia="楷体_GB2312"/>
          <w:bCs/>
          <w:sz w:val="48"/>
          <w:szCs w:val="48"/>
        </w:rPr>
      </w:pPr>
      <w:r>
        <w:rPr>
          <w:rFonts w:eastAsia="楷体_GB2312"/>
          <w:bCs/>
          <w:sz w:val="48"/>
          <w:szCs w:val="48"/>
        </w:rPr>
        <w:t>（生态影响类）</w:t>
      </w:r>
    </w:p>
    <w:p>
      <w:pPr>
        <w:pStyle w:val="46"/>
        <w:rPr>
          <w:rFonts w:eastAsia="楷体_GB2312"/>
          <w:bCs/>
          <w:sz w:val="48"/>
          <w:szCs w:val="48"/>
        </w:rPr>
      </w:pPr>
    </w:p>
    <w:p>
      <w:pPr>
        <w:pStyle w:val="46"/>
        <w:rPr>
          <w:rFonts w:eastAsia="楷体_GB2312"/>
          <w:bCs/>
          <w:sz w:val="48"/>
          <w:szCs w:val="48"/>
        </w:rPr>
      </w:pPr>
    </w:p>
    <w:p>
      <w:pPr>
        <w:pStyle w:val="46"/>
        <w:rPr>
          <w:rFonts w:eastAsia="楷体_GB2312"/>
          <w:bCs/>
          <w:sz w:val="48"/>
          <w:szCs w:val="48"/>
        </w:rPr>
      </w:pPr>
    </w:p>
    <w:p>
      <w:pPr>
        <w:pStyle w:val="46"/>
        <w:rPr>
          <w:rFonts w:eastAsia="楷体_GB2312"/>
          <w:bCs/>
          <w:sz w:val="48"/>
          <w:szCs w:val="48"/>
        </w:rPr>
      </w:pPr>
    </w:p>
    <w:p>
      <w:pPr>
        <w:pStyle w:val="46"/>
        <w:rPr>
          <w:rFonts w:eastAsia="楷体_GB2312"/>
          <w:bCs/>
          <w:sz w:val="48"/>
          <w:szCs w:val="48"/>
        </w:rPr>
      </w:pPr>
    </w:p>
    <w:p>
      <w:pPr>
        <w:pStyle w:val="46"/>
        <w:rPr>
          <w:rFonts w:eastAsia="楷体_GB2312"/>
          <w:bCs/>
          <w:sz w:val="48"/>
          <w:szCs w:val="48"/>
        </w:rPr>
      </w:pPr>
    </w:p>
    <w:p>
      <w:pPr>
        <w:adjustRightInd w:val="0"/>
        <w:snapToGrid w:val="0"/>
        <w:spacing w:line="288" w:lineRule="auto"/>
        <w:ind w:firstLine="375" w:firstLineChars="100"/>
        <w:rPr>
          <w:rFonts w:eastAsia="仿宋"/>
          <w:sz w:val="36"/>
          <w:szCs w:val="36"/>
          <w:u w:val="single"/>
        </w:rPr>
      </w:pPr>
      <w:r>
        <w:rPr>
          <w:rFonts w:eastAsia="仿宋_GB2312"/>
          <w:sz w:val="36"/>
          <w:szCs w:val="36"/>
        </w:rPr>
        <w:t>项目名称：</w:t>
      </w:r>
      <w:r>
        <w:rPr>
          <w:rFonts w:eastAsia="仿宋"/>
          <w:sz w:val="36"/>
          <w:szCs w:val="36"/>
          <w:u w:val="single"/>
        </w:rPr>
        <w:t xml:space="preserve">  彭阳县雅石沟水库除险加固工程    </w:t>
      </w:r>
    </w:p>
    <w:p>
      <w:pPr>
        <w:adjustRightInd w:val="0"/>
        <w:snapToGrid w:val="0"/>
        <w:spacing w:line="288" w:lineRule="auto"/>
        <w:ind w:firstLine="375" w:firstLineChars="100"/>
        <w:rPr>
          <w:rFonts w:eastAsia="仿宋_GB2312"/>
          <w:spacing w:val="-20"/>
          <w:sz w:val="36"/>
          <w:szCs w:val="36"/>
          <w:u w:val="single"/>
        </w:rPr>
      </w:pPr>
      <w:r>
        <w:rPr>
          <w:rFonts w:eastAsia="仿宋_GB2312"/>
          <w:sz w:val="36"/>
          <w:szCs w:val="36"/>
        </w:rPr>
        <w:t>建设单位</w:t>
      </w:r>
      <w:r>
        <w:rPr>
          <w:rFonts w:eastAsia="仿宋_GB2312"/>
          <w:spacing w:val="-20"/>
          <w:sz w:val="36"/>
          <w:szCs w:val="36"/>
        </w:rPr>
        <w:t>（盖章）：</w:t>
      </w:r>
      <w:r>
        <w:rPr>
          <w:rFonts w:eastAsia="仿宋_GB2312"/>
          <w:spacing w:val="-20"/>
          <w:sz w:val="36"/>
          <w:szCs w:val="36"/>
          <w:u w:val="single"/>
        </w:rPr>
        <w:t xml:space="preserve">       彭阳县水务局              </w:t>
      </w:r>
    </w:p>
    <w:p>
      <w:pPr>
        <w:adjustRightInd w:val="0"/>
        <w:snapToGrid w:val="0"/>
        <w:spacing w:line="288" w:lineRule="auto"/>
        <w:ind w:firstLine="375" w:firstLineChars="100"/>
        <w:rPr>
          <w:rFonts w:eastAsia="仿宋_GB2312"/>
          <w:sz w:val="36"/>
          <w:szCs w:val="36"/>
          <w:u w:val="single"/>
        </w:rPr>
      </w:pPr>
      <w:r>
        <w:rPr>
          <w:rFonts w:eastAsia="仿宋_GB2312"/>
          <w:sz w:val="36"/>
          <w:szCs w:val="36"/>
        </w:rPr>
        <w:t>编制日期：</w:t>
      </w:r>
      <w:r>
        <w:rPr>
          <w:rFonts w:eastAsia="仿宋_GB2312"/>
          <w:sz w:val="36"/>
          <w:szCs w:val="36"/>
          <w:u w:val="single"/>
        </w:rPr>
        <w:t>2025年</w:t>
      </w:r>
      <w:r>
        <w:rPr>
          <w:rFonts w:hint="eastAsia" w:eastAsia="仿宋_GB2312"/>
          <w:sz w:val="36"/>
          <w:szCs w:val="36"/>
          <w:u w:val="single"/>
        </w:rPr>
        <w:t>8</w:t>
      </w:r>
      <w:r>
        <w:rPr>
          <w:rFonts w:eastAsia="仿宋_GB2312"/>
          <w:sz w:val="36"/>
          <w:szCs w:val="36"/>
          <w:u w:val="single"/>
        </w:rPr>
        <w:t xml:space="preserve">月     </w:t>
      </w:r>
    </w:p>
    <w:p>
      <w:pPr>
        <w:adjustRightInd w:val="0"/>
        <w:snapToGrid w:val="0"/>
        <w:spacing w:line="288" w:lineRule="auto"/>
        <w:rPr>
          <w:rFonts w:eastAsia="仿宋_GB2312"/>
          <w:sz w:val="36"/>
          <w:szCs w:val="36"/>
        </w:rPr>
      </w:pPr>
      <w:bookmarkStart w:id="0" w:name="_Hlk57884087"/>
    </w:p>
    <w:bookmarkEnd w:id="0"/>
    <w:p>
      <w:pPr>
        <w:adjustRightInd w:val="0"/>
        <w:snapToGrid w:val="0"/>
        <w:spacing w:beforeLines="80"/>
        <w:jc w:val="center"/>
        <w:rPr>
          <w:rFonts w:eastAsia="仿宋_GB2312"/>
          <w:sz w:val="36"/>
          <w:szCs w:val="36"/>
        </w:rPr>
      </w:pPr>
      <w:r>
        <w:rPr>
          <w:rFonts w:eastAsia="楷体_GB2312"/>
          <w:sz w:val="36"/>
          <w:szCs w:val="36"/>
        </w:rPr>
        <w:t>中华人民共和国生态环境部制</w:t>
      </w:r>
    </w:p>
    <w:p>
      <w:pPr>
        <w:adjustRightInd w:val="0"/>
        <w:snapToGrid w:val="0"/>
        <w:spacing w:line="288" w:lineRule="auto"/>
        <w:ind w:left="1880" w:hanging="1875" w:hangingChars="500"/>
        <w:rPr>
          <w:rFonts w:eastAsia="楷体_GB2312"/>
          <w:sz w:val="36"/>
          <w:szCs w:val="36"/>
        </w:rPr>
        <w:sectPr>
          <w:headerReference r:id="rId3" w:type="default"/>
          <w:footerReference r:id="rId4" w:type="default"/>
          <w:pgSz w:w="11905" w:h="16838"/>
          <w:pgMar w:top="1417" w:right="1417" w:bottom="1417" w:left="1417" w:header="850" w:footer="964" w:gutter="0"/>
          <w:pgNumType w:start="3"/>
          <w:cols w:space="720" w:num="1"/>
          <w:docGrid w:type="linesAndChars" w:linePitch="466" w:charSpace="3276"/>
        </w:sectPr>
      </w:pPr>
    </w:p>
    <w:p>
      <w:pPr>
        <w:pStyle w:val="52"/>
        <w:spacing w:before="46" w:after="46"/>
        <w:rPr>
          <w:rFonts w:ascii="Times New Roman"/>
        </w:rPr>
        <w:sectPr>
          <w:pgSz w:w="16838" w:h="11905" w:orient="landscape"/>
          <w:pgMar w:top="1417" w:right="1417" w:bottom="1417" w:left="1417" w:header="850" w:footer="964" w:gutter="0"/>
          <w:pgNumType w:start="3"/>
          <w:cols w:space="720" w:num="1"/>
          <w:docGrid w:type="linesAndChars" w:linePitch="466" w:charSpace="3276"/>
        </w:sectPr>
      </w:pPr>
      <w:r>
        <w:rPr>
          <w:rFonts w:ascii="Times New Roman"/>
        </w:rPr>
        <w:drawing>
          <wp:anchor distT="0" distB="0" distL="114300" distR="114300" simplePos="0" relativeHeight="251665408" behindDoc="0" locked="0" layoutInCell="1" allowOverlap="1">
            <wp:simplePos x="0" y="0"/>
            <wp:positionH relativeFrom="column">
              <wp:posOffset>-626745</wp:posOffset>
            </wp:positionH>
            <wp:positionV relativeFrom="paragraph">
              <wp:posOffset>-509270</wp:posOffset>
            </wp:positionV>
            <wp:extent cx="9673590" cy="6890385"/>
            <wp:effectExtent l="0" t="0" r="3810" b="5715"/>
            <wp:wrapNone/>
            <wp:docPr id="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1"/>
                    <pic:cNvPicPr>
                      <a:picLocks noChangeAspect="1"/>
                    </pic:cNvPicPr>
                  </pic:nvPicPr>
                  <pic:blipFill>
                    <a:blip r:embed="rId15"/>
                    <a:stretch>
                      <a:fillRect/>
                    </a:stretch>
                  </pic:blipFill>
                  <pic:spPr>
                    <a:xfrm>
                      <a:off x="0" y="0"/>
                      <a:ext cx="9673590" cy="6890385"/>
                    </a:xfrm>
                    <a:prstGeom prst="rect">
                      <a:avLst/>
                    </a:prstGeom>
                    <a:noFill/>
                    <a:ln>
                      <a:noFill/>
                    </a:ln>
                  </pic:spPr>
                </pic:pic>
              </a:graphicData>
            </a:graphic>
          </wp:anchor>
        </w:drawing>
      </w:r>
    </w:p>
    <w:p>
      <w:pPr>
        <w:pStyle w:val="2"/>
        <w:keepLines/>
        <w:overflowPunct/>
        <w:snapToGrid/>
        <w:spacing w:before="0" w:after="0" w:line="240" w:lineRule="auto"/>
        <w:ind w:left="0" w:firstLine="0"/>
        <w:jc w:val="center"/>
        <w:rPr>
          <w:color w:val="auto"/>
        </w:rPr>
      </w:pPr>
      <w:bookmarkStart w:id="1" w:name="_Toc17894"/>
      <w:r>
        <w:rPr>
          <w:b w:val="0"/>
          <w:bCs w:val="0"/>
          <w:color w:val="auto"/>
        </w:rPr>
        <w:t>一、建设项目基本情况</w:t>
      </w:r>
      <w:bookmarkEnd w:id="1"/>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859"/>
        <w:gridCol w:w="2043"/>
        <w:gridCol w:w="1740"/>
        <w:gridCol w:w="33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建设项目名称</w:t>
            </w:r>
          </w:p>
        </w:tc>
        <w:tc>
          <w:tcPr>
            <w:tcW w:w="7182" w:type="dxa"/>
            <w:gridSpan w:val="3"/>
            <w:noWrap/>
            <w:vAlign w:val="center"/>
          </w:tcPr>
          <w:p>
            <w:pPr>
              <w:adjustRightInd w:val="0"/>
              <w:snapToGrid w:val="0"/>
              <w:jc w:val="center"/>
              <w:rPr>
                <w:sz w:val="24"/>
              </w:rPr>
            </w:pPr>
            <w:r>
              <w:rPr>
                <w:sz w:val="24"/>
              </w:rPr>
              <w:t>彭阳县雅石沟水库除险加固工程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项目代码</w:t>
            </w:r>
          </w:p>
        </w:tc>
        <w:tc>
          <w:tcPr>
            <w:tcW w:w="7182" w:type="dxa"/>
            <w:gridSpan w:val="3"/>
            <w:noWrap/>
            <w:vAlign w:val="center"/>
          </w:tcPr>
          <w:p>
            <w:pPr>
              <w:adjustRightInd w:val="0"/>
              <w:snapToGrid w:val="0"/>
              <w:jc w:val="center"/>
              <w:rPr>
                <w:sz w:val="24"/>
              </w:rPr>
            </w:pPr>
            <w:r>
              <w:rPr>
                <w:sz w:val="24"/>
              </w:rPr>
              <w:t>2406-640425-19-01-638368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建设单位联系人</w:t>
            </w:r>
          </w:p>
        </w:tc>
        <w:tc>
          <w:tcPr>
            <w:tcW w:w="2043" w:type="dxa"/>
            <w:noWrap/>
            <w:vAlign w:val="center"/>
          </w:tcPr>
          <w:p>
            <w:pPr>
              <w:adjustRightInd w:val="0"/>
              <w:snapToGrid w:val="0"/>
              <w:jc w:val="center"/>
              <w:rPr>
                <w:sz w:val="24"/>
              </w:rPr>
            </w:pPr>
            <w:r>
              <w:rPr>
                <w:rFonts w:hint="eastAsia"/>
                <w:sz w:val="24"/>
              </w:rPr>
              <w:t>***</w:t>
            </w:r>
          </w:p>
        </w:tc>
        <w:tc>
          <w:tcPr>
            <w:tcW w:w="1740" w:type="dxa"/>
            <w:noWrap/>
            <w:vAlign w:val="center"/>
          </w:tcPr>
          <w:p>
            <w:pPr>
              <w:adjustRightInd w:val="0"/>
              <w:snapToGrid w:val="0"/>
              <w:jc w:val="center"/>
              <w:rPr>
                <w:sz w:val="24"/>
              </w:rPr>
            </w:pPr>
            <w:r>
              <w:rPr>
                <w:b/>
                <w:bCs/>
                <w:sz w:val="24"/>
              </w:rPr>
              <w:t>联系方式</w:t>
            </w:r>
          </w:p>
        </w:tc>
        <w:tc>
          <w:tcPr>
            <w:tcW w:w="3399" w:type="dxa"/>
            <w:noWrap/>
            <w:vAlign w:val="center"/>
          </w:tcPr>
          <w:p>
            <w:pPr>
              <w:adjustRightInd w:val="0"/>
              <w:snapToGrid w:val="0"/>
              <w:jc w:val="center"/>
              <w:rPr>
                <w:sz w:val="24"/>
              </w:rPr>
            </w:pPr>
            <w:r>
              <w:rPr>
                <w:rFonts w:hint="eastAsia"/>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建设地点</w:t>
            </w:r>
          </w:p>
        </w:tc>
        <w:tc>
          <w:tcPr>
            <w:tcW w:w="7182" w:type="dxa"/>
            <w:gridSpan w:val="3"/>
            <w:noWrap/>
            <w:vAlign w:val="center"/>
          </w:tcPr>
          <w:p>
            <w:pPr>
              <w:adjustRightInd w:val="0"/>
              <w:snapToGrid w:val="0"/>
              <w:jc w:val="center"/>
              <w:rPr>
                <w:sz w:val="24"/>
              </w:rPr>
            </w:pPr>
            <w:r>
              <w:rPr>
                <w:sz w:val="24"/>
              </w:rPr>
              <w:t>宁夏回族自治区固原市彭阳县草庙乡崾岘村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地理位置</w:t>
            </w:r>
          </w:p>
        </w:tc>
        <w:tc>
          <w:tcPr>
            <w:tcW w:w="7182" w:type="dxa"/>
            <w:gridSpan w:val="3"/>
            <w:noWrap/>
            <w:vAlign w:val="center"/>
          </w:tcPr>
          <w:p>
            <w:pPr>
              <w:adjustRightInd w:val="0"/>
              <w:snapToGrid w:val="0"/>
              <w:jc w:val="center"/>
              <w:rPr>
                <w:sz w:val="24"/>
              </w:rPr>
            </w:pPr>
            <w:r>
              <w:rPr>
                <w:sz w:val="24"/>
              </w:rPr>
              <w:t>（东经</w:t>
            </w:r>
            <w:r>
              <w:rPr>
                <w:sz w:val="24"/>
                <w:u w:val="single"/>
              </w:rPr>
              <w:t>106</w:t>
            </w:r>
            <w:r>
              <w:rPr>
                <w:sz w:val="24"/>
              </w:rPr>
              <w:t>度</w:t>
            </w:r>
            <w:r>
              <w:rPr>
                <w:sz w:val="24"/>
                <w:u w:val="single"/>
              </w:rPr>
              <w:t>42</w:t>
            </w:r>
            <w:r>
              <w:rPr>
                <w:sz w:val="24"/>
              </w:rPr>
              <w:t>分55</w:t>
            </w:r>
            <w:r>
              <w:rPr>
                <w:sz w:val="24"/>
                <w:u w:val="single"/>
              </w:rPr>
              <w:t>.891</w:t>
            </w:r>
            <w:r>
              <w:rPr>
                <w:sz w:val="24"/>
              </w:rPr>
              <w:t>秒，北纬</w:t>
            </w:r>
            <w:r>
              <w:rPr>
                <w:sz w:val="24"/>
                <w:u w:val="single"/>
              </w:rPr>
              <w:t>36</w:t>
            </w:r>
            <w:r>
              <w:rPr>
                <w:sz w:val="24"/>
              </w:rPr>
              <w:t>度</w:t>
            </w:r>
            <w:r>
              <w:rPr>
                <w:sz w:val="24"/>
                <w:u w:val="single"/>
              </w:rPr>
              <w:t>05</w:t>
            </w:r>
            <w:r>
              <w:rPr>
                <w:sz w:val="24"/>
              </w:rPr>
              <w:t>分</w:t>
            </w:r>
            <w:r>
              <w:rPr>
                <w:sz w:val="24"/>
                <w:u w:val="single"/>
              </w:rPr>
              <w:t>14.182</w:t>
            </w:r>
            <w:r>
              <w:rPr>
                <w:sz w:val="24"/>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106" w:type="dxa"/>
            <w:gridSpan w:val="2"/>
            <w:noWrap/>
            <w:vAlign w:val="center"/>
          </w:tcPr>
          <w:p>
            <w:pPr>
              <w:adjustRightInd w:val="0"/>
              <w:snapToGrid w:val="0"/>
              <w:jc w:val="center"/>
              <w:rPr>
                <w:b/>
                <w:bCs/>
                <w:sz w:val="24"/>
              </w:rPr>
            </w:pPr>
            <w:r>
              <w:rPr>
                <w:b/>
                <w:bCs/>
                <w:sz w:val="24"/>
              </w:rPr>
              <w:t>建设项目</w:t>
            </w:r>
          </w:p>
          <w:p>
            <w:pPr>
              <w:adjustRightInd w:val="0"/>
              <w:snapToGrid w:val="0"/>
              <w:jc w:val="center"/>
              <w:rPr>
                <w:b/>
                <w:bCs/>
                <w:sz w:val="24"/>
              </w:rPr>
            </w:pPr>
            <w:r>
              <w:rPr>
                <w:b/>
                <w:bCs/>
                <w:sz w:val="24"/>
              </w:rPr>
              <w:t>行业类别</w:t>
            </w:r>
          </w:p>
        </w:tc>
        <w:tc>
          <w:tcPr>
            <w:tcW w:w="2043" w:type="dxa"/>
            <w:noWrap/>
            <w:vAlign w:val="center"/>
          </w:tcPr>
          <w:p>
            <w:pPr>
              <w:adjustRightInd w:val="0"/>
              <w:snapToGrid w:val="0"/>
              <w:jc w:val="center"/>
              <w:rPr>
                <w:sz w:val="24"/>
              </w:rPr>
            </w:pPr>
            <w:r>
              <w:rPr>
                <w:sz w:val="24"/>
              </w:rPr>
              <w:t>五十一、水利124、水库 其他</w:t>
            </w:r>
          </w:p>
        </w:tc>
        <w:tc>
          <w:tcPr>
            <w:tcW w:w="1740" w:type="dxa"/>
            <w:noWrap/>
            <w:vAlign w:val="center"/>
          </w:tcPr>
          <w:p>
            <w:pPr>
              <w:adjustRightInd w:val="0"/>
              <w:snapToGrid w:val="0"/>
              <w:jc w:val="center"/>
              <w:rPr>
                <w:sz w:val="24"/>
                <w:highlight w:val="yellow"/>
              </w:rPr>
            </w:pPr>
            <w:r>
              <w:rPr>
                <w:b/>
                <w:bCs/>
                <w:sz w:val="24"/>
              </w:rPr>
              <w:t>用地（用海）面积（m</w:t>
            </w:r>
            <w:r>
              <w:rPr>
                <w:b/>
                <w:bCs/>
                <w:sz w:val="24"/>
                <w:vertAlign w:val="superscript"/>
              </w:rPr>
              <w:t>2</w:t>
            </w:r>
            <w:r>
              <w:rPr>
                <w:b/>
                <w:bCs/>
                <w:sz w:val="24"/>
              </w:rPr>
              <w:t>）/长度（km）</w:t>
            </w:r>
          </w:p>
        </w:tc>
        <w:tc>
          <w:tcPr>
            <w:tcW w:w="3399" w:type="dxa"/>
            <w:noWrap/>
            <w:vAlign w:val="center"/>
          </w:tcPr>
          <w:p>
            <w:pPr>
              <w:adjustRightInd w:val="0"/>
              <w:snapToGrid w:val="0"/>
              <w:jc w:val="center"/>
              <w:rPr>
                <w:sz w:val="24"/>
              </w:rPr>
            </w:pPr>
            <w:r>
              <w:rPr>
                <w:sz w:val="24"/>
              </w:rPr>
              <w:t>不新增永久占地；</w:t>
            </w:r>
          </w:p>
          <w:p>
            <w:pPr>
              <w:adjustRightInd w:val="0"/>
              <w:snapToGrid w:val="0"/>
              <w:jc w:val="center"/>
              <w:rPr>
                <w:sz w:val="24"/>
              </w:rPr>
            </w:pPr>
            <w:r>
              <w:rPr>
                <w:sz w:val="24"/>
              </w:rPr>
              <w:t>临时用地145381.98m</w:t>
            </w:r>
            <w:r>
              <w:rPr>
                <w:sz w:val="24"/>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建设性质</w:t>
            </w:r>
          </w:p>
        </w:tc>
        <w:tc>
          <w:tcPr>
            <w:tcW w:w="2043" w:type="dxa"/>
            <w:noWrap/>
            <w:vAlign w:val="center"/>
          </w:tcPr>
          <w:p>
            <w:pPr>
              <w:adjustRightInd w:val="0"/>
              <w:snapToGrid w:val="0"/>
              <w:rPr>
                <w:sz w:val="24"/>
              </w:rPr>
            </w:pPr>
            <w:r>
              <w:rPr>
                <w:sz w:val="24"/>
              </w:rPr>
              <w:sym w:font="Wingdings 2" w:char="00A3"/>
            </w:r>
            <w:r>
              <w:rPr>
                <w:sz w:val="24"/>
              </w:rPr>
              <w:t>新建（迁建）</w:t>
            </w:r>
          </w:p>
          <w:p>
            <w:pPr>
              <w:adjustRightInd w:val="0"/>
              <w:snapToGrid w:val="0"/>
              <w:rPr>
                <w:sz w:val="24"/>
              </w:rPr>
            </w:pPr>
            <w:r>
              <w:rPr>
                <w:sz w:val="24"/>
              </w:rPr>
              <w:sym w:font="Wingdings 2" w:char="0052"/>
            </w:r>
            <w:r>
              <w:rPr>
                <w:sz w:val="24"/>
              </w:rPr>
              <w:t>改建</w:t>
            </w:r>
          </w:p>
          <w:p>
            <w:pPr>
              <w:adjustRightInd w:val="0"/>
              <w:snapToGrid w:val="0"/>
              <w:rPr>
                <w:sz w:val="24"/>
              </w:rPr>
            </w:pPr>
            <w:r>
              <w:rPr>
                <w:sz w:val="24"/>
              </w:rPr>
              <w:sym w:font="Wingdings 2" w:char="00A3"/>
            </w:r>
            <w:r>
              <w:rPr>
                <w:sz w:val="24"/>
              </w:rPr>
              <w:t>扩建</w:t>
            </w:r>
          </w:p>
          <w:p>
            <w:pPr>
              <w:adjustRightInd w:val="0"/>
              <w:snapToGrid w:val="0"/>
              <w:rPr>
                <w:sz w:val="24"/>
              </w:rPr>
            </w:pPr>
            <w:r>
              <w:rPr>
                <w:sz w:val="24"/>
              </w:rPr>
              <w:sym w:font="Wingdings 2" w:char="00A3"/>
            </w:r>
            <w:r>
              <w:rPr>
                <w:sz w:val="24"/>
              </w:rPr>
              <w:t>技术改造</w:t>
            </w:r>
          </w:p>
        </w:tc>
        <w:tc>
          <w:tcPr>
            <w:tcW w:w="1740" w:type="dxa"/>
            <w:noWrap/>
            <w:vAlign w:val="center"/>
          </w:tcPr>
          <w:p>
            <w:pPr>
              <w:adjustRightInd w:val="0"/>
              <w:snapToGrid w:val="0"/>
              <w:jc w:val="center"/>
              <w:rPr>
                <w:b/>
                <w:bCs/>
                <w:sz w:val="24"/>
              </w:rPr>
            </w:pPr>
            <w:r>
              <w:rPr>
                <w:b/>
                <w:bCs/>
                <w:sz w:val="24"/>
              </w:rPr>
              <w:t>建设项目</w:t>
            </w:r>
          </w:p>
          <w:p>
            <w:pPr>
              <w:adjustRightInd w:val="0"/>
              <w:snapToGrid w:val="0"/>
              <w:jc w:val="center"/>
              <w:rPr>
                <w:b/>
                <w:bCs/>
                <w:sz w:val="24"/>
                <w:highlight w:val="yellow"/>
              </w:rPr>
            </w:pPr>
            <w:r>
              <w:rPr>
                <w:b/>
                <w:bCs/>
                <w:sz w:val="24"/>
              </w:rPr>
              <w:t>申报情形</w:t>
            </w:r>
          </w:p>
        </w:tc>
        <w:tc>
          <w:tcPr>
            <w:tcW w:w="3399" w:type="dxa"/>
            <w:noWrap/>
            <w:vAlign w:val="center"/>
          </w:tcPr>
          <w:p>
            <w:pPr>
              <w:adjustRightInd w:val="0"/>
              <w:snapToGrid w:val="0"/>
              <w:rPr>
                <w:sz w:val="24"/>
              </w:rPr>
            </w:pPr>
            <w:r>
              <w:rPr>
                <w:sz w:val="24"/>
              </w:rPr>
              <w:sym w:font="Wingdings 2" w:char="0052"/>
            </w:r>
            <w:r>
              <w:rPr>
                <w:sz w:val="24"/>
              </w:rPr>
              <w:t>首次申报项目</w:t>
            </w:r>
          </w:p>
          <w:p>
            <w:pPr>
              <w:adjustRightInd w:val="0"/>
              <w:snapToGrid w:val="0"/>
              <w:rPr>
                <w:sz w:val="24"/>
              </w:rPr>
            </w:pPr>
            <w:r>
              <w:rPr>
                <w:sz w:val="24"/>
              </w:rPr>
              <w:sym w:font="Wingdings 2" w:char="00A3"/>
            </w:r>
            <w:r>
              <w:rPr>
                <w:sz w:val="24"/>
              </w:rPr>
              <w:t>不予批准后再次申报项目</w:t>
            </w:r>
          </w:p>
          <w:p>
            <w:pPr>
              <w:adjustRightInd w:val="0"/>
              <w:snapToGrid w:val="0"/>
              <w:rPr>
                <w:sz w:val="24"/>
              </w:rPr>
            </w:pPr>
            <w:r>
              <w:rPr>
                <w:sz w:val="24"/>
              </w:rPr>
              <w:sym w:font="Wingdings 2" w:char="00A3"/>
            </w:r>
            <w:r>
              <w:rPr>
                <w:sz w:val="24"/>
              </w:rPr>
              <w:t>超五年重新审核项目</w:t>
            </w:r>
          </w:p>
          <w:p>
            <w:pPr>
              <w:adjustRightInd w:val="0"/>
              <w:snapToGrid w:val="0"/>
              <w:rPr>
                <w:sz w:val="24"/>
              </w:rPr>
            </w:pPr>
            <w:r>
              <w:rPr>
                <w:sz w:val="24"/>
              </w:rPr>
              <w:sym w:font="Wingdings 2" w:char="00A3"/>
            </w:r>
            <w:r>
              <w:rPr>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项目审批（核准/</w:t>
            </w:r>
          </w:p>
          <w:p>
            <w:pPr>
              <w:adjustRightInd w:val="0"/>
              <w:snapToGrid w:val="0"/>
              <w:jc w:val="center"/>
              <w:rPr>
                <w:b/>
                <w:bCs/>
                <w:sz w:val="24"/>
              </w:rPr>
            </w:pPr>
            <w:r>
              <w:rPr>
                <w:b/>
                <w:bCs/>
                <w:sz w:val="24"/>
              </w:rPr>
              <w:t>备案）部门</w:t>
            </w:r>
          </w:p>
        </w:tc>
        <w:tc>
          <w:tcPr>
            <w:tcW w:w="2043" w:type="dxa"/>
            <w:noWrap/>
            <w:vAlign w:val="center"/>
          </w:tcPr>
          <w:p>
            <w:pPr>
              <w:adjustRightInd w:val="0"/>
              <w:snapToGrid w:val="0"/>
              <w:jc w:val="center"/>
              <w:rPr>
                <w:sz w:val="24"/>
              </w:rPr>
            </w:pPr>
            <w:r>
              <w:rPr>
                <w:sz w:val="24"/>
              </w:rPr>
              <w:t>宁夏回族自治区发展和改革委员会</w:t>
            </w:r>
          </w:p>
        </w:tc>
        <w:tc>
          <w:tcPr>
            <w:tcW w:w="1740" w:type="dxa"/>
            <w:noWrap/>
            <w:vAlign w:val="center"/>
          </w:tcPr>
          <w:p>
            <w:pPr>
              <w:adjustRightInd w:val="0"/>
              <w:snapToGrid w:val="0"/>
              <w:jc w:val="center"/>
              <w:rPr>
                <w:b/>
                <w:bCs/>
                <w:sz w:val="24"/>
              </w:rPr>
            </w:pPr>
            <w:r>
              <w:rPr>
                <w:b/>
                <w:bCs/>
                <w:sz w:val="24"/>
              </w:rPr>
              <w:t>项目审批（核准/备案）文号</w:t>
            </w:r>
          </w:p>
        </w:tc>
        <w:tc>
          <w:tcPr>
            <w:tcW w:w="3399" w:type="dxa"/>
            <w:noWrap/>
            <w:vAlign w:val="center"/>
          </w:tcPr>
          <w:p>
            <w:pPr>
              <w:adjustRightInd w:val="0"/>
              <w:snapToGrid w:val="0"/>
              <w:jc w:val="center"/>
              <w:rPr>
                <w:sz w:val="24"/>
              </w:rPr>
            </w:pPr>
            <w:r>
              <w:rPr>
                <w:sz w:val="24"/>
              </w:rPr>
              <w:t>宁发改农经审发〔2024〕167号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rPr>
            </w:pPr>
            <w:r>
              <w:rPr>
                <w:b/>
                <w:bCs/>
                <w:sz w:val="24"/>
              </w:rPr>
              <w:t>总投资（万元）</w:t>
            </w:r>
          </w:p>
        </w:tc>
        <w:tc>
          <w:tcPr>
            <w:tcW w:w="2043" w:type="dxa"/>
            <w:noWrap/>
            <w:vAlign w:val="center"/>
          </w:tcPr>
          <w:p>
            <w:pPr>
              <w:adjustRightInd w:val="0"/>
              <w:snapToGrid w:val="0"/>
              <w:jc w:val="center"/>
              <w:rPr>
                <w:sz w:val="24"/>
              </w:rPr>
            </w:pPr>
            <w:r>
              <w:rPr>
                <w:sz w:val="24"/>
              </w:rPr>
              <w:t>1486.56</w:t>
            </w:r>
          </w:p>
        </w:tc>
        <w:tc>
          <w:tcPr>
            <w:tcW w:w="1740" w:type="dxa"/>
            <w:noWrap/>
            <w:vAlign w:val="center"/>
          </w:tcPr>
          <w:p>
            <w:pPr>
              <w:adjustRightInd w:val="0"/>
              <w:snapToGrid w:val="0"/>
              <w:jc w:val="center"/>
              <w:rPr>
                <w:b/>
                <w:bCs/>
                <w:sz w:val="24"/>
              </w:rPr>
            </w:pPr>
            <w:r>
              <w:rPr>
                <w:b/>
                <w:bCs/>
                <w:sz w:val="24"/>
              </w:rPr>
              <w:t>环保投资</w:t>
            </w:r>
          </w:p>
          <w:p>
            <w:pPr>
              <w:adjustRightInd w:val="0"/>
              <w:snapToGrid w:val="0"/>
              <w:jc w:val="center"/>
              <w:rPr>
                <w:b/>
                <w:bCs/>
                <w:sz w:val="24"/>
                <w:highlight w:val="yellow"/>
              </w:rPr>
            </w:pPr>
            <w:r>
              <w:rPr>
                <w:b/>
                <w:bCs/>
                <w:sz w:val="24"/>
              </w:rPr>
              <w:t>（万元）</w:t>
            </w:r>
          </w:p>
        </w:tc>
        <w:tc>
          <w:tcPr>
            <w:tcW w:w="3399" w:type="dxa"/>
            <w:noWrap/>
            <w:vAlign w:val="center"/>
          </w:tcPr>
          <w:p>
            <w:pPr>
              <w:adjustRightInd w:val="0"/>
              <w:snapToGrid w:val="0"/>
              <w:jc w:val="center"/>
              <w:rPr>
                <w:sz w:val="24"/>
              </w:rPr>
            </w:pPr>
            <w:r>
              <w:rPr>
                <w:sz w:val="24"/>
              </w:rPr>
              <w:t>36.2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highlight w:val="yellow"/>
              </w:rPr>
            </w:pPr>
            <w:r>
              <w:rPr>
                <w:b/>
                <w:bCs/>
                <w:sz w:val="24"/>
              </w:rPr>
              <w:t>环保投资占比（%）</w:t>
            </w:r>
          </w:p>
        </w:tc>
        <w:tc>
          <w:tcPr>
            <w:tcW w:w="2043" w:type="dxa"/>
            <w:noWrap/>
            <w:vAlign w:val="center"/>
          </w:tcPr>
          <w:p>
            <w:pPr>
              <w:adjustRightInd w:val="0"/>
              <w:snapToGrid w:val="0"/>
              <w:jc w:val="center"/>
              <w:rPr>
                <w:sz w:val="24"/>
              </w:rPr>
            </w:pPr>
            <w:r>
              <w:rPr>
                <w:sz w:val="24"/>
              </w:rPr>
              <w:t>2.44</w:t>
            </w:r>
          </w:p>
        </w:tc>
        <w:tc>
          <w:tcPr>
            <w:tcW w:w="1740" w:type="dxa"/>
            <w:noWrap/>
            <w:vAlign w:val="center"/>
          </w:tcPr>
          <w:p>
            <w:pPr>
              <w:adjustRightInd w:val="0"/>
              <w:snapToGrid w:val="0"/>
              <w:jc w:val="center"/>
              <w:rPr>
                <w:b/>
                <w:bCs/>
                <w:sz w:val="24"/>
                <w:highlight w:val="yellow"/>
              </w:rPr>
            </w:pPr>
            <w:r>
              <w:rPr>
                <w:b/>
                <w:bCs/>
                <w:sz w:val="24"/>
              </w:rPr>
              <w:t>施工工期</w:t>
            </w:r>
          </w:p>
        </w:tc>
        <w:tc>
          <w:tcPr>
            <w:tcW w:w="3399" w:type="dxa"/>
            <w:noWrap/>
            <w:vAlign w:val="center"/>
          </w:tcPr>
          <w:p>
            <w:pPr>
              <w:adjustRightInd w:val="0"/>
              <w:snapToGrid w:val="0"/>
              <w:jc w:val="center"/>
              <w:rPr>
                <w:sz w:val="24"/>
              </w:rPr>
            </w:pPr>
            <w:r>
              <w:rPr>
                <w:sz w:val="24"/>
              </w:rPr>
              <w:t>12个月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06" w:type="dxa"/>
            <w:gridSpan w:val="2"/>
            <w:noWrap/>
            <w:vAlign w:val="center"/>
          </w:tcPr>
          <w:p>
            <w:pPr>
              <w:adjustRightInd w:val="0"/>
              <w:snapToGrid w:val="0"/>
              <w:jc w:val="center"/>
              <w:rPr>
                <w:b/>
                <w:bCs/>
                <w:sz w:val="24"/>
                <w:highlight w:val="yellow"/>
              </w:rPr>
            </w:pPr>
            <w:r>
              <w:rPr>
                <w:b/>
                <w:bCs/>
                <w:sz w:val="24"/>
              </w:rPr>
              <w:t>是否开工建设</w:t>
            </w:r>
          </w:p>
        </w:tc>
        <w:tc>
          <w:tcPr>
            <w:tcW w:w="7182" w:type="dxa"/>
            <w:gridSpan w:val="3"/>
            <w:noWrap/>
            <w:vAlign w:val="center"/>
          </w:tcPr>
          <w:p>
            <w:pPr>
              <w:adjustRightInd w:val="0"/>
              <w:snapToGrid w:val="0"/>
              <w:rPr>
                <w:sz w:val="24"/>
              </w:rPr>
            </w:pPr>
            <w:r>
              <w:rPr>
                <w:sz w:val="24"/>
              </w:rPr>
              <w:sym w:font="Wingdings 2" w:char="0052"/>
            </w:r>
            <w:r>
              <w:rPr>
                <w:sz w:val="24"/>
              </w:rPr>
              <w:t>否</w:t>
            </w:r>
          </w:p>
          <w:p>
            <w:pPr>
              <w:adjustRightInd w:val="0"/>
              <w:snapToGrid w:val="0"/>
              <w:rPr>
                <w:sz w:val="24"/>
              </w:rPr>
            </w:pPr>
            <w:r>
              <w:rPr>
                <w:sz w:val="24"/>
              </w:rPr>
              <w:sym w:font="Wingdings 2" w:char="00A3"/>
            </w:r>
            <w:r>
              <w:rPr>
                <w:sz w:val="24"/>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7" w:type="dxa"/>
            <w:noWrap/>
            <w:vAlign w:val="center"/>
          </w:tcPr>
          <w:p>
            <w:pPr>
              <w:adjustRightInd w:val="0"/>
              <w:snapToGrid w:val="0"/>
              <w:jc w:val="center"/>
              <w:rPr>
                <w:b/>
                <w:bCs/>
                <w:sz w:val="24"/>
                <w:highlight w:val="yellow"/>
              </w:rPr>
            </w:pPr>
            <w:r>
              <w:rPr>
                <w:b/>
                <w:bCs/>
                <w:sz w:val="24"/>
              </w:rPr>
              <w:t>专项评价设置情况</w:t>
            </w:r>
          </w:p>
        </w:tc>
        <w:tc>
          <w:tcPr>
            <w:tcW w:w="8041" w:type="dxa"/>
            <w:gridSpan w:val="4"/>
            <w:noWrap/>
            <w:vAlign w:val="center"/>
          </w:tcPr>
          <w:p>
            <w:pPr>
              <w:ind w:firstLine="510" w:firstLineChars="200"/>
              <w:rPr>
                <w:sz w:val="24"/>
              </w:rPr>
            </w:pPr>
            <w:r>
              <w:rPr>
                <w:sz w:val="24"/>
              </w:rPr>
              <w:t>根据《建设项目环境影响报告表编制技术指南（生态影响类）（试行）》，项目涉及表1中“地表水—水库：全部”，编制地表水专项评价。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dxa"/>
            <w:noWrap/>
            <w:vAlign w:val="center"/>
          </w:tcPr>
          <w:p>
            <w:pPr>
              <w:adjustRightInd w:val="0"/>
              <w:snapToGrid w:val="0"/>
              <w:jc w:val="center"/>
              <w:rPr>
                <w:b/>
                <w:bCs/>
                <w:sz w:val="24"/>
              </w:rPr>
            </w:pPr>
            <w:r>
              <w:rPr>
                <w:b/>
                <w:bCs/>
                <w:sz w:val="24"/>
              </w:rPr>
              <w:t>规划情况</w:t>
            </w:r>
          </w:p>
        </w:tc>
        <w:tc>
          <w:tcPr>
            <w:tcW w:w="8041" w:type="dxa"/>
            <w:gridSpan w:val="4"/>
            <w:noWrap/>
            <w:vAlign w:val="center"/>
          </w:tcPr>
          <w:p>
            <w:pPr>
              <w:pStyle w:val="61"/>
              <w:spacing w:line="240" w:lineRule="auto"/>
              <w:ind w:firstLine="0" w:firstLineChars="0"/>
              <w:rPr>
                <w:rFonts w:ascii="Times New Roman" w:hAnsi="Times New Roman"/>
                <w:color w:val="auto"/>
              </w:rPr>
            </w:pPr>
            <w:r>
              <w:rPr>
                <w:rFonts w:ascii="Times New Roman" w:hAnsi="Times New Roman"/>
                <w:b/>
                <w:bCs/>
                <w:color w:val="auto"/>
              </w:rPr>
              <w:t>规划名称：</w:t>
            </w:r>
            <w:r>
              <w:rPr>
                <w:rFonts w:ascii="Times New Roman" w:hAnsi="Times New Roman"/>
                <w:color w:val="auto"/>
              </w:rPr>
              <w:t>《宁夏回族自治区水安全保障“十四五”规划》；</w:t>
            </w:r>
          </w:p>
          <w:p>
            <w:pPr>
              <w:pStyle w:val="61"/>
              <w:spacing w:line="240" w:lineRule="auto"/>
              <w:ind w:firstLine="0" w:firstLineChars="0"/>
              <w:rPr>
                <w:rFonts w:ascii="Times New Roman" w:hAnsi="Times New Roman"/>
                <w:color w:val="auto"/>
              </w:rPr>
            </w:pPr>
            <w:r>
              <w:rPr>
                <w:rFonts w:ascii="Times New Roman" w:hAnsi="Times New Roman"/>
                <w:b/>
                <w:bCs/>
                <w:color w:val="auto"/>
              </w:rPr>
              <w:t>审批机关：</w:t>
            </w:r>
            <w:r>
              <w:rPr>
                <w:rFonts w:ascii="Times New Roman" w:hAnsi="Times New Roman"/>
                <w:color w:val="auto"/>
              </w:rPr>
              <w:t>宁夏回族自治区人民政府；</w:t>
            </w:r>
          </w:p>
          <w:p>
            <w:pPr>
              <w:pStyle w:val="61"/>
              <w:spacing w:line="240" w:lineRule="auto"/>
              <w:ind w:firstLine="0" w:firstLineChars="0"/>
              <w:rPr>
                <w:rFonts w:ascii="Times New Roman" w:hAnsi="Times New Roman"/>
                <w:color w:val="auto"/>
              </w:rPr>
            </w:pPr>
            <w:r>
              <w:rPr>
                <w:rFonts w:ascii="Times New Roman" w:hAnsi="Times New Roman"/>
                <w:b/>
                <w:bCs/>
                <w:color w:val="auto"/>
              </w:rPr>
              <w:t>审批文件名称：</w:t>
            </w:r>
            <w:r>
              <w:rPr>
                <w:rFonts w:ascii="Times New Roman" w:hAnsi="Times New Roman"/>
                <w:color w:val="auto"/>
              </w:rPr>
              <w:t>《关于印发宁夏回族自治区水安全保障“十四五”规划的通知》；</w:t>
            </w:r>
          </w:p>
          <w:p>
            <w:pPr>
              <w:pStyle w:val="61"/>
              <w:spacing w:line="240" w:lineRule="auto"/>
              <w:ind w:firstLine="0" w:firstLineChars="0"/>
              <w:rPr>
                <w:rFonts w:ascii="Times New Roman" w:hAnsi="Times New Roman"/>
                <w:color w:val="auto"/>
              </w:rPr>
            </w:pPr>
            <w:r>
              <w:rPr>
                <w:rFonts w:ascii="Times New Roman" w:hAnsi="Times New Roman"/>
                <w:b/>
                <w:bCs/>
                <w:color w:val="auto"/>
              </w:rPr>
              <w:t>批复文号：</w:t>
            </w:r>
            <w:r>
              <w:rPr>
                <w:rFonts w:ascii="Times New Roman" w:hAnsi="Times New Roman"/>
                <w:color w:val="auto"/>
              </w:rPr>
              <w:t>宁政办发〔2021〕82号。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dxa"/>
            <w:noWrap/>
            <w:vAlign w:val="center"/>
          </w:tcPr>
          <w:p>
            <w:pPr>
              <w:adjustRightInd w:val="0"/>
              <w:snapToGrid w:val="0"/>
              <w:jc w:val="center"/>
              <w:rPr>
                <w:b/>
                <w:bCs/>
                <w:sz w:val="24"/>
              </w:rPr>
            </w:pPr>
            <w:r>
              <w:rPr>
                <w:b/>
                <w:bCs/>
                <w:sz w:val="24"/>
              </w:rPr>
              <w:t>规划环境影响评价情况</w:t>
            </w:r>
          </w:p>
        </w:tc>
        <w:tc>
          <w:tcPr>
            <w:tcW w:w="8041" w:type="dxa"/>
            <w:gridSpan w:val="4"/>
            <w:noWrap/>
            <w:vAlign w:val="center"/>
          </w:tcPr>
          <w:p>
            <w:pPr>
              <w:autoSpaceDE w:val="0"/>
              <w:autoSpaceDN w:val="0"/>
              <w:rPr>
                <w:kern w:val="0"/>
                <w:sz w:val="24"/>
              </w:rPr>
            </w:pPr>
            <w:r>
              <w:rPr>
                <w:b/>
                <w:bCs/>
                <w:kern w:val="0"/>
                <w:sz w:val="24"/>
              </w:rPr>
              <w:t>规划环境影响评价文件名称：</w:t>
            </w:r>
            <w:r>
              <w:rPr>
                <w:kern w:val="0"/>
                <w:sz w:val="24"/>
              </w:rPr>
              <w:t>《宁夏回族自治区水安全保障“十四五”规划环境影响报告书》；</w:t>
            </w:r>
          </w:p>
          <w:p>
            <w:pPr>
              <w:autoSpaceDE w:val="0"/>
              <w:autoSpaceDN w:val="0"/>
              <w:rPr>
                <w:kern w:val="0"/>
                <w:sz w:val="24"/>
              </w:rPr>
            </w:pPr>
            <w:r>
              <w:rPr>
                <w:b/>
                <w:bCs/>
                <w:kern w:val="0"/>
                <w:sz w:val="24"/>
              </w:rPr>
              <w:t>召集审查机关：</w:t>
            </w:r>
            <w:r>
              <w:rPr>
                <w:kern w:val="0"/>
                <w:sz w:val="24"/>
              </w:rPr>
              <w:t>宁夏回族自治区生态环境厅；</w:t>
            </w:r>
          </w:p>
          <w:p>
            <w:pPr>
              <w:autoSpaceDE w:val="0"/>
              <w:autoSpaceDN w:val="0"/>
              <w:rPr>
                <w:kern w:val="0"/>
                <w:sz w:val="24"/>
              </w:rPr>
            </w:pPr>
            <w:r>
              <w:rPr>
                <w:b/>
                <w:bCs/>
                <w:kern w:val="0"/>
                <w:sz w:val="24"/>
              </w:rPr>
              <w:t>审查文件名称：</w:t>
            </w:r>
            <w:r>
              <w:rPr>
                <w:kern w:val="0"/>
                <w:sz w:val="24"/>
              </w:rPr>
              <w:t>自治区生态环境厅关于《宁夏回族自治区水安全保障“十四五”规划环境影响报告书》审查意见的函；</w:t>
            </w:r>
          </w:p>
          <w:p>
            <w:pPr>
              <w:adjustRightInd w:val="0"/>
              <w:snapToGrid w:val="0"/>
              <w:rPr>
                <w:sz w:val="24"/>
              </w:rPr>
            </w:pPr>
            <w:r>
              <w:rPr>
                <w:b/>
                <w:bCs/>
                <w:kern w:val="0"/>
                <w:sz w:val="24"/>
              </w:rPr>
              <w:t>审查文号：</w:t>
            </w:r>
            <w:r>
              <w:rPr>
                <w:kern w:val="0"/>
                <w:sz w:val="24"/>
              </w:rPr>
              <w:t>宁环函〔2021〕721号。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dxa"/>
            <w:noWrap/>
            <w:vAlign w:val="center"/>
          </w:tcPr>
          <w:p>
            <w:pPr>
              <w:adjustRightInd w:val="0"/>
              <w:snapToGrid w:val="0"/>
              <w:jc w:val="center"/>
              <w:rPr>
                <w:b/>
                <w:bCs/>
                <w:sz w:val="24"/>
              </w:rPr>
            </w:pPr>
            <w:r>
              <w:rPr>
                <w:b/>
                <w:bCs/>
                <w:sz w:val="24"/>
              </w:rPr>
              <w:t>规划及规划环境影响评价符合性分析</w:t>
            </w:r>
          </w:p>
        </w:tc>
        <w:tc>
          <w:tcPr>
            <w:tcW w:w="8041" w:type="dxa"/>
            <w:gridSpan w:val="4"/>
            <w:noWrap/>
            <w:vAlign w:val="center"/>
          </w:tcPr>
          <w:p>
            <w:pPr>
              <w:widowControl/>
              <w:spacing w:before="240" w:after="60"/>
              <w:rPr>
                <w:rFonts w:eastAsia="黑体"/>
                <w:kern w:val="0"/>
                <w:sz w:val="24"/>
              </w:rPr>
            </w:pPr>
            <w:r>
              <w:rPr>
                <w:rFonts w:eastAsia="黑体"/>
                <w:kern w:val="0"/>
                <w:sz w:val="24"/>
              </w:rPr>
              <w:t>1、与《宁夏回族自治区水安全保障“十四五”规划》相符性分析</w:t>
            </w:r>
          </w:p>
          <w:p>
            <w:pPr>
              <w:ind w:firstLine="510" w:firstLineChars="200"/>
              <w:rPr>
                <w:kern w:val="0"/>
                <w:sz w:val="24"/>
                <w:szCs w:val="21"/>
              </w:rPr>
            </w:pPr>
            <w:r>
              <w:rPr>
                <w:kern w:val="0"/>
                <w:sz w:val="24"/>
                <w:szCs w:val="21"/>
              </w:rPr>
              <w:t>根据《自治区人民政府办公厅关于印发宁夏回族自治区水安全保障“十四五”规划的通知》（宁政办发〔2021〕82号）要求“建设中小型水库。在南部水源涵养区新建一批中小型水库工程，提高雨洪水资源利用率和抗旱水源保障能力。在北部引扬黄灌区新建一批小型调蓄水库，增强灌区灌溉调蓄能力，缓解下游灌区灌水难题全面完成病险水库水闸除险加固。开展水库、水闸等工程设施隐患排查和安全鉴定，强化安全运行主体责任，消除工程安全隐患”。</w:t>
            </w:r>
          </w:p>
          <w:p>
            <w:pPr>
              <w:ind w:firstLine="510" w:firstLineChars="200"/>
              <w:rPr>
                <w:kern w:val="0"/>
                <w:sz w:val="24"/>
                <w:szCs w:val="21"/>
              </w:rPr>
            </w:pPr>
            <w:r>
              <w:rPr>
                <w:kern w:val="0"/>
                <w:sz w:val="24"/>
                <w:szCs w:val="21"/>
              </w:rPr>
              <w:t>本项目为水库除险加固工程，本项目实施后，可彻底消除雅石沟水库大坝、输泄水建筑物存在的安全隐患，保证水库安全，确保下游居民及水利设施的安全，符合《宁夏回族自治区水安全保障“十四五”规划的通知》（宁政办发〔2021〕82号）要求。</w:t>
            </w:r>
          </w:p>
          <w:p>
            <w:pPr>
              <w:widowControl/>
              <w:spacing w:before="240" w:after="60"/>
              <w:rPr>
                <w:rFonts w:eastAsia="黑体"/>
                <w:kern w:val="0"/>
                <w:sz w:val="24"/>
              </w:rPr>
            </w:pPr>
            <w:r>
              <w:rPr>
                <w:rFonts w:eastAsia="黑体"/>
                <w:kern w:val="0"/>
                <w:sz w:val="24"/>
              </w:rPr>
              <w:t>2、与</w:t>
            </w:r>
            <w:bookmarkStart w:id="2" w:name="OLE_LINK1"/>
            <w:r>
              <w:rPr>
                <w:rFonts w:eastAsia="黑体"/>
                <w:kern w:val="0"/>
                <w:sz w:val="24"/>
              </w:rPr>
              <w:t>《宁夏回族自治区水安全保障“十四五”规划环境影响报告书》</w:t>
            </w:r>
            <w:bookmarkEnd w:id="2"/>
            <w:r>
              <w:rPr>
                <w:rFonts w:eastAsia="黑体"/>
                <w:kern w:val="0"/>
                <w:sz w:val="24"/>
              </w:rPr>
              <w:t>相符性分析</w:t>
            </w:r>
          </w:p>
          <w:p>
            <w:pPr>
              <w:autoSpaceDE w:val="0"/>
              <w:autoSpaceDN w:val="0"/>
              <w:ind w:firstLine="510" w:firstLineChars="200"/>
              <w:rPr>
                <w:kern w:val="0"/>
                <w:sz w:val="24"/>
              </w:rPr>
            </w:pPr>
            <w:r>
              <w:rPr>
                <w:kern w:val="0"/>
                <w:sz w:val="24"/>
              </w:rPr>
              <w:t>本项目与《宁夏水安全保障“十四五”规划环境影响报告书》的符合性分析见表1-1。</w:t>
            </w:r>
          </w:p>
          <w:p>
            <w:pPr>
              <w:pStyle w:val="6"/>
              <w:adjustRightInd w:val="0"/>
              <w:snapToGrid w:val="0"/>
              <w:spacing w:line="240" w:lineRule="auto"/>
              <w:ind w:firstLine="0" w:firstLineChars="0"/>
              <w:jc w:val="center"/>
              <w:rPr>
                <w:rFonts w:ascii="Times New Roman" w:hAnsi="Times New Roman" w:eastAsia="黑体"/>
                <w:b/>
                <w:bCs/>
                <w:kern w:val="0"/>
              </w:rPr>
            </w:pPr>
            <w:r>
              <w:rPr>
                <w:rFonts w:ascii="Times New Roman" w:hAnsi="Times New Roman" w:eastAsia="黑体"/>
                <w:kern w:val="0"/>
              </w:rPr>
              <w:t>表1-1  本项目与环境影响报告书的符合性分析</w:t>
            </w:r>
          </w:p>
          <w:tbl>
            <w:tblPr>
              <w:tblStyle w:val="28"/>
              <w:tblW w:w="77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2"/>
              <w:gridCol w:w="3606"/>
              <w:gridCol w:w="3180"/>
              <w:gridCol w:w="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22" w:type="dxa"/>
                  <w:tcBorders>
                    <w:tl2br w:val="nil"/>
                    <w:tr2bl w:val="nil"/>
                  </w:tcBorders>
                  <w:noWrap/>
                  <w:vAlign w:val="center"/>
                </w:tcPr>
                <w:p>
                  <w:pPr>
                    <w:tabs>
                      <w:tab w:val="left" w:pos="8789"/>
                    </w:tabs>
                    <w:adjustRightInd w:val="0"/>
                    <w:snapToGrid w:val="0"/>
                    <w:jc w:val="center"/>
                    <w:rPr>
                      <w:b/>
                      <w:bCs/>
                      <w:kern w:val="0"/>
                      <w:szCs w:val="21"/>
                    </w:rPr>
                  </w:pPr>
                  <w:r>
                    <w:rPr>
                      <w:b/>
                      <w:bCs/>
                      <w:kern w:val="0"/>
                      <w:szCs w:val="21"/>
                    </w:rPr>
                    <w:t>序号</w:t>
                  </w:r>
                </w:p>
              </w:tc>
              <w:tc>
                <w:tcPr>
                  <w:tcW w:w="3606" w:type="dxa"/>
                  <w:tcBorders>
                    <w:tl2br w:val="nil"/>
                    <w:tr2bl w:val="nil"/>
                  </w:tcBorders>
                  <w:noWrap/>
                  <w:vAlign w:val="center"/>
                </w:tcPr>
                <w:p>
                  <w:pPr>
                    <w:tabs>
                      <w:tab w:val="left" w:pos="8789"/>
                    </w:tabs>
                    <w:adjustRightInd w:val="0"/>
                    <w:snapToGrid w:val="0"/>
                    <w:jc w:val="center"/>
                    <w:rPr>
                      <w:b/>
                      <w:bCs/>
                      <w:kern w:val="0"/>
                      <w:szCs w:val="21"/>
                    </w:rPr>
                  </w:pPr>
                  <w:r>
                    <w:rPr>
                      <w:b/>
                      <w:bCs/>
                      <w:kern w:val="0"/>
                      <w:szCs w:val="21"/>
                    </w:rPr>
                    <w:t>规划环评要求</w:t>
                  </w:r>
                </w:p>
              </w:tc>
              <w:tc>
                <w:tcPr>
                  <w:tcW w:w="3180" w:type="dxa"/>
                  <w:tcBorders>
                    <w:tl2br w:val="nil"/>
                    <w:tr2bl w:val="nil"/>
                  </w:tcBorders>
                  <w:noWrap/>
                  <w:vAlign w:val="center"/>
                </w:tcPr>
                <w:p>
                  <w:pPr>
                    <w:adjustRightInd w:val="0"/>
                    <w:snapToGrid w:val="0"/>
                    <w:jc w:val="center"/>
                    <w:rPr>
                      <w:b/>
                      <w:bCs/>
                      <w:kern w:val="0"/>
                      <w:szCs w:val="21"/>
                    </w:rPr>
                  </w:pPr>
                  <w:r>
                    <w:rPr>
                      <w:b/>
                      <w:bCs/>
                      <w:szCs w:val="21"/>
                    </w:rPr>
                    <w:t>本项目情况</w:t>
                  </w:r>
                </w:p>
              </w:tc>
              <w:tc>
                <w:tcPr>
                  <w:tcW w:w="487" w:type="dxa"/>
                  <w:tcBorders>
                    <w:tl2br w:val="nil"/>
                    <w:tr2bl w:val="nil"/>
                  </w:tcBorders>
                  <w:noWrap/>
                  <w:vAlign w:val="center"/>
                </w:tcPr>
                <w:p>
                  <w:pPr>
                    <w:adjustRightInd w:val="0"/>
                    <w:snapToGrid w:val="0"/>
                    <w:jc w:val="center"/>
                    <w:rPr>
                      <w:b/>
                      <w:bCs/>
                      <w:szCs w:val="21"/>
                    </w:rPr>
                  </w:pPr>
                  <w:r>
                    <w:rPr>
                      <w:b/>
                      <w:bCs/>
                      <w:szCs w:val="21"/>
                    </w:rPr>
                    <w:t>是否</w:t>
                  </w:r>
                </w:p>
                <w:p>
                  <w:pPr>
                    <w:adjustRightInd w:val="0"/>
                    <w:snapToGrid w:val="0"/>
                    <w:jc w:val="center"/>
                    <w:rPr>
                      <w:b/>
                      <w:bCs/>
                      <w:kern w:val="0"/>
                      <w:szCs w:val="21"/>
                    </w:rPr>
                  </w:pPr>
                  <w:r>
                    <w:rPr>
                      <w:b/>
                      <w:bCs/>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1</w:t>
                  </w:r>
                </w:p>
              </w:tc>
              <w:tc>
                <w:tcPr>
                  <w:tcW w:w="3606" w:type="dxa"/>
                  <w:tcBorders>
                    <w:tl2br w:val="nil"/>
                    <w:tr2bl w:val="nil"/>
                  </w:tcBorders>
                  <w:noWrap/>
                  <w:vAlign w:val="center"/>
                </w:tcPr>
                <w:p>
                  <w:pPr>
                    <w:adjustRightInd w:val="0"/>
                    <w:snapToGrid w:val="0"/>
                    <w:rPr>
                      <w:szCs w:val="21"/>
                    </w:rPr>
                  </w:pPr>
                  <w:r>
                    <w:rPr>
                      <w:szCs w:val="21"/>
                    </w:rPr>
                    <w:t>空间布局约束：</w:t>
                  </w:r>
                </w:p>
                <w:p>
                  <w:pPr>
                    <w:adjustRightInd w:val="0"/>
                    <w:snapToGrid w:val="0"/>
                    <w:rPr>
                      <w:szCs w:val="21"/>
                    </w:rPr>
                  </w:pPr>
                  <w:r>
                    <w:rPr>
                      <w:szCs w:val="21"/>
                    </w:rPr>
                    <w:t>1、项目的永久、临时占地（包括水库淹没区）原则上不占用生态保护红线、自然保护地、饮用水水源保护区、水产种质资源保护区等各类环境敏感区。</w:t>
                  </w:r>
                </w:p>
                <w:p>
                  <w:pPr>
                    <w:adjustRightInd w:val="0"/>
                    <w:snapToGrid w:val="0"/>
                    <w:rPr>
                      <w:szCs w:val="21"/>
                    </w:rPr>
                  </w:pPr>
                  <w:r>
                    <w:rPr>
                      <w:szCs w:val="21"/>
                    </w:rPr>
                    <w:t>2、确实无法避让、需占用环境敏感区的，应符合相关法律法规要求，并采取有效的恢复和补偿措施。</w:t>
                  </w:r>
                </w:p>
                <w:p>
                  <w:pPr>
                    <w:adjustRightInd w:val="0"/>
                    <w:snapToGrid w:val="0"/>
                    <w:rPr>
                      <w:szCs w:val="21"/>
                    </w:rPr>
                  </w:pPr>
                  <w:r>
                    <w:rPr>
                      <w:szCs w:val="21"/>
                    </w:rPr>
                    <w:t>3、项目占用耕地、林地等应符合相关法律法规、规划、政策要求，并采取必要的补偿措施。</w:t>
                  </w:r>
                </w:p>
              </w:tc>
              <w:tc>
                <w:tcPr>
                  <w:tcW w:w="3180" w:type="dxa"/>
                  <w:tcBorders>
                    <w:tl2br w:val="nil"/>
                    <w:tr2bl w:val="nil"/>
                  </w:tcBorders>
                  <w:noWrap/>
                  <w:vAlign w:val="center"/>
                </w:tcPr>
                <w:p>
                  <w:pPr>
                    <w:adjustRightInd w:val="0"/>
                    <w:snapToGrid w:val="0"/>
                    <w:rPr>
                      <w:szCs w:val="21"/>
                    </w:rPr>
                  </w:pPr>
                  <w:r>
                    <w:t>1.本项目不新增永久占地，</w:t>
                  </w:r>
                  <w:r>
                    <w:rPr>
                      <w:szCs w:val="21"/>
                    </w:rPr>
                    <w:t>临时占地不占用生态保护红线、自然保护地、饮用水水源保护区等环境敏感区。</w:t>
                  </w:r>
                </w:p>
                <w:p>
                  <w:pPr>
                    <w:adjustRightInd w:val="0"/>
                    <w:snapToGrid w:val="0"/>
                  </w:pPr>
                  <w:r>
                    <w:t>2.本项目不占用环境敏感区。</w:t>
                  </w:r>
                </w:p>
                <w:p>
                  <w:pPr>
                    <w:adjustRightInd w:val="0"/>
                    <w:snapToGrid w:val="0"/>
                  </w:pPr>
                  <w:r>
                    <w:t>3.本项目施工期需临时占用其他草地，在施工结束后，对其进行土地整治、表土恢复、复垦，恢复原有植被形态。</w:t>
                  </w:r>
                </w:p>
              </w:tc>
              <w:tc>
                <w:tcPr>
                  <w:tcW w:w="487" w:type="dxa"/>
                  <w:tcBorders>
                    <w:tl2br w:val="nil"/>
                    <w:tr2bl w:val="nil"/>
                  </w:tcBorders>
                  <w:noWrap/>
                  <w:vAlign w:val="center"/>
                </w:tcPr>
                <w:p>
                  <w:pPr>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2</w:t>
                  </w:r>
                </w:p>
              </w:tc>
              <w:tc>
                <w:tcPr>
                  <w:tcW w:w="3606" w:type="dxa"/>
                  <w:tcBorders>
                    <w:tl2br w:val="nil"/>
                    <w:tr2bl w:val="nil"/>
                  </w:tcBorders>
                  <w:noWrap/>
                  <w:vAlign w:val="center"/>
                </w:tcPr>
                <w:p>
                  <w:pPr>
                    <w:adjustRightInd w:val="0"/>
                    <w:snapToGrid w:val="0"/>
                    <w:rPr>
                      <w:szCs w:val="21"/>
                    </w:rPr>
                  </w:pPr>
                  <w:r>
                    <w:rPr>
                      <w:szCs w:val="21"/>
                    </w:rPr>
                    <w:t>污染物排放管控：</w:t>
                  </w:r>
                </w:p>
                <w:p>
                  <w:pPr>
                    <w:adjustRightInd w:val="0"/>
                    <w:snapToGrid w:val="0"/>
                    <w:rPr>
                      <w:szCs w:val="21"/>
                    </w:rPr>
                  </w:pPr>
                  <w:r>
                    <w:rPr>
                      <w:szCs w:val="21"/>
                    </w:rPr>
                    <w:t>1、项目的建设运行不新增主要水污染物排放，或主要水污染物排放量在相关河段或流域的水环境承载能力范围内。</w:t>
                  </w:r>
                </w:p>
                <w:p>
                  <w:pPr>
                    <w:adjustRightInd w:val="0"/>
                    <w:snapToGrid w:val="0"/>
                    <w:rPr>
                      <w:szCs w:val="21"/>
                    </w:rPr>
                  </w:pPr>
                  <w:r>
                    <w:rPr>
                      <w:szCs w:val="21"/>
                    </w:rPr>
                    <w:t>2、因水资源开发和配置造成河段水量减少、对污染物稀释扩散能力减弱的，应确保相关河段水质满足环境质量底线和水功能区要求。</w:t>
                  </w:r>
                </w:p>
              </w:tc>
              <w:tc>
                <w:tcPr>
                  <w:tcW w:w="3180" w:type="dxa"/>
                  <w:tcBorders>
                    <w:tl2br w:val="nil"/>
                    <w:tr2bl w:val="nil"/>
                  </w:tcBorders>
                  <w:noWrap/>
                  <w:vAlign w:val="center"/>
                </w:tcPr>
                <w:p>
                  <w:pPr>
                    <w:adjustRightInd w:val="0"/>
                    <w:snapToGrid w:val="0"/>
                    <w:rPr>
                      <w:szCs w:val="21"/>
                    </w:rPr>
                  </w:pPr>
                  <w:r>
                    <w:rPr>
                      <w:szCs w:val="21"/>
                    </w:rPr>
                    <w:t>1.本项目为水库除险加固工程，不新增水污染物排放。</w:t>
                  </w:r>
                </w:p>
                <w:p>
                  <w:pPr>
                    <w:wordWrap w:val="0"/>
                    <w:adjustRightInd w:val="0"/>
                    <w:snapToGrid w:val="0"/>
                    <w:rPr>
                      <w:kern w:val="0"/>
                      <w:szCs w:val="21"/>
                    </w:rPr>
                  </w:pPr>
                  <w:r>
                    <w:rPr>
                      <w:szCs w:val="21"/>
                    </w:rPr>
                    <w:t>2.本项目不新增取水，仅对水库进行除险加固。</w:t>
                  </w:r>
                </w:p>
              </w:tc>
              <w:tc>
                <w:tcPr>
                  <w:tcW w:w="487" w:type="dxa"/>
                  <w:tcBorders>
                    <w:tl2br w:val="nil"/>
                    <w:tr2bl w:val="nil"/>
                  </w:tcBorders>
                  <w:noWrap/>
                  <w:vAlign w:val="center"/>
                </w:tcPr>
                <w:p>
                  <w:pPr>
                    <w:adjustRightInd w:val="0"/>
                    <w:snapToGrid w:val="0"/>
                    <w:spacing w:line="240" w:lineRule="atLeast"/>
                    <w:jc w:val="center"/>
                    <w:rPr>
                      <w:kern w:val="0"/>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3</w:t>
                  </w:r>
                </w:p>
              </w:tc>
              <w:tc>
                <w:tcPr>
                  <w:tcW w:w="3606" w:type="dxa"/>
                  <w:tcBorders>
                    <w:tl2br w:val="nil"/>
                    <w:tr2bl w:val="nil"/>
                  </w:tcBorders>
                  <w:noWrap/>
                  <w:vAlign w:val="center"/>
                </w:tcPr>
                <w:p>
                  <w:pPr>
                    <w:adjustRightInd w:val="0"/>
                    <w:snapToGrid w:val="0"/>
                    <w:rPr>
                      <w:szCs w:val="21"/>
                    </w:rPr>
                  </w:pPr>
                  <w:r>
                    <w:rPr>
                      <w:szCs w:val="21"/>
                    </w:rPr>
                    <w:t>资源利用效率要求：</w:t>
                  </w:r>
                </w:p>
                <w:p>
                  <w:pPr>
                    <w:adjustRightInd w:val="0"/>
                    <w:snapToGrid w:val="0"/>
                    <w:rPr>
                      <w:szCs w:val="21"/>
                    </w:rPr>
                  </w:pPr>
                  <w:r>
                    <w:rPr>
                      <w:szCs w:val="21"/>
                    </w:rPr>
                    <w:t>1、项目取水量须满足区域水资源利用上线和相关河湖基本生态水量控制要求。</w:t>
                  </w:r>
                </w:p>
                <w:p>
                  <w:pPr>
                    <w:adjustRightInd w:val="0"/>
                    <w:snapToGrid w:val="0"/>
                    <w:rPr>
                      <w:szCs w:val="21"/>
                    </w:rPr>
                  </w:pPr>
                  <w:r>
                    <w:rPr>
                      <w:szCs w:val="21"/>
                    </w:rPr>
                    <w:t>2、坚持“以水定城、以水定地、以水定人、以水定产”的原则，在优先保障人居用水和生态环境用水的基础上，合理确定供水规模。</w:t>
                  </w:r>
                </w:p>
              </w:tc>
              <w:tc>
                <w:tcPr>
                  <w:tcW w:w="3180" w:type="dxa"/>
                  <w:tcBorders>
                    <w:tl2br w:val="nil"/>
                    <w:tr2bl w:val="nil"/>
                  </w:tcBorders>
                  <w:noWrap/>
                  <w:vAlign w:val="center"/>
                </w:tcPr>
                <w:p>
                  <w:pPr>
                    <w:adjustRightInd w:val="0"/>
                    <w:snapToGrid w:val="0"/>
                    <w:rPr>
                      <w:szCs w:val="21"/>
                    </w:rPr>
                  </w:pPr>
                  <w:r>
                    <w:rPr>
                      <w:szCs w:val="21"/>
                    </w:rPr>
                    <w:t>1.本项目不新增取水量。</w:t>
                  </w:r>
                </w:p>
                <w:p>
                  <w:pPr>
                    <w:adjustRightInd w:val="0"/>
                    <w:snapToGrid w:val="0"/>
                    <w:rPr>
                      <w:szCs w:val="21"/>
                    </w:rPr>
                  </w:pPr>
                  <w:r>
                    <w:rPr>
                      <w:szCs w:val="21"/>
                    </w:rPr>
                    <w:t>2.本项目仅对水库进行除险加固，不新增取水，供水规模不变。</w:t>
                  </w:r>
                </w:p>
              </w:tc>
              <w:tc>
                <w:tcPr>
                  <w:tcW w:w="487" w:type="dxa"/>
                  <w:tcBorders>
                    <w:tl2br w:val="nil"/>
                    <w:tr2bl w:val="nil"/>
                  </w:tcBorders>
                  <w:noWrap/>
                  <w:vAlign w:val="center"/>
                </w:tcPr>
                <w:p>
                  <w:pPr>
                    <w:adjustRightInd w:val="0"/>
                    <w:snapToGrid w:val="0"/>
                    <w:spacing w:line="240" w:lineRule="atLeast"/>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4</w:t>
                  </w:r>
                </w:p>
              </w:tc>
              <w:tc>
                <w:tcPr>
                  <w:tcW w:w="3606" w:type="dxa"/>
                  <w:tcBorders>
                    <w:tl2br w:val="nil"/>
                    <w:tr2bl w:val="nil"/>
                  </w:tcBorders>
                  <w:noWrap/>
                  <w:vAlign w:val="center"/>
                </w:tcPr>
                <w:p>
                  <w:pPr>
                    <w:adjustRightInd w:val="0"/>
                    <w:snapToGrid w:val="0"/>
                    <w:rPr>
                      <w:szCs w:val="21"/>
                    </w:rPr>
                  </w:pPr>
                  <w:r>
                    <w:rPr>
                      <w:szCs w:val="21"/>
                    </w:rPr>
                    <w:t>环境风险防控：</w:t>
                  </w:r>
                </w:p>
                <w:p>
                  <w:pPr>
                    <w:adjustRightInd w:val="0"/>
                    <w:snapToGrid w:val="0"/>
                    <w:rPr>
                      <w:szCs w:val="21"/>
                    </w:rPr>
                  </w:pPr>
                  <w:r>
                    <w:rPr>
                      <w:szCs w:val="21"/>
                    </w:rPr>
                    <w:t>1、项目建设不会影响现有饮用水水源地的供水能力和水质。</w:t>
                  </w:r>
                </w:p>
                <w:p>
                  <w:pPr>
                    <w:adjustRightInd w:val="0"/>
                    <w:snapToGrid w:val="0"/>
                    <w:rPr>
                      <w:szCs w:val="21"/>
                    </w:rPr>
                  </w:pPr>
                  <w:r>
                    <w:rPr>
                      <w:szCs w:val="21"/>
                    </w:rPr>
                    <w:t>2、新建水源或取水口应采取有效的水污染风险防控措施。</w:t>
                  </w:r>
                </w:p>
              </w:tc>
              <w:tc>
                <w:tcPr>
                  <w:tcW w:w="3180" w:type="dxa"/>
                  <w:tcBorders>
                    <w:tl2br w:val="nil"/>
                    <w:tr2bl w:val="nil"/>
                  </w:tcBorders>
                  <w:noWrap/>
                  <w:vAlign w:val="center"/>
                </w:tcPr>
                <w:p>
                  <w:pPr>
                    <w:adjustRightInd w:val="0"/>
                    <w:snapToGrid w:val="0"/>
                    <w:rPr>
                      <w:szCs w:val="21"/>
                    </w:rPr>
                  </w:pPr>
                  <w:r>
                    <w:rPr>
                      <w:szCs w:val="21"/>
                    </w:rPr>
                    <w:t>1.本工程不涉及饮用水水源地2.本工程不涉及新建水源或取水口。</w:t>
                  </w:r>
                </w:p>
              </w:tc>
              <w:tc>
                <w:tcPr>
                  <w:tcW w:w="487" w:type="dxa"/>
                  <w:tcBorders>
                    <w:tl2br w:val="nil"/>
                    <w:tr2bl w:val="nil"/>
                  </w:tcBorders>
                  <w:noWrap/>
                  <w:vAlign w:val="center"/>
                </w:tcPr>
                <w:p>
                  <w:pPr>
                    <w:adjustRightInd w:val="0"/>
                    <w:snapToGrid w:val="0"/>
                    <w:spacing w:line="240" w:lineRule="atLeast"/>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5</w:t>
                  </w:r>
                </w:p>
              </w:tc>
              <w:tc>
                <w:tcPr>
                  <w:tcW w:w="3606" w:type="dxa"/>
                  <w:tcBorders>
                    <w:tl2br w:val="nil"/>
                    <w:tr2bl w:val="nil"/>
                  </w:tcBorders>
                  <w:noWrap/>
                  <w:vAlign w:val="center"/>
                </w:tcPr>
                <w:p>
                  <w:pPr>
                    <w:adjustRightInd w:val="0"/>
                    <w:snapToGrid w:val="0"/>
                    <w:rPr>
                      <w:szCs w:val="21"/>
                    </w:rPr>
                  </w:pPr>
                  <w:r>
                    <w:rPr>
                      <w:szCs w:val="21"/>
                    </w:rPr>
                    <w:t>重点工程在开展环境影响评价时，应就以下内容重点论证：</w:t>
                  </w:r>
                </w:p>
                <w:p>
                  <w:pPr>
                    <w:numPr>
                      <w:ilvl w:val="0"/>
                      <w:numId w:val="4"/>
                    </w:numPr>
                    <w:adjustRightInd w:val="0"/>
                    <w:snapToGrid w:val="0"/>
                    <w:rPr>
                      <w:szCs w:val="21"/>
                    </w:rPr>
                  </w:pPr>
                  <w:r>
                    <w:rPr>
                      <w:szCs w:val="21"/>
                    </w:rPr>
                    <w:t>项目符合生态环境及资源相关法律法规和政策要求，与主体功能区规划、生态功能区划、水（环境）功能区划、水污染防治规划、生态环境保护规划等相协调，项目开发任务、供水量、供水范围和对象、灌区规模、种植结构等主要内容总体符合流域区域综合规划、水资源规划、灌区规划、农业生产规划、节水规划等相关规划及规划环评要求。</w:t>
                  </w:r>
                </w:p>
                <w:p>
                  <w:pPr>
                    <w:numPr>
                      <w:ilvl w:val="0"/>
                      <w:numId w:val="4"/>
                    </w:numPr>
                    <w:adjustRightInd w:val="0"/>
                    <w:snapToGrid w:val="0"/>
                    <w:rPr>
                      <w:szCs w:val="21"/>
                    </w:rPr>
                  </w:pPr>
                  <w:r>
                    <w:rPr>
                      <w:szCs w:val="21"/>
                    </w:rPr>
                    <w:t>水资源开发利用符合以水定产、以水定地原则，未超出流域区域水资源利用上限，灌溉定额、灌溉用水保证率、灌溉水有效利用系数满足流域区域用水效率控制要求。</w:t>
                  </w:r>
                </w:p>
                <w:p>
                  <w:pPr>
                    <w:numPr>
                      <w:ilvl w:val="0"/>
                      <w:numId w:val="4"/>
                    </w:numPr>
                    <w:adjustRightInd w:val="0"/>
                    <w:snapToGrid w:val="0"/>
                    <w:rPr>
                      <w:szCs w:val="21"/>
                    </w:rPr>
                  </w:pPr>
                  <w:r>
                    <w:rPr>
                      <w:szCs w:val="21"/>
                    </w:rPr>
                    <w:t>选址选线、取（蓄）水工程淹没、施工布置等不占用自然保护区、风景名胜区、世界文化和自然遗产地以及其他生态保护红线中法律法规禁止占用的区域，并与饮用水水源保护区、重要湿地等环境敏感区的保护要求相协调。</w:t>
                  </w:r>
                </w:p>
                <w:p>
                  <w:pPr>
                    <w:numPr>
                      <w:ilvl w:val="0"/>
                      <w:numId w:val="4"/>
                    </w:numPr>
                    <w:adjustRightInd w:val="0"/>
                    <w:snapToGrid w:val="0"/>
                    <w:rPr>
                      <w:szCs w:val="21"/>
                    </w:rPr>
                  </w:pPr>
                  <w:r>
                    <w:rPr>
                      <w:szCs w:val="21"/>
                    </w:rPr>
                    <w:t>取（蓄）水造成河、湖或水库水文情势改变且带来不利影响的，应统筹考虑上、下游河道水环境、水生生态、景观、湿地等生态用水及生产、生活用水需求，提出优化取水方案、泄放生态流量、实施在线监控等措施。通过节水、置换等措施获得供水水量的，用水方式和规模具有环境合理性和可行性。采取上述措施后，不会造成河道脱水，河道生态环境及生产、生活用水需求能够得到满足。</w:t>
                  </w:r>
                </w:p>
              </w:tc>
              <w:tc>
                <w:tcPr>
                  <w:tcW w:w="3180" w:type="dxa"/>
                  <w:tcBorders>
                    <w:tl2br w:val="nil"/>
                    <w:tr2bl w:val="nil"/>
                  </w:tcBorders>
                  <w:noWrap/>
                  <w:vAlign w:val="center"/>
                </w:tcPr>
                <w:p>
                  <w:pPr>
                    <w:adjustRightInd w:val="0"/>
                    <w:snapToGrid w:val="0"/>
                    <w:rPr>
                      <w:szCs w:val="21"/>
                    </w:rPr>
                  </w:pPr>
                  <w:r>
                    <w:rPr>
                      <w:szCs w:val="21"/>
                    </w:rPr>
                    <w:t>（1）根据《全国主体功能区规划》和《宁夏生态功能区划》，本项目位于国家重点生态功能区，不在国家禁止开发区域及限制开发区域。项目为水库除险加固工程，符合固原市生态环境分区管控要求，符合《宁夏回族自治区水安全保障“十四五”规划》中相关要求。</w:t>
                  </w:r>
                </w:p>
                <w:p>
                  <w:pPr>
                    <w:adjustRightInd w:val="0"/>
                    <w:snapToGrid w:val="0"/>
                    <w:rPr>
                      <w:szCs w:val="21"/>
                    </w:rPr>
                  </w:pPr>
                  <w:r>
                    <w:rPr>
                      <w:szCs w:val="21"/>
                    </w:rPr>
                    <w:t>（2）雅石沟水库为防洪为主、兼顾灌溉的水库，本项目为水库除险加固工程，项目实施不改变现状灌溉供水范围及供水规模。</w:t>
                  </w:r>
                </w:p>
                <w:p>
                  <w:pPr>
                    <w:adjustRightInd w:val="0"/>
                    <w:snapToGrid w:val="0"/>
                    <w:rPr>
                      <w:szCs w:val="21"/>
                    </w:rPr>
                  </w:pPr>
                  <w:r>
                    <w:rPr>
                      <w:szCs w:val="21"/>
                    </w:rPr>
                    <w:t>（3）本工程不新增永久占地，施工布置不占用自然保护区、风景名胜区等以及其他生态红线中法律法规禁止占用的区域。</w:t>
                  </w:r>
                </w:p>
                <w:p>
                  <w:pPr>
                    <w:adjustRightInd w:val="0"/>
                    <w:snapToGrid w:val="0"/>
                    <w:rPr>
                      <w:szCs w:val="21"/>
                    </w:rPr>
                  </w:pPr>
                  <w:r>
                    <w:rPr>
                      <w:szCs w:val="21"/>
                    </w:rPr>
                    <w:t>（4）本工程为水库除险加固工程，仅对水库坝体、泄水构筑物进行加固，不改变现状水库及上下游河道水文情势。</w:t>
                  </w:r>
                </w:p>
              </w:tc>
              <w:tc>
                <w:tcPr>
                  <w:tcW w:w="487" w:type="dxa"/>
                  <w:tcBorders>
                    <w:tl2br w:val="nil"/>
                    <w:tr2bl w:val="nil"/>
                  </w:tcBorders>
                  <w:noWrap/>
                  <w:vAlign w:val="center"/>
                </w:tcPr>
                <w:p>
                  <w:pPr>
                    <w:adjustRightInd w:val="0"/>
                    <w:snapToGrid w:val="0"/>
                    <w:spacing w:line="240" w:lineRule="atLeast"/>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6</w:t>
                  </w:r>
                </w:p>
              </w:tc>
              <w:tc>
                <w:tcPr>
                  <w:tcW w:w="3606" w:type="dxa"/>
                  <w:tcBorders>
                    <w:tl2br w:val="nil"/>
                    <w:tr2bl w:val="nil"/>
                  </w:tcBorders>
                  <w:noWrap/>
                  <w:vAlign w:val="center"/>
                </w:tcPr>
                <w:p>
                  <w:pPr>
                    <w:adjustRightInd w:val="0"/>
                    <w:snapToGrid w:val="0"/>
                    <w:rPr>
                      <w:szCs w:val="21"/>
                    </w:rPr>
                  </w:pPr>
                  <w:r>
                    <w:rPr>
                      <w:szCs w:val="21"/>
                    </w:rPr>
                    <w:t>规划方案设计阶段，对于新建水库、输水管线等工程，应从工程占地、环境影响、输水安全、施工条件等方面进行多方案技术经济比选确定，尽量避开自然保护区、水源地保护区、风景名胜区、湿地保护区、基本农田等生态环境敏感区。</w:t>
                  </w:r>
                </w:p>
              </w:tc>
              <w:tc>
                <w:tcPr>
                  <w:tcW w:w="3180" w:type="dxa"/>
                  <w:tcBorders>
                    <w:tl2br w:val="nil"/>
                    <w:tr2bl w:val="nil"/>
                  </w:tcBorders>
                  <w:noWrap/>
                  <w:vAlign w:val="center"/>
                </w:tcPr>
                <w:p>
                  <w:pPr>
                    <w:adjustRightInd w:val="0"/>
                    <w:snapToGrid w:val="0"/>
                    <w:rPr>
                      <w:szCs w:val="21"/>
                    </w:rPr>
                  </w:pPr>
                  <w:r>
                    <w:rPr>
                      <w:szCs w:val="21"/>
                    </w:rPr>
                    <w:t>本工程为水库除险加固工程，不属于新建水库、输水管线等工程。</w:t>
                  </w:r>
                </w:p>
              </w:tc>
              <w:tc>
                <w:tcPr>
                  <w:tcW w:w="487" w:type="dxa"/>
                  <w:tcBorders>
                    <w:tl2br w:val="nil"/>
                    <w:tr2bl w:val="nil"/>
                  </w:tcBorders>
                  <w:noWrap/>
                  <w:vAlign w:val="center"/>
                </w:tcPr>
                <w:p>
                  <w:pPr>
                    <w:adjustRightInd w:val="0"/>
                    <w:snapToGrid w:val="0"/>
                    <w:spacing w:line="240" w:lineRule="atLeast"/>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7</w:t>
                  </w:r>
                </w:p>
              </w:tc>
              <w:tc>
                <w:tcPr>
                  <w:tcW w:w="3606" w:type="dxa"/>
                  <w:tcBorders>
                    <w:tl2br w:val="nil"/>
                    <w:tr2bl w:val="nil"/>
                  </w:tcBorders>
                  <w:noWrap/>
                  <w:vAlign w:val="center"/>
                </w:tcPr>
                <w:p>
                  <w:pPr>
                    <w:adjustRightInd w:val="0"/>
                    <w:snapToGrid w:val="0"/>
                    <w:rPr>
                      <w:szCs w:val="21"/>
                    </w:rPr>
                  </w:pPr>
                  <w:r>
                    <w:rPr>
                      <w:szCs w:val="21"/>
                    </w:rPr>
                    <w:t>建设项目环境影响评价阶段，应重点调查受保护的国家级和省级保护物种、珍稀濒危物种、地方特有物种和古树名木的类型、级别、分布、数量、保护状况等进行详细调查，明确影响性质与影响程度，尽量通过优化工程设计避让影响；对通过优化工程设计无法避让影响的，采取迁地保护措施进行保护。</w:t>
                  </w:r>
                </w:p>
              </w:tc>
              <w:tc>
                <w:tcPr>
                  <w:tcW w:w="3180" w:type="dxa"/>
                  <w:tcBorders>
                    <w:tl2br w:val="nil"/>
                    <w:tr2bl w:val="nil"/>
                  </w:tcBorders>
                  <w:noWrap/>
                  <w:vAlign w:val="center"/>
                </w:tcPr>
                <w:p>
                  <w:pPr>
                    <w:adjustRightInd w:val="0"/>
                    <w:snapToGrid w:val="0"/>
                    <w:rPr>
                      <w:szCs w:val="21"/>
                    </w:rPr>
                  </w:pPr>
                  <w:r>
                    <w:rPr>
                      <w:szCs w:val="21"/>
                    </w:rPr>
                    <w:t>本工程通过资料查阅、实地踏勘、走访调查当地居民等，未发现选址涉及国家级和省级保护物种、珍稀濒危物种、地方特有物种和古树名木。</w:t>
                  </w:r>
                </w:p>
              </w:tc>
              <w:tc>
                <w:tcPr>
                  <w:tcW w:w="487" w:type="dxa"/>
                  <w:tcBorders>
                    <w:tl2br w:val="nil"/>
                    <w:tr2bl w:val="nil"/>
                  </w:tcBorders>
                  <w:noWrap/>
                  <w:vAlign w:val="center"/>
                </w:tcPr>
                <w:p>
                  <w:pPr>
                    <w:adjustRightInd w:val="0"/>
                    <w:snapToGrid w:val="0"/>
                    <w:spacing w:line="240" w:lineRule="atLeast"/>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dxa"/>
                  <w:tcBorders>
                    <w:tl2br w:val="nil"/>
                    <w:tr2bl w:val="nil"/>
                  </w:tcBorders>
                  <w:noWrap/>
                  <w:vAlign w:val="center"/>
                </w:tcPr>
                <w:p>
                  <w:pPr>
                    <w:adjustRightInd w:val="0"/>
                    <w:snapToGrid w:val="0"/>
                    <w:spacing w:line="240" w:lineRule="atLeast"/>
                    <w:jc w:val="center"/>
                    <w:rPr>
                      <w:kern w:val="0"/>
                      <w:szCs w:val="21"/>
                    </w:rPr>
                  </w:pPr>
                  <w:r>
                    <w:rPr>
                      <w:kern w:val="0"/>
                      <w:szCs w:val="21"/>
                    </w:rPr>
                    <w:t>8</w:t>
                  </w:r>
                </w:p>
              </w:tc>
              <w:tc>
                <w:tcPr>
                  <w:tcW w:w="3606" w:type="dxa"/>
                  <w:tcBorders>
                    <w:tl2br w:val="nil"/>
                    <w:tr2bl w:val="nil"/>
                  </w:tcBorders>
                  <w:noWrap/>
                  <w:vAlign w:val="center"/>
                </w:tcPr>
                <w:p>
                  <w:pPr>
                    <w:adjustRightInd w:val="0"/>
                    <w:snapToGrid w:val="0"/>
                    <w:rPr>
                      <w:szCs w:val="21"/>
                    </w:rPr>
                  </w:pPr>
                  <w:r>
                    <w:rPr>
                      <w:szCs w:val="21"/>
                    </w:rPr>
                    <w:t>施工阶段，应注意优化施工方案、采用先进施工工艺，尽量减小开挖、取料对地表的扰动，减少资源消耗；合理布置和规划施工场地及其他临时用地，不影响河道行洪；采取工程措施和植物措施相结合的水土保持综合措施，以工程措施控制水土流失，必要时增加临时防护措施，以减少施工扰动产生的新增水土流失，并为植物措施的实施创造条件，对施工迹地进行绿化恢复；土石弃渣的堆放应遵循“先挡后弃”的原则，同时以植物措施与工程措施配套，提高水保效果，减少工程施工带来的新增水土流失量，恢复原有植被；对于涉及自然保护区、水土流失重点防治区、风景名胜区、湿地公园、水源地保护区等重要生态敏感区的施工区域，应保证施工效率和施工质量，做到施工快，效果好，临时占地少的原则。</w:t>
                  </w:r>
                </w:p>
              </w:tc>
              <w:tc>
                <w:tcPr>
                  <w:tcW w:w="3180" w:type="dxa"/>
                  <w:tcBorders>
                    <w:tl2br w:val="nil"/>
                    <w:tr2bl w:val="nil"/>
                  </w:tcBorders>
                  <w:noWrap/>
                  <w:vAlign w:val="center"/>
                </w:tcPr>
                <w:p>
                  <w:pPr>
                    <w:adjustRightInd w:val="0"/>
                    <w:snapToGrid w:val="0"/>
                    <w:rPr>
                      <w:szCs w:val="21"/>
                    </w:rPr>
                  </w:pPr>
                  <w:r>
                    <w:rPr>
                      <w:szCs w:val="21"/>
                    </w:rPr>
                    <w:t>本项目临时占地布置合理，不影响河道行洪。</w:t>
                  </w:r>
                </w:p>
                <w:p>
                  <w:pPr>
                    <w:adjustRightInd w:val="0"/>
                    <w:snapToGrid w:val="0"/>
                  </w:pPr>
                  <w:r>
                    <w:rPr>
                      <w:szCs w:val="21"/>
                    </w:rPr>
                    <w:t>施工期采取围挡作业、洒水、物料遮蔽等措施，可有效减轻扬尘污染。施工期设置沉淀池，施工废水经处理后全部回用不外排，生活污水依托附近村庄旱厕，定期由吸污车清掏用于周边绿化施肥。本项目采取低噪声设备并合理安排施工时间。</w:t>
                  </w:r>
                  <w:r>
                    <w:t>生活垃圾分类收集，运至附近垃圾填埋场处置，建筑垃圾能综合利用的综合利用，不能综合利用的统一运至政府指定地点处置。</w:t>
                  </w:r>
                </w:p>
                <w:p>
                  <w:pPr>
                    <w:adjustRightInd w:val="0"/>
                    <w:snapToGrid w:val="0"/>
                    <w:rPr>
                      <w:szCs w:val="21"/>
                    </w:rPr>
                  </w:pPr>
                  <w:r>
                    <w:rPr>
                      <w:szCs w:val="21"/>
                    </w:rPr>
                    <w:t>项目不另设弃土场。施工结束后对施工迹地进行植被恢复，以全面防治工程施工过程中产生的水土流失。本工程为水库除险加固工程，在施工期间，建设单位应严格按照计划施工并做好环境保护措施。</w:t>
                  </w:r>
                </w:p>
              </w:tc>
              <w:tc>
                <w:tcPr>
                  <w:tcW w:w="487" w:type="dxa"/>
                  <w:tcBorders>
                    <w:tl2br w:val="nil"/>
                    <w:tr2bl w:val="nil"/>
                  </w:tcBorders>
                  <w:noWrap/>
                  <w:vAlign w:val="center"/>
                </w:tcPr>
                <w:p>
                  <w:pPr>
                    <w:adjustRightInd w:val="0"/>
                    <w:snapToGrid w:val="0"/>
                    <w:spacing w:line="240" w:lineRule="atLeast"/>
                    <w:jc w:val="center"/>
                    <w:rPr>
                      <w:szCs w:val="21"/>
                    </w:rPr>
                  </w:pPr>
                  <w:r>
                    <w:rPr>
                      <w:szCs w:val="21"/>
                    </w:rPr>
                    <w:t>符合</w:t>
                  </w:r>
                </w:p>
              </w:tc>
            </w:tr>
          </w:tbl>
          <w:p>
            <w:pPr>
              <w:autoSpaceDE w:val="0"/>
              <w:autoSpaceDN w:val="0"/>
              <w:ind w:firstLine="510" w:firstLineChars="200"/>
              <w:rPr>
                <w:kern w:val="0"/>
                <w:sz w:val="24"/>
              </w:rPr>
            </w:pPr>
            <w:r>
              <w:rPr>
                <w:kern w:val="0"/>
                <w:sz w:val="24"/>
              </w:rPr>
              <w:t>项目的建设符合《宁夏水安全保障“十四五”规划环境影响报告书》的要求。</w:t>
            </w:r>
          </w:p>
          <w:p>
            <w:pPr>
              <w:widowControl/>
              <w:spacing w:before="240" w:after="60"/>
              <w:rPr>
                <w:rFonts w:eastAsia="黑体"/>
                <w:kern w:val="0"/>
                <w:sz w:val="24"/>
              </w:rPr>
            </w:pPr>
          </w:p>
          <w:p>
            <w:pPr>
              <w:widowControl/>
              <w:spacing w:before="240" w:after="60"/>
              <w:rPr>
                <w:rFonts w:eastAsia="黑体"/>
                <w:kern w:val="0"/>
                <w:sz w:val="24"/>
              </w:rPr>
            </w:pPr>
            <w:r>
              <w:rPr>
                <w:rFonts w:eastAsia="黑体"/>
                <w:kern w:val="0"/>
                <w:sz w:val="24"/>
              </w:rPr>
              <w:t>3、与</w:t>
            </w:r>
            <w:r>
              <w:rPr>
                <w:rFonts w:eastAsia="黑体"/>
                <w:kern w:val="0"/>
                <w:sz w:val="24"/>
                <w:lang w:val="zh-CN"/>
              </w:rPr>
              <w:t>《宁夏水安全保障“十四五”规划环境影响报告书</w:t>
            </w:r>
            <w:r>
              <w:rPr>
                <w:rFonts w:eastAsia="黑体"/>
                <w:kern w:val="0"/>
                <w:sz w:val="24"/>
              </w:rPr>
              <w:t>》审查意见的符合性</w:t>
            </w:r>
          </w:p>
          <w:p>
            <w:pPr>
              <w:autoSpaceDE w:val="0"/>
              <w:autoSpaceDN w:val="0"/>
              <w:ind w:firstLine="510" w:firstLineChars="200"/>
              <w:rPr>
                <w:rFonts w:eastAsia="黑体"/>
                <w:sz w:val="24"/>
              </w:rPr>
            </w:pPr>
            <w:r>
              <w:rPr>
                <w:sz w:val="24"/>
              </w:rPr>
              <w:t>《宁夏水安全保障“十四五”规划》于2021年8月9日取得了《关于宁夏水安全保障“十四五”规划环境影响报告书审查意见的函》</w:t>
            </w:r>
            <w:r>
              <w:rPr>
                <w:kern w:val="0"/>
                <w:sz w:val="24"/>
              </w:rPr>
              <w:t>（宁环函〔2021〕721号）</w:t>
            </w:r>
            <w:r>
              <w:rPr>
                <w:sz w:val="24"/>
              </w:rPr>
              <w:t>。本项目与规划环境影响评价审查意见</w:t>
            </w:r>
            <w:r>
              <w:rPr>
                <w:kern w:val="0"/>
                <w:sz w:val="24"/>
              </w:rPr>
              <w:t>（宁环函〔2021〕721号）</w:t>
            </w:r>
            <w:r>
              <w:rPr>
                <w:sz w:val="24"/>
              </w:rPr>
              <w:t>结论与相符性分析如下：</w:t>
            </w:r>
          </w:p>
          <w:p>
            <w:pPr>
              <w:autoSpaceDE w:val="0"/>
              <w:autoSpaceDN w:val="0"/>
              <w:adjustRightInd w:val="0"/>
              <w:snapToGrid w:val="0"/>
              <w:jc w:val="center"/>
              <w:rPr>
                <w:rFonts w:eastAsia="黑体"/>
                <w:sz w:val="24"/>
              </w:rPr>
            </w:pPr>
            <w:r>
              <w:rPr>
                <w:rFonts w:eastAsia="黑体"/>
                <w:sz w:val="24"/>
              </w:rPr>
              <w:t>表1-2本项目与规划环评审查意见的相符性</w:t>
            </w:r>
          </w:p>
          <w:tbl>
            <w:tblPr>
              <w:tblStyle w:val="28"/>
              <w:tblW w:w="78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3840"/>
              <w:gridCol w:w="2695"/>
              <w:gridCol w:w="7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dxa"/>
                  <w:tcBorders>
                    <w:left w:val="single" w:color="auto" w:sz="12" w:space="0"/>
                    <w:bottom w:val="single" w:color="auto" w:sz="4" w:space="0"/>
                    <w:right w:val="single" w:color="auto" w:sz="4" w:space="0"/>
                  </w:tcBorders>
                  <w:noWrap/>
                  <w:vAlign w:val="center"/>
                </w:tcPr>
                <w:p>
                  <w:pPr>
                    <w:adjustRightInd w:val="0"/>
                    <w:snapToGrid w:val="0"/>
                    <w:jc w:val="center"/>
                    <w:rPr>
                      <w:b/>
                      <w:bCs/>
                      <w:szCs w:val="21"/>
                    </w:rPr>
                  </w:pPr>
                  <w:r>
                    <w:rPr>
                      <w:b/>
                      <w:bCs/>
                      <w:szCs w:val="21"/>
                    </w:rPr>
                    <w:t>序号</w:t>
                  </w:r>
                </w:p>
              </w:tc>
              <w:tc>
                <w:tcPr>
                  <w:tcW w:w="3840" w:type="dxa"/>
                  <w:tcBorders>
                    <w:left w:val="single" w:color="auto" w:sz="4" w:space="0"/>
                    <w:bottom w:val="single" w:color="auto" w:sz="4" w:space="0"/>
                    <w:right w:val="single" w:color="auto" w:sz="4" w:space="0"/>
                  </w:tcBorders>
                  <w:noWrap/>
                  <w:vAlign w:val="center"/>
                </w:tcPr>
                <w:p>
                  <w:pPr>
                    <w:adjustRightInd w:val="0"/>
                    <w:snapToGrid w:val="0"/>
                    <w:jc w:val="center"/>
                    <w:rPr>
                      <w:b/>
                      <w:bCs/>
                      <w:szCs w:val="21"/>
                    </w:rPr>
                  </w:pPr>
                  <w:r>
                    <w:rPr>
                      <w:b/>
                      <w:bCs/>
                      <w:szCs w:val="21"/>
                    </w:rPr>
                    <w:t>审查意见</w:t>
                  </w:r>
                </w:p>
              </w:tc>
              <w:tc>
                <w:tcPr>
                  <w:tcW w:w="2695" w:type="dxa"/>
                  <w:tcBorders>
                    <w:left w:val="single" w:color="auto" w:sz="4" w:space="0"/>
                    <w:bottom w:val="single" w:color="auto" w:sz="4" w:space="0"/>
                    <w:right w:val="single" w:color="auto" w:sz="4" w:space="0"/>
                  </w:tcBorders>
                  <w:noWrap/>
                  <w:vAlign w:val="center"/>
                </w:tcPr>
                <w:p>
                  <w:pPr>
                    <w:adjustRightInd w:val="0"/>
                    <w:snapToGrid w:val="0"/>
                    <w:jc w:val="center"/>
                    <w:rPr>
                      <w:b/>
                      <w:bCs/>
                      <w:szCs w:val="21"/>
                    </w:rPr>
                  </w:pPr>
                  <w:r>
                    <w:rPr>
                      <w:b/>
                      <w:bCs/>
                      <w:szCs w:val="21"/>
                    </w:rPr>
                    <w:t>本项目</w:t>
                  </w:r>
                </w:p>
              </w:tc>
              <w:tc>
                <w:tcPr>
                  <w:tcW w:w="783" w:type="dxa"/>
                  <w:tcBorders>
                    <w:left w:val="single" w:color="auto" w:sz="4" w:space="0"/>
                    <w:bottom w:val="single" w:color="auto" w:sz="4" w:space="0"/>
                    <w:right w:val="single" w:color="auto" w:sz="12" w:space="0"/>
                  </w:tcBorders>
                  <w:noWrap/>
                  <w:vAlign w:val="center"/>
                </w:tcPr>
                <w:p>
                  <w:pPr>
                    <w:adjustRightInd w:val="0"/>
                    <w:snapToGrid w:val="0"/>
                    <w:jc w:val="center"/>
                    <w:rPr>
                      <w:b/>
                      <w:bCs/>
                      <w:szCs w:val="21"/>
                    </w:rPr>
                  </w:pPr>
                  <w:r>
                    <w:rPr>
                      <w:b/>
                      <w:bCs/>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dxa"/>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21"/>
                    </w:rPr>
                  </w:pPr>
                  <w:r>
                    <w:rPr>
                      <w:szCs w:val="21"/>
                    </w:rPr>
                    <w:t>1</w:t>
                  </w:r>
                </w:p>
              </w:tc>
              <w:tc>
                <w:tcPr>
                  <w:tcW w:w="384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严守生态保护红线，加强空间管控。将生态保护红线作为保障和维护区域生态安全的底线，依法实施严格保护，对所涉及的水利工程设施，严格执行各项生态环境保护要求。</w:t>
                  </w:r>
                </w:p>
              </w:tc>
              <w:tc>
                <w:tcPr>
                  <w:tcW w:w="26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本项目不占用生态保护红线。</w:t>
                  </w:r>
                </w:p>
              </w:tc>
              <w:tc>
                <w:tcPr>
                  <w:tcW w:w="783" w:type="dxa"/>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dxa"/>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21"/>
                    </w:rPr>
                  </w:pPr>
                  <w:r>
                    <w:rPr>
                      <w:szCs w:val="21"/>
                    </w:rPr>
                    <w:t>2</w:t>
                  </w:r>
                </w:p>
              </w:tc>
              <w:tc>
                <w:tcPr>
                  <w:tcW w:w="384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同步实现环境质量改善目标与水资源开发目标。</w:t>
                  </w:r>
                </w:p>
              </w:tc>
              <w:tc>
                <w:tcPr>
                  <w:tcW w:w="26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本项目位于环境空气质量达标区，运营期不产生废气、废水及固废，不会对周围环境产生不利影响。</w:t>
                  </w:r>
                </w:p>
              </w:tc>
              <w:tc>
                <w:tcPr>
                  <w:tcW w:w="783" w:type="dxa"/>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dxa"/>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21"/>
                    </w:rPr>
                  </w:pPr>
                  <w:r>
                    <w:rPr>
                      <w:szCs w:val="21"/>
                    </w:rPr>
                    <w:t>3</w:t>
                  </w:r>
                </w:p>
              </w:tc>
              <w:tc>
                <w:tcPr>
                  <w:tcW w:w="384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严格水利工程建设的环境准入条件。严格水利工程准入要求，从源头上避免对区域水环境质量及水生态造成影响。加强水资源综合利用，提高资源节约集约利用水平。</w:t>
                  </w:r>
                </w:p>
              </w:tc>
              <w:tc>
                <w:tcPr>
                  <w:tcW w:w="26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本项目为“水库除险加固工程”，仅对现状水库坝体及泄洪构筑物进行加固。</w:t>
                  </w:r>
                </w:p>
              </w:tc>
              <w:tc>
                <w:tcPr>
                  <w:tcW w:w="783" w:type="dxa"/>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7" w:type="dxa"/>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21"/>
                    </w:rPr>
                  </w:pPr>
                  <w:r>
                    <w:rPr>
                      <w:szCs w:val="21"/>
                    </w:rPr>
                    <w:t>4</w:t>
                  </w:r>
                </w:p>
              </w:tc>
              <w:tc>
                <w:tcPr>
                  <w:tcW w:w="384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加强水生态修复和水环境治理。统筹流域、区域，通过水土流失综合治理、重点河湖生态修复、水系连通和水美丽乡村建设、盐碱地改良和地下水超采区治理，推进水环境质量持续稳定改善、维护水生态系统安全，助力黄河流域生态保护和高质量发展先行区建设。</w:t>
                  </w:r>
                </w:p>
              </w:tc>
              <w:tc>
                <w:tcPr>
                  <w:tcW w:w="26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21"/>
                    </w:rPr>
                  </w:pPr>
                  <w:r>
                    <w:rPr>
                      <w:szCs w:val="21"/>
                    </w:rPr>
                    <w:t>通过水库除险加固，一定程度消除大坝主要的安全隐患，保障水库及下游保护对象防洪安全，更好发挥水库效益。</w:t>
                  </w:r>
                </w:p>
              </w:tc>
              <w:tc>
                <w:tcPr>
                  <w:tcW w:w="783" w:type="dxa"/>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7" w:type="dxa"/>
                  <w:tcBorders>
                    <w:top w:val="single" w:color="auto" w:sz="4" w:space="0"/>
                    <w:left w:val="single" w:color="auto" w:sz="12" w:space="0"/>
                    <w:right w:val="single" w:color="auto" w:sz="4" w:space="0"/>
                  </w:tcBorders>
                  <w:noWrap/>
                  <w:vAlign w:val="center"/>
                </w:tcPr>
                <w:p>
                  <w:pPr>
                    <w:adjustRightInd w:val="0"/>
                    <w:snapToGrid w:val="0"/>
                    <w:jc w:val="center"/>
                    <w:rPr>
                      <w:szCs w:val="21"/>
                    </w:rPr>
                  </w:pPr>
                  <w:r>
                    <w:rPr>
                      <w:szCs w:val="21"/>
                    </w:rPr>
                    <w:t>5</w:t>
                  </w:r>
                </w:p>
              </w:tc>
              <w:tc>
                <w:tcPr>
                  <w:tcW w:w="3840" w:type="dxa"/>
                  <w:tcBorders>
                    <w:top w:val="single" w:color="auto" w:sz="4" w:space="0"/>
                    <w:left w:val="single" w:color="auto" w:sz="4" w:space="0"/>
                    <w:right w:val="single" w:color="auto" w:sz="4" w:space="0"/>
                  </w:tcBorders>
                  <w:noWrap/>
                  <w:vAlign w:val="center"/>
                </w:tcPr>
                <w:p>
                  <w:pPr>
                    <w:adjustRightInd w:val="0"/>
                    <w:snapToGrid w:val="0"/>
                    <w:rPr>
                      <w:szCs w:val="21"/>
                    </w:rPr>
                  </w:pPr>
                  <w:r>
                    <w:rPr>
                      <w:szCs w:val="21"/>
                    </w:rPr>
                    <w:t>在《规划》实施过程中，加强环境监督管理，落实各项生态环境保护措施，适时开展环境影响跟踪评价，在《规划》修编时应重新编制环境影响报告书。</w:t>
                  </w:r>
                </w:p>
              </w:tc>
              <w:tc>
                <w:tcPr>
                  <w:tcW w:w="2695" w:type="dxa"/>
                  <w:tcBorders>
                    <w:top w:val="single" w:color="auto" w:sz="4" w:space="0"/>
                    <w:left w:val="single" w:color="auto" w:sz="4" w:space="0"/>
                    <w:right w:val="single" w:color="auto" w:sz="4" w:space="0"/>
                  </w:tcBorders>
                  <w:noWrap/>
                  <w:vAlign w:val="center"/>
                </w:tcPr>
                <w:p>
                  <w:pPr>
                    <w:adjustRightInd w:val="0"/>
                    <w:snapToGrid w:val="0"/>
                    <w:rPr>
                      <w:szCs w:val="21"/>
                    </w:rPr>
                  </w:pPr>
                  <w:r>
                    <w:rPr>
                      <w:szCs w:val="21"/>
                    </w:rPr>
                    <w:t>本项目不涉及。</w:t>
                  </w:r>
                </w:p>
              </w:tc>
              <w:tc>
                <w:tcPr>
                  <w:tcW w:w="783" w:type="dxa"/>
                  <w:tcBorders>
                    <w:top w:val="single" w:color="auto" w:sz="4" w:space="0"/>
                    <w:left w:val="single" w:color="auto" w:sz="4" w:space="0"/>
                    <w:right w:val="single" w:color="auto" w:sz="12" w:space="0"/>
                  </w:tcBorders>
                  <w:noWrap/>
                  <w:vAlign w:val="center"/>
                </w:tcPr>
                <w:p>
                  <w:pPr>
                    <w:adjustRightInd w:val="0"/>
                    <w:snapToGrid w:val="0"/>
                    <w:jc w:val="center"/>
                    <w:rPr>
                      <w:szCs w:val="21"/>
                    </w:rPr>
                  </w:pPr>
                  <w:r>
                    <w:rPr>
                      <w:szCs w:val="21"/>
                    </w:rPr>
                    <w:t>符合</w:t>
                  </w:r>
                </w:p>
              </w:tc>
            </w:tr>
          </w:tbl>
          <w:p>
            <w:pPr>
              <w:autoSpaceDE w:val="0"/>
              <w:autoSpaceDN w:val="0"/>
              <w:ind w:firstLine="510" w:firstLineChars="200"/>
              <w:rPr>
                <w:kern w:val="0"/>
                <w:sz w:val="24"/>
                <w:lang w:val="zh-CN"/>
              </w:rPr>
            </w:pPr>
            <w:r>
              <w:rPr>
                <w:kern w:val="0"/>
                <w:sz w:val="24"/>
                <w:lang w:val="zh-CN"/>
              </w:rPr>
              <w:t>项目的建设符合《宁夏水安全保障“十四五”规划环境影响报告书审查</w:t>
            </w:r>
            <w:r>
              <w:rPr>
                <w:kern w:val="0"/>
                <w:sz w:val="24"/>
              </w:rPr>
              <w:t>意见</w:t>
            </w:r>
            <w:r>
              <w:rPr>
                <w:kern w:val="0"/>
                <w:sz w:val="24"/>
                <w:lang w:val="zh-CN"/>
              </w:rPr>
              <w:t>》的要求。</w:t>
            </w:r>
          </w:p>
          <w:p>
            <w:pPr>
              <w:pStyle w:val="27"/>
              <w:ind w:firstLine="226"/>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7" w:type="dxa"/>
            <w:noWrap/>
            <w:vAlign w:val="center"/>
          </w:tcPr>
          <w:p>
            <w:pPr>
              <w:adjustRightInd w:val="0"/>
              <w:snapToGrid w:val="0"/>
              <w:jc w:val="center"/>
              <w:rPr>
                <w:b/>
                <w:bCs/>
                <w:sz w:val="24"/>
              </w:rPr>
            </w:pPr>
            <w:r>
              <w:rPr>
                <w:b/>
                <w:bCs/>
                <w:sz w:val="24"/>
              </w:rPr>
              <w:t>其他符合性分析</w:t>
            </w:r>
          </w:p>
        </w:tc>
        <w:tc>
          <w:tcPr>
            <w:tcW w:w="8041" w:type="dxa"/>
            <w:gridSpan w:val="4"/>
            <w:noWrap/>
            <w:vAlign w:val="center"/>
          </w:tcPr>
          <w:p>
            <w:pPr>
              <w:widowControl/>
              <w:spacing w:before="240" w:after="60"/>
              <w:rPr>
                <w:rFonts w:eastAsia="黑体"/>
                <w:kern w:val="0"/>
                <w:sz w:val="24"/>
              </w:rPr>
            </w:pPr>
            <w:r>
              <w:rPr>
                <w:rFonts w:eastAsia="黑体"/>
                <w:kern w:val="0"/>
                <w:sz w:val="24"/>
              </w:rPr>
              <w:t>1、产业政策符合性分析</w:t>
            </w:r>
          </w:p>
          <w:p>
            <w:pPr>
              <w:autoSpaceDE w:val="0"/>
              <w:autoSpaceDN w:val="0"/>
              <w:ind w:firstLine="510" w:firstLineChars="200"/>
              <w:rPr>
                <w:kern w:val="0"/>
                <w:sz w:val="24"/>
              </w:rPr>
            </w:pPr>
            <w:r>
              <w:rPr>
                <w:kern w:val="0"/>
                <w:sz w:val="24"/>
              </w:rPr>
              <w:t>根据国家发展和改革委员会颁发的《产业结构调整指导目录》（2024年本），项目属于鼓励类“二、水利3防洪提升工程：病险水库、水闸除险加固工程”，符合国家产业政策的要求。</w:t>
            </w:r>
          </w:p>
          <w:p>
            <w:pPr>
              <w:widowControl/>
              <w:spacing w:before="240" w:after="60"/>
              <w:rPr>
                <w:rFonts w:eastAsia="黑体"/>
                <w:kern w:val="0"/>
                <w:sz w:val="24"/>
              </w:rPr>
            </w:pPr>
            <w:r>
              <w:rPr>
                <w:rFonts w:eastAsia="黑体"/>
                <w:kern w:val="0"/>
                <w:sz w:val="24"/>
              </w:rPr>
              <w:t>2、与固原市“生态环境分区管控方案”符合性分析</w:t>
            </w:r>
          </w:p>
          <w:p>
            <w:pPr>
              <w:ind w:firstLine="510" w:firstLineChars="200"/>
              <w:rPr>
                <w:sz w:val="24"/>
              </w:rPr>
            </w:pPr>
            <w:r>
              <w:rPr>
                <w:sz w:val="24"/>
              </w:rPr>
              <w:t>（1）生态保护红线与生态空间</w:t>
            </w:r>
          </w:p>
          <w:p>
            <w:pPr>
              <w:ind w:firstLine="510" w:firstLineChars="200"/>
              <w:rPr>
                <w:sz w:val="24"/>
              </w:rPr>
            </w:pPr>
            <w:r>
              <w:rPr>
                <w:sz w:val="24"/>
              </w:rPr>
              <w:t>生态保护红线是指依法在重点生态功能区、生态环境敏感区和脆弱区等区域划定的严格的管控边界，是国家和区域生态安全的底线，对于维护生态安全格局、保障生态服务功能、支撑经济社会可持续发展具有重要作用。根据固原市生态保护红线图，本项目不在固原市生态保护红线范围内。</w:t>
            </w:r>
          </w:p>
          <w:p>
            <w:pPr>
              <w:ind w:firstLine="510" w:firstLineChars="200"/>
              <w:rPr>
                <w:sz w:val="24"/>
              </w:rPr>
            </w:pPr>
            <w:r>
              <w:rPr>
                <w:sz w:val="24"/>
              </w:rPr>
              <w:t>本项目与固原市生态保护红线位置关系图见附图1。</w:t>
            </w:r>
          </w:p>
          <w:p>
            <w:pPr>
              <w:ind w:firstLine="510" w:firstLineChars="200"/>
              <w:rPr>
                <w:sz w:val="24"/>
              </w:rPr>
            </w:pPr>
            <w:r>
              <w:rPr>
                <w:sz w:val="24"/>
              </w:rPr>
              <w:t>（2）环境质量底线及分区管控</w:t>
            </w:r>
          </w:p>
          <w:p>
            <w:pPr>
              <w:ind w:firstLine="510" w:firstLineChars="200"/>
              <w:rPr>
                <w:sz w:val="24"/>
              </w:rPr>
            </w:pPr>
            <w:r>
              <w:rPr>
                <w:sz w:val="24"/>
              </w:rPr>
              <w:t>①大气环境质量底线及分区管控</w:t>
            </w:r>
          </w:p>
          <w:p>
            <w:pPr>
              <w:pStyle w:val="81"/>
              <w:ind w:firstLine="512"/>
              <w:rPr>
                <w:color w:val="auto"/>
                <w:sz w:val="24"/>
                <w:lang w:val="en-US"/>
              </w:rPr>
            </w:pPr>
            <w:r>
              <w:rPr>
                <w:color w:val="auto"/>
                <w:sz w:val="24"/>
              </w:rPr>
              <w:t>大气环境质量底线：本次大气环境质量引用《202</w:t>
            </w:r>
            <w:r>
              <w:rPr>
                <w:color w:val="auto"/>
                <w:sz w:val="24"/>
                <w:lang w:val="en-US"/>
              </w:rPr>
              <w:t>3</w:t>
            </w:r>
            <w:r>
              <w:rPr>
                <w:color w:val="auto"/>
                <w:sz w:val="24"/>
              </w:rPr>
              <w:t>年宁夏生态环境质量报告》中202</w:t>
            </w:r>
            <w:r>
              <w:rPr>
                <w:color w:val="auto"/>
                <w:sz w:val="24"/>
                <w:lang w:val="en-US"/>
              </w:rPr>
              <w:t>3</w:t>
            </w:r>
            <w:r>
              <w:rPr>
                <w:color w:val="auto"/>
                <w:sz w:val="24"/>
              </w:rPr>
              <w:t>年彭阳县的监测数据，</w:t>
            </w:r>
            <w:r>
              <w:rPr>
                <w:color w:val="auto"/>
                <w:sz w:val="24"/>
                <w:lang w:val="en-US"/>
              </w:rPr>
              <w:t>剔除沙尘天气影响后，彭阳县2023年度SO</w:t>
            </w:r>
            <w:r>
              <w:rPr>
                <w:color w:val="auto"/>
                <w:sz w:val="24"/>
                <w:vertAlign w:val="subscript"/>
                <w:lang w:val="en-US"/>
              </w:rPr>
              <w:t>2</w:t>
            </w:r>
            <w:r>
              <w:rPr>
                <w:color w:val="auto"/>
                <w:sz w:val="24"/>
                <w:lang w:val="en-US"/>
              </w:rPr>
              <w:t>、NO</w:t>
            </w:r>
            <w:r>
              <w:rPr>
                <w:color w:val="auto"/>
                <w:sz w:val="24"/>
                <w:vertAlign w:val="subscript"/>
                <w:lang w:val="en-US"/>
              </w:rPr>
              <w:t>2</w:t>
            </w:r>
            <w:r>
              <w:rPr>
                <w:color w:val="auto"/>
                <w:sz w:val="24"/>
                <w:lang w:val="en-US"/>
              </w:rPr>
              <w:t>、PM</w:t>
            </w:r>
            <w:r>
              <w:rPr>
                <w:color w:val="auto"/>
                <w:sz w:val="24"/>
                <w:vertAlign w:val="subscript"/>
                <w:lang w:val="en-US"/>
              </w:rPr>
              <w:t>2.5</w:t>
            </w:r>
            <w:r>
              <w:rPr>
                <w:color w:val="auto"/>
                <w:sz w:val="24"/>
                <w:lang w:val="en-US"/>
              </w:rPr>
              <w:t>、PM</w:t>
            </w:r>
            <w:r>
              <w:rPr>
                <w:color w:val="auto"/>
                <w:sz w:val="24"/>
                <w:vertAlign w:val="subscript"/>
                <w:lang w:val="en-US"/>
              </w:rPr>
              <w:t>10</w:t>
            </w:r>
            <w:r>
              <w:rPr>
                <w:color w:val="auto"/>
                <w:sz w:val="24"/>
                <w:lang w:val="en-US"/>
              </w:rPr>
              <w:t>年均浓度、CO24h平均第95百分位数浓度、O</w:t>
            </w:r>
            <w:r>
              <w:rPr>
                <w:color w:val="auto"/>
                <w:sz w:val="24"/>
                <w:vertAlign w:val="subscript"/>
                <w:lang w:val="en-US"/>
              </w:rPr>
              <w:t>3</w:t>
            </w:r>
            <w:r>
              <w:rPr>
                <w:color w:val="auto"/>
                <w:sz w:val="24"/>
                <w:lang w:val="en-US"/>
              </w:rPr>
              <w:t>日最大8h滑动平均值第90百分位数浓度均达到《环境空气质量标准》（GB3095-2012）及修改单中二级标准要求，属于达标区。</w:t>
            </w:r>
          </w:p>
          <w:p>
            <w:pPr>
              <w:ind w:firstLine="510" w:firstLineChars="200"/>
              <w:rPr>
                <w:sz w:val="24"/>
              </w:rPr>
            </w:pPr>
            <w:r>
              <w:rPr>
                <w:sz w:val="24"/>
              </w:rPr>
              <w:t>根据固原市大气环境分区管控图，本项目所在区域属于大气环境一般管控区，管控要求为：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pPr>
              <w:ind w:firstLine="510" w:firstLineChars="200"/>
              <w:rPr>
                <w:sz w:val="24"/>
              </w:rPr>
            </w:pPr>
            <w:r>
              <w:rPr>
                <w:sz w:val="24"/>
              </w:rPr>
              <w:t>本项目为水库除险加固工程，运营期无废气产生，施工期主要为施工扬尘及机械废气，在严格落实本项目提出的各项防治措施后，对周边环境影响较小，随着施工期的结束，施工期废气的影响也随之消失。因此项目建设符合大气环境一般管控区要求，不会突破大气环境质量底线。</w:t>
            </w:r>
          </w:p>
          <w:p>
            <w:pPr>
              <w:ind w:firstLine="510" w:firstLineChars="200"/>
              <w:rPr>
                <w:sz w:val="24"/>
              </w:rPr>
            </w:pPr>
            <w:r>
              <w:rPr>
                <w:sz w:val="24"/>
              </w:rPr>
              <w:t>本项目与固原市大气环境分区管控位置关系见附图2。</w:t>
            </w:r>
          </w:p>
          <w:p>
            <w:pPr>
              <w:ind w:firstLine="510" w:firstLineChars="200"/>
              <w:rPr>
                <w:sz w:val="24"/>
              </w:rPr>
            </w:pPr>
            <w:r>
              <w:rPr>
                <w:sz w:val="24"/>
              </w:rPr>
              <w:t>②水环境质量底线及分区管控</w:t>
            </w:r>
          </w:p>
          <w:p>
            <w:pPr>
              <w:ind w:firstLine="510" w:firstLineChars="200"/>
              <w:rPr>
                <w:sz w:val="24"/>
              </w:rPr>
            </w:pPr>
            <w:r>
              <w:rPr>
                <w:sz w:val="24"/>
              </w:rPr>
              <w:t>水环境质量底线：本项目采用《2023年宁夏生态环境质量报告》中蒲河石家河桥（宁夏—甘肃省界国控断面）处的监测数据，24项监测因子中，全部满足《地表水环境质量标准》（GB3838-2002）中Ⅳ类标准要求。</w:t>
            </w:r>
          </w:p>
          <w:p>
            <w:pPr>
              <w:ind w:firstLine="510" w:firstLineChars="200"/>
              <w:rPr>
                <w:sz w:val="24"/>
              </w:rPr>
            </w:pPr>
            <w:r>
              <w:rPr>
                <w:sz w:val="24"/>
              </w:rPr>
              <w:t>根据地表水专项评价水质检测结果分析可知，项目总体水质超出水质要求（水库水质目标为《地表水环境质量标准》(GB3838-2002）的Ⅲ类标准）。从水质检测结果分析可知，化学需氧量、生化需氧量、总磷超标，分析主要原因为水库受农业面源影响；氟化物超标分析主要原因为区域本底值较高导致。</w:t>
            </w:r>
          </w:p>
          <w:p>
            <w:pPr>
              <w:ind w:firstLine="510" w:firstLineChars="200"/>
              <w:rPr>
                <w:sz w:val="24"/>
              </w:rPr>
            </w:pPr>
            <w:r>
              <w:rPr>
                <w:sz w:val="24"/>
              </w:rPr>
              <w:t>根据固原市水环境分区管控图，本项目位于水环境一般管控区，管控要求为：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pPr>
              <w:ind w:firstLine="510" w:firstLineChars="200"/>
              <w:rPr>
                <w:sz w:val="24"/>
              </w:rPr>
            </w:pPr>
            <w:r>
              <w:rPr>
                <w:sz w:val="24"/>
              </w:rPr>
              <w:t>本项目为水库除险加固工程，运营期无废水产生。施工期设置沉淀池，施工废水经处理后全部回用不外排。生活污水依托周边村庄旱厕，定期由清掏用于周边绿化施肥，不会对区域地表水环境产生影响。因此，本项目符合水环境一般管控区要求，不会突破水环境质量底线。</w:t>
            </w:r>
          </w:p>
          <w:p>
            <w:pPr>
              <w:ind w:firstLine="510" w:firstLineChars="200"/>
              <w:rPr>
                <w:sz w:val="24"/>
              </w:rPr>
            </w:pPr>
            <w:r>
              <w:rPr>
                <w:sz w:val="24"/>
              </w:rPr>
              <w:t>本项目与固原市水环境分区管控位置关系见附图3。</w:t>
            </w:r>
          </w:p>
          <w:p>
            <w:pPr>
              <w:ind w:firstLine="510" w:firstLineChars="200"/>
              <w:rPr>
                <w:sz w:val="24"/>
              </w:rPr>
            </w:pPr>
            <w:r>
              <w:rPr>
                <w:sz w:val="24"/>
              </w:rPr>
              <w:t>③土壤污染风险防控底线及分区管控</w:t>
            </w:r>
          </w:p>
          <w:p>
            <w:pPr>
              <w:ind w:firstLine="510" w:firstLineChars="200"/>
              <w:rPr>
                <w:sz w:val="24"/>
              </w:rPr>
            </w:pPr>
            <w:r>
              <w:rPr>
                <w:sz w:val="24"/>
              </w:rPr>
              <w:t>根据固原市土壤污染风险分区管控图，本项目所在区域属于一般管控区，管控要求为：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pPr>
              <w:ind w:firstLine="510" w:firstLineChars="200"/>
              <w:rPr>
                <w:sz w:val="24"/>
              </w:rPr>
            </w:pPr>
            <w:r>
              <w:rPr>
                <w:sz w:val="24"/>
              </w:rPr>
              <w:t>本项目不属于有色金属冶炼、焦化等行业企业，也不属于排放重点污染物的建设项目。本项目取土场</w:t>
            </w:r>
            <w:r>
              <w:rPr>
                <w:sz w:val="24"/>
                <w:szCs w:val="32"/>
              </w:rPr>
              <w:t>、施工生产生活区等</w:t>
            </w:r>
            <w:r>
              <w:rPr>
                <w:sz w:val="24"/>
              </w:rPr>
              <w:t>临时占地在施工结束后对其进行迹地恢复，对其他草地的临时占地进行表土保护、土地整治及植被恢复，不改变其土地类型。施工时收集保存建设中临时用地所占用其他草地的表层熟土，施工结束后及时覆盖熟土，为减免施工对其他草地的影响，工程设计中尽量减少影响面积，在施工完成后尽早进行植被恢复。</w:t>
            </w:r>
          </w:p>
          <w:p>
            <w:pPr>
              <w:ind w:firstLine="510" w:firstLineChars="200"/>
              <w:rPr>
                <w:sz w:val="24"/>
              </w:rPr>
            </w:pPr>
            <w:r>
              <w:rPr>
                <w:sz w:val="24"/>
              </w:rPr>
              <w:t>项目建设符合固原市一般管控区管控要求，不会突破土壤环境风险管控底线。</w:t>
            </w:r>
          </w:p>
          <w:p>
            <w:pPr>
              <w:ind w:firstLine="510" w:firstLineChars="200"/>
              <w:rPr>
                <w:sz w:val="24"/>
              </w:rPr>
            </w:pPr>
            <w:r>
              <w:rPr>
                <w:sz w:val="24"/>
              </w:rPr>
              <w:t>本项目与固原市土壤污染风险防控分区位置关系见附图4。</w:t>
            </w:r>
          </w:p>
          <w:p>
            <w:pPr>
              <w:ind w:firstLine="510" w:firstLineChars="200"/>
              <w:rPr>
                <w:sz w:val="24"/>
              </w:rPr>
            </w:pPr>
            <w:r>
              <w:rPr>
                <w:sz w:val="24"/>
              </w:rPr>
              <w:t>综上所述，本项目建设符合环境质量底线和分区管控的要求。</w:t>
            </w:r>
          </w:p>
          <w:p>
            <w:pPr>
              <w:ind w:firstLine="510" w:firstLineChars="200"/>
              <w:rPr>
                <w:sz w:val="24"/>
              </w:rPr>
            </w:pPr>
            <w:r>
              <w:rPr>
                <w:sz w:val="24"/>
              </w:rPr>
              <w:t>（3）资源利用上线</w:t>
            </w:r>
          </w:p>
          <w:p>
            <w:pPr>
              <w:ind w:firstLine="510" w:firstLineChars="200"/>
              <w:rPr>
                <w:sz w:val="24"/>
              </w:rPr>
            </w:pPr>
            <w:r>
              <w:rPr>
                <w:sz w:val="24"/>
              </w:rPr>
              <w:t>①水资源利用上线</w:t>
            </w:r>
          </w:p>
          <w:p>
            <w:pPr>
              <w:ind w:firstLine="510" w:firstLineChars="200"/>
              <w:rPr>
                <w:sz w:val="24"/>
              </w:rPr>
            </w:pPr>
            <w:r>
              <w:rPr>
                <w:sz w:val="24"/>
              </w:rPr>
              <w:t>本项目为水库除险加固工程，项目新鲜水用水主要为施工期生活用水，用水量很少，本项目建设不会突破固原市水资源利用上线，符合固原市水资源利用上线要求。</w:t>
            </w:r>
          </w:p>
          <w:p>
            <w:pPr>
              <w:ind w:firstLine="510" w:firstLineChars="200"/>
              <w:rPr>
                <w:sz w:val="24"/>
              </w:rPr>
            </w:pPr>
            <w:r>
              <w:rPr>
                <w:sz w:val="24"/>
              </w:rPr>
              <w:t>②土地资源利用上线</w:t>
            </w:r>
          </w:p>
          <w:p>
            <w:pPr>
              <w:ind w:firstLine="510" w:firstLineChars="200"/>
              <w:rPr>
                <w:sz w:val="24"/>
              </w:rPr>
            </w:pPr>
            <w:r>
              <w:rPr>
                <w:sz w:val="24"/>
              </w:rPr>
              <w:t>从生态环境保护的角度出发，综合考虑生态保护红线、永久基本农田等保护区域的面积，可开发利用土地资源的存量，以及土地资源的集约利用水平等因素，评价各区县在土地资源开发利用与生态环境保护方面的潜在矛盾程度。将原州区、西吉县、隆德县、泾源县等4个区县确定为土地资源重点管控区。</w:t>
            </w:r>
          </w:p>
          <w:p>
            <w:pPr>
              <w:ind w:firstLine="510" w:firstLineChars="200"/>
              <w:rPr>
                <w:sz w:val="24"/>
              </w:rPr>
            </w:pPr>
            <w:r>
              <w:rPr>
                <w:sz w:val="24"/>
              </w:rPr>
              <w:t>本项目所在区域不属于土地资源重点管控区，且本项目不新增永久占地，不会突破固原市土地资源利用上线。</w:t>
            </w:r>
          </w:p>
          <w:p>
            <w:pPr>
              <w:keepNext/>
              <w:keepLines/>
              <w:ind w:firstLine="510" w:firstLineChars="200"/>
              <w:rPr>
                <w:sz w:val="24"/>
              </w:rPr>
            </w:pPr>
            <w:r>
              <w:rPr>
                <w:sz w:val="24"/>
              </w:rPr>
              <w:t>③能源（煤炭）资源利用上线</w:t>
            </w:r>
          </w:p>
          <w:p>
            <w:pPr>
              <w:keepNext/>
              <w:keepLines/>
              <w:ind w:firstLine="510" w:firstLineChars="200"/>
              <w:rPr>
                <w:sz w:val="24"/>
              </w:rPr>
            </w:pPr>
            <w:r>
              <w:rPr>
                <w:sz w:val="24"/>
              </w:rPr>
              <w:t>本项目不消耗煤炭资源。符合能源（煤炭）资源利用上线要求。</w:t>
            </w:r>
          </w:p>
          <w:p>
            <w:pPr>
              <w:ind w:firstLine="510" w:firstLineChars="200"/>
              <w:rPr>
                <w:sz w:val="24"/>
              </w:rPr>
            </w:pPr>
            <w:r>
              <w:rPr>
                <w:sz w:val="24"/>
              </w:rPr>
              <w:t>（4）环境管控单元与准入清单</w:t>
            </w:r>
          </w:p>
          <w:p>
            <w:pPr>
              <w:ind w:firstLine="510" w:firstLineChars="200"/>
              <w:rPr>
                <w:sz w:val="24"/>
              </w:rPr>
            </w:pPr>
            <w:r>
              <w:rPr>
                <w:sz w:val="24"/>
              </w:rPr>
              <w:t>①环境管控单元</w:t>
            </w:r>
          </w:p>
          <w:p>
            <w:pPr>
              <w:ind w:firstLine="510" w:firstLineChars="200"/>
              <w:rPr>
                <w:sz w:val="24"/>
              </w:rPr>
            </w:pPr>
            <w:r>
              <w:rPr>
                <w:sz w:val="24"/>
              </w:rPr>
              <w:t>对照《固原市环境管控单元分布图》，本项目位于优先保护单元，管控要求为：优先保护单元以严格保护生态环境、严格限制产业发展为导向，禁止或限制大规模的工业开发和城镇建设。</w:t>
            </w:r>
          </w:p>
          <w:p>
            <w:pPr>
              <w:ind w:firstLine="510" w:firstLineChars="200"/>
              <w:rPr>
                <w:sz w:val="24"/>
              </w:rPr>
            </w:pPr>
            <w:r>
              <w:rPr>
                <w:sz w:val="24"/>
              </w:rPr>
              <w:t>本项目为水库</w:t>
            </w:r>
            <w:r>
              <w:rPr>
                <w:kern w:val="0"/>
                <w:sz w:val="24"/>
              </w:rPr>
              <w:t>除险加固工程</w:t>
            </w:r>
            <w:r>
              <w:rPr>
                <w:sz w:val="24"/>
              </w:rPr>
              <w:t>，不属于工业开发和城镇建设项目，项目运营期无三废产生，施工期在严格落实环评提出的各项措施后，能够减少污染物的产生，符合水环境优先保护区管控要求。</w:t>
            </w:r>
          </w:p>
          <w:p>
            <w:pPr>
              <w:ind w:firstLine="510" w:firstLineChars="200"/>
              <w:rPr>
                <w:sz w:val="24"/>
              </w:rPr>
            </w:pPr>
            <w:r>
              <w:rPr>
                <w:sz w:val="24"/>
              </w:rPr>
              <w:t>本项目与固原市环境管控单元分布图位置关系见附图5。</w:t>
            </w:r>
          </w:p>
          <w:p>
            <w:pPr>
              <w:ind w:firstLine="510" w:firstLineChars="200"/>
              <w:rPr>
                <w:sz w:val="24"/>
              </w:rPr>
            </w:pPr>
            <w:r>
              <w:rPr>
                <w:sz w:val="24"/>
              </w:rPr>
              <w:t>②生态环境准入清单</w:t>
            </w:r>
          </w:p>
          <w:p>
            <w:pPr>
              <w:ind w:firstLine="510" w:firstLineChars="200"/>
              <w:rPr>
                <w:rFonts w:eastAsia="黑体"/>
                <w:sz w:val="24"/>
              </w:rPr>
            </w:pPr>
            <w:r>
              <w:rPr>
                <w:sz w:val="24"/>
              </w:rPr>
              <w:t>根据《固原市生态环境准入清单》，项目所在区域属于彭阳县王洼镇－冯庄乡－孟塬乡生态空间优先保护单元，项目与彭阳县优先保护单元1的符合性分析见表1-3。与固原市生态环境总体准入清单符合性分析见表1-4。</w:t>
            </w:r>
          </w:p>
          <w:p>
            <w:pPr>
              <w:adjustRightInd w:val="0"/>
              <w:snapToGrid w:val="0"/>
              <w:jc w:val="center"/>
              <w:rPr>
                <w:rFonts w:eastAsia="黑体"/>
                <w:sz w:val="24"/>
              </w:rPr>
            </w:pPr>
            <w:r>
              <w:rPr>
                <w:rFonts w:eastAsia="黑体"/>
                <w:sz w:val="24"/>
              </w:rPr>
              <w:t>表1-3  项目与优先保护单元符合性分析</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24"/>
              <w:gridCol w:w="975"/>
              <w:gridCol w:w="3672"/>
              <w:gridCol w:w="1744"/>
              <w:gridCol w:w="5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24" w:type="dxa"/>
                  <w:tcBorders>
                    <w:right w:val="single" w:color="auto" w:sz="4" w:space="0"/>
                  </w:tcBorders>
                  <w:noWrap/>
                  <w:vAlign w:val="center"/>
                </w:tcPr>
                <w:p>
                  <w:pPr>
                    <w:adjustRightInd w:val="0"/>
                    <w:snapToGrid w:val="0"/>
                    <w:jc w:val="center"/>
                    <w:rPr>
                      <w:b/>
                      <w:bCs/>
                      <w:kern w:val="0"/>
                      <w:szCs w:val="21"/>
                    </w:rPr>
                  </w:pPr>
                  <w:r>
                    <w:rPr>
                      <w:b/>
                      <w:bCs/>
                      <w:kern w:val="0"/>
                      <w:szCs w:val="21"/>
                    </w:rPr>
                    <w:t>管控单元名称</w:t>
                  </w:r>
                </w:p>
              </w:tc>
              <w:tc>
                <w:tcPr>
                  <w:tcW w:w="4647" w:type="dxa"/>
                  <w:gridSpan w:val="2"/>
                  <w:tcBorders>
                    <w:left w:val="single" w:color="auto" w:sz="4" w:space="0"/>
                    <w:right w:val="single" w:color="auto" w:sz="4" w:space="0"/>
                  </w:tcBorders>
                  <w:noWrap/>
                  <w:vAlign w:val="center"/>
                </w:tcPr>
                <w:p>
                  <w:pPr>
                    <w:adjustRightInd w:val="0"/>
                    <w:snapToGrid w:val="0"/>
                    <w:jc w:val="center"/>
                    <w:rPr>
                      <w:b/>
                      <w:bCs/>
                      <w:kern w:val="0"/>
                      <w:szCs w:val="21"/>
                    </w:rPr>
                  </w:pPr>
                  <w:r>
                    <w:rPr>
                      <w:b/>
                      <w:bCs/>
                      <w:kern w:val="0"/>
                      <w:szCs w:val="21"/>
                    </w:rPr>
                    <w:t>管控要求</w:t>
                  </w:r>
                </w:p>
              </w:tc>
              <w:tc>
                <w:tcPr>
                  <w:tcW w:w="1744" w:type="dxa"/>
                  <w:tcBorders>
                    <w:left w:val="single" w:color="auto" w:sz="4" w:space="0"/>
                  </w:tcBorders>
                  <w:noWrap/>
                  <w:vAlign w:val="center"/>
                </w:tcPr>
                <w:p>
                  <w:pPr>
                    <w:adjustRightInd w:val="0"/>
                    <w:snapToGrid w:val="0"/>
                    <w:jc w:val="center"/>
                    <w:rPr>
                      <w:b/>
                      <w:bCs/>
                      <w:kern w:val="0"/>
                      <w:szCs w:val="21"/>
                    </w:rPr>
                  </w:pPr>
                  <w:r>
                    <w:rPr>
                      <w:b/>
                      <w:bCs/>
                      <w:kern w:val="0"/>
                      <w:szCs w:val="21"/>
                    </w:rPr>
                    <w:t>本项目情况</w:t>
                  </w:r>
                </w:p>
              </w:tc>
              <w:tc>
                <w:tcPr>
                  <w:tcW w:w="580" w:type="dxa"/>
                  <w:tcBorders>
                    <w:left w:val="single" w:color="auto" w:sz="4" w:space="0"/>
                  </w:tcBorders>
                  <w:noWrap/>
                  <w:vAlign w:val="center"/>
                </w:tcPr>
                <w:p>
                  <w:pPr>
                    <w:adjustRightInd w:val="0"/>
                    <w:snapToGrid w:val="0"/>
                    <w:jc w:val="center"/>
                    <w:rPr>
                      <w:b/>
                      <w:bCs/>
                      <w:kern w:val="0"/>
                      <w:szCs w:val="21"/>
                    </w:rPr>
                  </w:pPr>
                  <w:r>
                    <w:rPr>
                      <w:b/>
                      <w:bCs/>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51" w:hRule="atLeast"/>
                <w:jc w:val="center"/>
              </w:trPr>
              <w:tc>
                <w:tcPr>
                  <w:tcW w:w="824" w:type="dxa"/>
                  <w:vMerge w:val="restart"/>
                  <w:noWrap/>
                  <w:vAlign w:val="center"/>
                </w:tcPr>
                <w:p>
                  <w:pPr>
                    <w:adjustRightInd w:val="0"/>
                    <w:snapToGrid w:val="0"/>
                    <w:jc w:val="center"/>
                    <w:rPr>
                      <w:bCs/>
                      <w:kern w:val="0"/>
                      <w:szCs w:val="21"/>
                    </w:rPr>
                  </w:pPr>
                  <w:r>
                    <w:rPr>
                      <w:bCs/>
                      <w:kern w:val="0"/>
                      <w:szCs w:val="21"/>
                    </w:rPr>
                    <w:t>彭阳县王洼镇－冯庄乡－孟塬乡生态空间优先保护单元</w:t>
                  </w:r>
                </w:p>
              </w:tc>
              <w:tc>
                <w:tcPr>
                  <w:tcW w:w="975" w:type="dxa"/>
                  <w:vMerge w:val="restart"/>
                  <w:tcBorders>
                    <w:right w:val="single" w:color="auto" w:sz="4" w:space="0"/>
                  </w:tcBorders>
                  <w:noWrap/>
                  <w:vAlign w:val="center"/>
                </w:tcPr>
                <w:p>
                  <w:pPr>
                    <w:adjustRightInd w:val="0"/>
                    <w:snapToGrid w:val="0"/>
                    <w:jc w:val="center"/>
                    <w:rPr>
                      <w:bCs/>
                      <w:kern w:val="0"/>
                      <w:szCs w:val="21"/>
                    </w:rPr>
                  </w:pPr>
                  <w:r>
                    <w:rPr>
                      <w:bCs/>
                      <w:kern w:val="0"/>
                      <w:szCs w:val="21"/>
                    </w:rPr>
                    <w:t>空间布局约束</w:t>
                  </w:r>
                </w:p>
              </w:tc>
              <w:tc>
                <w:tcPr>
                  <w:tcW w:w="3672" w:type="dxa"/>
                  <w:tcBorders>
                    <w:left w:val="single" w:color="auto" w:sz="4" w:space="0"/>
                    <w:bottom w:val="single" w:color="auto" w:sz="4" w:space="0"/>
                    <w:right w:val="single" w:color="auto" w:sz="4" w:space="0"/>
                  </w:tcBorders>
                  <w:noWrap/>
                  <w:vAlign w:val="center"/>
                </w:tcPr>
                <w:p>
                  <w:pPr>
                    <w:adjustRightInd w:val="0"/>
                    <w:snapToGrid w:val="0"/>
                    <w:rPr>
                      <w:bCs/>
                      <w:kern w:val="0"/>
                      <w:szCs w:val="21"/>
                    </w:rPr>
                  </w:pPr>
                  <w:r>
                    <w:rPr>
                      <w:bCs/>
                      <w:kern w:val="0"/>
                      <w:szCs w:val="21"/>
                    </w:rPr>
                    <w:t>1.禁止在水源涵养地、天然林地、草原等植被覆盖度在40%以上和治理程度达70%以上的小流域进行开发建设。</w:t>
                  </w:r>
                </w:p>
              </w:tc>
              <w:tc>
                <w:tcPr>
                  <w:tcW w:w="1744" w:type="dxa"/>
                  <w:tcBorders>
                    <w:left w:val="single" w:color="auto" w:sz="4" w:space="0"/>
                    <w:bottom w:val="single" w:color="auto" w:sz="4" w:space="0"/>
                  </w:tcBorders>
                  <w:noWrap/>
                  <w:vAlign w:val="center"/>
                </w:tcPr>
                <w:p>
                  <w:pPr>
                    <w:adjustRightInd w:val="0"/>
                    <w:snapToGrid w:val="0"/>
                    <w:rPr>
                      <w:bCs/>
                      <w:kern w:val="0"/>
                      <w:szCs w:val="21"/>
                    </w:rPr>
                  </w:pPr>
                  <w:r>
                    <w:rPr>
                      <w:bCs/>
                      <w:kern w:val="0"/>
                      <w:szCs w:val="21"/>
                    </w:rPr>
                    <w:t>1.本项目在现状水库原址进行除险加固，不属于开发建设，不新增占地，临时占地于施工结束后恢复植被覆盖度。</w:t>
                  </w:r>
                </w:p>
              </w:tc>
              <w:tc>
                <w:tcPr>
                  <w:tcW w:w="580" w:type="dxa"/>
                  <w:tcBorders>
                    <w:left w:val="single" w:color="auto" w:sz="4" w:space="0"/>
                  </w:tcBorders>
                  <w:noWrap/>
                  <w:vAlign w:val="center"/>
                </w:tcPr>
                <w:p>
                  <w:pPr>
                    <w:adjustRightInd w:val="0"/>
                    <w:snapToGrid w:val="0"/>
                    <w:jc w:val="center"/>
                    <w:rPr>
                      <w:bCs/>
                      <w:kern w:val="0"/>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 w:hRule="atLeast"/>
                <w:jc w:val="center"/>
              </w:trPr>
              <w:tc>
                <w:tcPr>
                  <w:tcW w:w="824" w:type="dxa"/>
                  <w:vMerge w:val="continue"/>
                  <w:noWrap/>
                  <w:vAlign w:val="center"/>
                </w:tcPr>
                <w:p>
                  <w:pPr>
                    <w:adjustRightInd w:val="0"/>
                    <w:snapToGrid w:val="0"/>
                  </w:pPr>
                </w:p>
              </w:tc>
              <w:tc>
                <w:tcPr>
                  <w:tcW w:w="975" w:type="dxa"/>
                  <w:vMerge w:val="continue"/>
                  <w:tcBorders>
                    <w:bottom w:val="single" w:color="auto" w:sz="4" w:space="0"/>
                    <w:right w:val="single" w:color="auto" w:sz="4" w:space="0"/>
                  </w:tcBorders>
                  <w:noWrap/>
                  <w:vAlign w:val="center"/>
                </w:tcPr>
                <w:p>
                  <w:pPr>
                    <w:adjustRightInd w:val="0"/>
                    <w:snapToGrid w:val="0"/>
                  </w:pPr>
                </w:p>
              </w:tc>
              <w:tc>
                <w:tcPr>
                  <w:tcW w:w="3672" w:type="dxa"/>
                  <w:tcBorders>
                    <w:left w:val="single" w:color="auto" w:sz="4" w:space="0"/>
                    <w:bottom w:val="single" w:color="auto" w:sz="4" w:space="0"/>
                    <w:right w:val="single" w:color="auto" w:sz="4" w:space="0"/>
                  </w:tcBorders>
                  <w:noWrap/>
                  <w:vAlign w:val="center"/>
                </w:tcPr>
                <w:p>
                  <w:pPr>
                    <w:adjustRightInd w:val="0"/>
                    <w:snapToGrid w:val="0"/>
                    <w:rPr>
                      <w:bCs/>
                      <w:kern w:val="0"/>
                      <w:szCs w:val="21"/>
                    </w:rPr>
                  </w:pPr>
                  <w:r>
                    <w:rPr>
                      <w:bCs/>
                      <w:kern w:val="0"/>
                      <w:szCs w:val="21"/>
                    </w:rPr>
                    <w:t>2.原则上禁止新建排放污染物的各类工业和规模化养殖项目。</w:t>
                  </w:r>
                </w:p>
              </w:tc>
              <w:tc>
                <w:tcPr>
                  <w:tcW w:w="1744" w:type="dxa"/>
                  <w:tcBorders>
                    <w:left w:val="single" w:color="auto" w:sz="4" w:space="0"/>
                    <w:bottom w:val="single" w:color="auto" w:sz="4" w:space="0"/>
                  </w:tcBorders>
                  <w:noWrap/>
                  <w:vAlign w:val="center"/>
                </w:tcPr>
                <w:p>
                  <w:pPr>
                    <w:adjustRightInd w:val="0"/>
                    <w:snapToGrid w:val="0"/>
                    <w:rPr>
                      <w:bCs/>
                      <w:kern w:val="0"/>
                      <w:szCs w:val="21"/>
                    </w:rPr>
                  </w:pPr>
                  <w:r>
                    <w:rPr>
                      <w:bCs/>
                      <w:kern w:val="0"/>
                      <w:szCs w:val="21"/>
                    </w:rPr>
                    <w:t>2.本项目不属于新建排放污染物的各类工业和规模化养殖项目。</w:t>
                  </w:r>
                </w:p>
              </w:tc>
              <w:tc>
                <w:tcPr>
                  <w:tcW w:w="580" w:type="dxa"/>
                  <w:tcBorders>
                    <w:left w:val="single" w:color="auto" w:sz="4" w:space="0"/>
                    <w:bottom w:val="single" w:color="auto" w:sz="4" w:space="0"/>
                  </w:tcBorders>
                  <w:noWrap/>
                  <w:vAlign w:val="center"/>
                </w:tcPr>
                <w:p>
                  <w:pPr>
                    <w:adjustRightInd w:val="0"/>
                    <w:snapToGrid w:val="0"/>
                    <w:rPr>
                      <w:bCs/>
                      <w:kern w:val="0"/>
                      <w:szCs w:val="21"/>
                    </w:rPr>
                  </w:pPr>
                  <w:r>
                    <w:rPr>
                      <w:bCs/>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765" w:hRule="atLeast"/>
                <w:jc w:val="center"/>
              </w:trPr>
              <w:tc>
                <w:tcPr>
                  <w:tcW w:w="824" w:type="dxa"/>
                  <w:vMerge w:val="continue"/>
                  <w:noWrap/>
                  <w:vAlign w:val="center"/>
                </w:tcPr>
                <w:p>
                  <w:pPr>
                    <w:adjustRightInd w:val="0"/>
                    <w:snapToGrid w:val="0"/>
                  </w:pPr>
                </w:p>
              </w:tc>
              <w:tc>
                <w:tcPr>
                  <w:tcW w:w="975" w:type="dxa"/>
                  <w:vMerge w:val="continue"/>
                  <w:tcBorders>
                    <w:bottom w:val="single" w:color="auto" w:sz="4" w:space="0"/>
                    <w:right w:val="single" w:color="auto" w:sz="4" w:space="0"/>
                  </w:tcBorders>
                  <w:noWrap/>
                  <w:vAlign w:val="center"/>
                </w:tcPr>
                <w:p>
                  <w:pPr>
                    <w:adjustRightInd w:val="0"/>
                    <w:snapToGrid w:val="0"/>
                  </w:pPr>
                </w:p>
              </w:tc>
              <w:tc>
                <w:tcPr>
                  <w:tcW w:w="3672" w:type="dxa"/>
                  <w:tcBorders>
                    <w:left w:val="single" w:color="auto" w:sz="4" w:space="0"/>
                    <w:bottom w:val="single" w:color="auto" w:sz="4" w:space="0"/>
                    <w:right w:val="single" w:color="auto" w:sz="4" w:space="0"/>
                  </w:tcBorders>
                  <w:noWrap/>
                  <w:vAlign w:val="center"/>
                </w:tcPr>
                <w:p>
                  <w:pPr>
                    <w:adjustRightInd w:val="0"/>
                    <w:snapToGrid w:val="0"/>
                    <w:rPr>
                      <w:bCs/>
                      <w:kern w:val="0"/>
                      <w:szCs w:val="21"/>
                    </w:rPr>
                  </w:pPr>
                  <w:r>
                    <w:rPr>
                      <w:bCs/>
                      <w:kern w:val="0"/>
                      <w:szCs w:val="21"/>
                    </w:rPr>
                    <w:t>3.生态保护红线内，除国家重大战略项目以及对生态功能不造成破坏的八类有限人为活动之外，严格禁止各类开发性、生产性建设活动。一般生态空间内，在生态保护红线正面清单的基础上，仅允许开展生态修复等对生态环境扰动较小、不损害或有利于提升生态功能的开发项目。</w:t>
                  </w:r>
                </w:p>
              </w:tc>
              <w:tc>
                <w:tcPr>
                  <w:tcW w:w="1744" w:type="dxa"/>
                  <w:tcBorders>
                    <w:left w:val="single" w:color="auto" w:sz="4" w:space="0"/>
                    <w:bottom w:val="single" w:color="auto" w:sz="4" w:space="0"/>
                  </w:tcBorders>
                  <w:noWrap/>
                  <w:vAlign w:val="center"/>
                </w:tcPr>
                <w:p>
                  <w:pPr>
                    <w:adjustRightInd w:val="0"/>
                    <w:snapToGrid w:val="0"/>
                    <w:rPr>
                      <w:bCs/>
                      <w:kern w:val="0"/>
                      <w:szCs w:val="21"/>
                    </w:rPr>
                  </w:pPr>
                  <w:r>
                    <w:rPr>
                      <w:bCs/>
                      <w:kern w:val="0"/>
                      <w:szCs w:val="21"/>
                    </w:rPr>
                    <w:t>3.本项目不在生态保护红线内，也不在一般生态空间内。</w:t>
                  </w:r>
                </w:p>
              </w:tc>
              <w:tc>
                <w:tcPr>
                  <w:tcW w:w="580" w:type="dxa"/>
                  <w:tcBorders>
                    <w:left w:val="single" w:color="auto" w:sz="4" w:space="0"/>
                    <w:bottom w:val="single" w:color="auto" w:sz="4" w:space="0"/>
                  </w:tcBorders>
                  <w:noWrap/>
                  <w:vAlign w:val="center"/>
                </w:tcPr>
                <w:p>
                  <w:pPr>
                    <w:adjustRightInd w:val="0"/>
                    <w:snapToGrid w:val="0"/>
                    <w:rPr>
                      <w:bCs/>
                      <w:kern w:val="0"/>
                      <w:szCs w:val="21"/>
                    </w:rPr>
                  </w:pPr>
                  <w:r>
                    <w:rPr>
                      <w:bCs/>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24" w:type="dxa"/>
                  <w:vMerge w:val="continue"/>
                  <w:noWrap/>
                  <w:vAlign w:val="center"/>
                </w:tcPr>
                <w:p>
                  <w:pPr>
                    <w:widowControl/>
                    <w:adjustRightInd w:val="0"/>
                    <w:snapToGrid w:val="0"/>
                    <w:jc w:val="center"/>
                    <w:rPr>
                      <w:szCs w:val="21"/>
                    </w:rPr>
                  </w:pPr>
                </w:p>
              </w:tc>
              <w:tc>
                <w:tcPr>
                  <w:tcW w:w="975" w:type="dxa"/>
                  <w:tcBorders>
                    <w:top w:val="single" w:color="auto" w:sz="4" w:space="0"/>
                    <w:bottom w:val="single" w:color="auto" w:sz="4" w:space="0"/>
                    <w:right w:val="single" w:color="auto" w:sz="4" w:space="0"/>
                  </w:tcBorders>
                  <w:noWrap/>
                  <w:vAlign w:val="center"/>
                </w:tcPr>
                <w:p>
                  <w:pPr>
                    <w:adjustRightInd w:val="0"/>
                    <w:snapToGrid w:val="0"/>
                    <w:jc w:val="center"/>
                    <w:rPr>
                      <w:bCs/>
                      <w:kern w:val="0"/>
                      <w:szCs w:val="21"/>
                    </w:rPr>
                  </w:pPr>
                  <w:r>
                    <w:rPr>
                      <w:bCs/>
                      <w:kern w:val="0"/>
                      <w:szCs w:val="21"/>
                    </w:rPr>
                    <w:t>污染物排放管控</w:t>
                  </w:r>
                </w:p>
              </w:tc>
              <w:tc>
                <w:tcPr>
                  <w:tcW w:w="367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Cs/>
                      <w:kern w:val="0"/>
                      <w:szCs w:val="21"/>
                    </w:rPr>
                  </w:pPr>
                  <w:r>
                    <w:rPr>
                      <w:bCs/>
                      <w:kern w:val="0"/>
                      <w:szCs w:val="21"/>
                    </w:rPr>
                    <w:t>/</w:t>
                  </w:r>
                </w:p>
              </w:tc>
              <w:tc>
                <w:tcPr>
                  <w:tcW w:w="1744" w:type="dxa"/>
                  <w:tcBorders>
                    <w:top w:val="single" w:color="auto" w:sz="4" w:space="0"/>
                    <w:left w:val="single" w:color="auto" w:sz="4" w:space="0"/>
                    <w:bottom w:val="single" w:color="auto" w:sz="4" w:space="0"/>
                  </w:tcBorders>
                  <w:noWrap/>
                  <w:vAlign w:val="center"/>
                </w:tcPr>
                <w:p>
                  <w:pPr>
                    <w:adjustRightInd w:val="0"/>
                    <w:snapToGrid w:val="0"/>
                    <w:jc w:val="center"/>
                    <w:rPr>
                      <w:bCs/>
                      <w:kern w:val="0"/>
                      <w:szCs w:val="21"/>
                    </w:rPr>
                  </w:pPr>
                  <w:r>
                    <w:rPr>
                      <w:bCs/>
                      <w:kern w:val="0"/>
                      <w:szCs w:val="21"/>
                    </w:rPr>
                    <w:t>/</w:t>
                  </w:r>
                </w:p>
              </w:tc>
              <w:tc>
                <w:tcPr>
                  <w:tcW w:w="580" w:type="dxa"/>
                  <w:tcBorders>
                    <w:top w:val="single" w:color="auto" w:sz="4" w:space="0"/>
                    <w:left w:val="single" w:color="auto" w:sz="4" w:space="0"/>
                    <w:bottom w:val="single" w:color="auto" w:sz="4" w:space="0"/>
                  </w:tcBorders>
                  <w:noWrap/>
                  <w:vAlign w:val="center"/>
                </w:tcPr>
                <w:p>
                  <w:pPr>
                    <w:adjustRightInd w:val="0"/>
                    <w:snapToGrid w:val="0"/>
                    <w:jc w:val="center"/>
                    <w:rPr>
                      <w:bCs/>
                      <w:kern w:val="0"/>
                      <w:szCs w:val="21"/>
                    </w:rPr>
                  </w:pPr>
                  <w:r>
                    <w:rPr>
                      <w:bCs/>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24" w:type="dxa"/>
                  <w:vMerge w:val="continue"/>
                  <w:noWrap/>
                  <w:vAlign w:val="center"/>
                </w:tcPr>
                <w:p>
                  <w:pPr>
                    <w:widowControl/>
                    <w:adjustRightInd w:val="0"/>
                    <w:snapToGrid w:val="0"/>
                    <w:jc w:val="center"/>
                    <w:rPr>
                      <w:szCs w:val="21"/>
                    </w:rPr>
                  </w:pPr>
                </w:p>
              </w:tc>
              <w:tc>
                <w:tcPr>
                  <w:tcW w:w="975" w:type="dxa"/>
                  <w:tcBorders>
                    <w:top w:val="single" w:color="auto" w:sz="4" w:space="0"/>
                    <w:bottom w:val="single" w:color="auto" w:sz="4" w:space="0"/>
                    <w:right w:val="single" w:color="auto" w:sz="4" w:space="0"/>
                  </w:tcBorders>
                  <w:noWrap/>
                  <w:vAlign w:val="center"/>
                </w:tcPr>
                <w:p>
                  <w:pPr>
                    <w:adjustRightInd w:val="0"/>
                    <w:snapToGrid w:val="0"/>
                    <w:jc w:val="center"/>
                    <w:rPr>
                      <w:bCs/>
                      <w:kern w:val="0"/>
                      <w:szCs w:val="21"/>
                    </w:rPr>
                  </w:pPr>
                  <w:r>
                    <w:rPr>
                      <w:bCs/>
                      <w:kern w:val="0"/>
                      <w:szCs w:val="21"/>
                    </w:rPr>
                    <w:t>环境风险防控</w:t>
                  </w:r>
                </w:p>
              </w:tc>
              <w:tc>
                <w:tcPr>
                  <w:tcW w:w="3672"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bCs/>
                      <w:kern w:val="0"/>
                      <w:szCs w:val="21"/>
                    </w:rPr>
                  </w:pPr>
                  <w:r>
                    <w:rPr>
                      <w:bCs/>
                      <w:kern w:val="0"/>
                      <w:szCs w:val="21"/>
                    </w:rPr>
                    <w:t>/</w:t>
                  </w:r>
                </w:p>
              </w:tc>
              <w:tc>
                <w:tcPr>
                  <w:tcW w:w="1744" w:type="dxa"/>
                  <w:tcBorders>
                    <w:top w:val="single" w:color="auto" w:sz="4" w:space="0"/>
                    <w:left w:val="single" w:color="auto" w:sz="4" w:space="0"/>
                    <w:bottom w:val="single" w:color="auto" w:sz="4" w:space="0"/>
                  </w:tcBorders>
                  <w:noWrap/>
                  <w:vAlign w:val="center"/>
                </w:tcPr>
                <w:p>
                  <w:pPr>
                    <w:adjustRightInd w:val="0"/>
                    <w:snapToGrid w:val="0"/>
                    <w:jc w:val="center"/>
                    <w:rPr>
                      <w:bCs/>
                      <w:kern w:val="0"/>
                      <w:szCs w:val="21"/>
                    </w:rPr>
                  </w:pPr>
                  <w:r>
                    <w:rPr>
                      <w:bCs/>
                      <w:kern w:val="0"/>
                      <w:szCs w:val="21"/>
                    </w:rPr>
                    <w:t>/</w:t>
                  </w:r>
                </w:p>
              </w:tc>
              <w:tc>
                <w:tcPr>
                  <w:tcW w:w="580" w:type="dxa"/>
                  <w:tcBorders>
                    <w:top w:val="single" w:color="auto" w:sz="4" w:space="0"/>
                    <w:left w:val="single" w:color="auto" w:sz="4" w:space="0"/>
                    <w:bottom w:val="single" w:color="auto" w:sz="4" w:space="0"/>
                  </w:tcBorders>
                  <w:noWrap/>
                  <w:vAlign w:val="center"/>
                </w:tcPr>
                <w:p>
                  <w:pPr>
                    <w:adjustRightInd w:val="0"/>
                    <w:snapToGrid w:val="0"/>
                    <w:jc w:val="center"/>
                    <w:rPr>
                      <w:bCs/>
                      <w:kern w:val="0"/>
                      <w:szCs w:val="21"/>
                    </w:rPr>
                  </w:pPr>
                  <w:r>
                    <w:rPr>
                      <w:bCs/>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24" w:type="dxa"/>
                  <w:vMerge w:val="continue"/>
                  <w:noWrap/>
                  <w:vAlign w:val="center"/>
                </w:tcPr>
                <w:p>
                  <w:pPr>
                    <w:widowControl/>
                    <w:adjustRightInd w:val="0"/>
                    <w:snapToGrid w:val="0"/>
                    <w:jc w:val="center"/>
                    <w:rPr>
                      <w:szCs w:val="21"/>
                    </w:rPr>
                  </w:pPr>
                </w:p>
              </w:tc>
              <w:tc>
                <w:tcPr>
                  <w:tcW w:w="975" w:type="dxa"/>
                  <w:tcBorders>
                    <w:top w:val="single" w:color="auto" w:sz="4" w:space="0"/>
                    <w:right w:val="single" w:color="auto" w:sz="4" w:space="0"/>
                  </w:tcBorders>
                  <w:noWrap/>
                  <w:vAlign w:val="center"/>
                </w:tcPr>
                <w:p>
                  <w:pPr>
                    <w:adjustRightInd w:val="0"/>
                    <w:snapToGrid w:val="0"/>
                    <w:jc w:val="center"/>
                    <w:rPr>
                      <w:bCs/>
                      <w:kern w:val="0"/>
                      <w:szCs w:val="21"/>
                    </w:rPr>
                  </w:pPr>
                  <w:r>
                    <w:rPr>
                      <w:bCs/>
                      <w:kern w:val="0"/>
                      <w:szCs w:val="21"/>
                    </w:rPr>
                    <w:t>资源开发效率</w:t>
                  </w:r>
                </w:p>
              </w:tc>
              <w:tc>
                <w:tcPr>
                  <w:tcW w:w="3672" w:type="dxa"/>
                  <w:tcBorders>
                    <w:top w:val="single" w:color="auto" w:sz="4" w:space="0"/>
                    <w:left w:val="single" w:color="auto" w:sz="4" w:space="0"/>
                    <w:right w:val="single" w:color="auto" w:sz="4" w:space="0"/>
                  </w:tcBorders>
                  <w:noWrap/>
                  <w:vAlign w:val="center"/>
                </w:tcPr>
                <w:p>
                  <w:pPr>
                    <w:adjustRightInd w:val="0"/>
                    <w:snapToGrid w:val="0"/>
                    <w:jc w:val="center"/>
                    <w:rPr>
                      <w:bCs/>
                      <w:kern w:val="0"/>
                      <w:szCs w:val="21"/>
                    </w:rPr>
                  </w:pPr>
                  <w:r>
                    <w:rPr>
                      <w:bCs/>
                      <w:kern w:val="0"/>
                      <w:szCs w:val="21"/>
                    </w:rPr>
                    <w:t>/</w:t>
                  </w:r>
                </w:p>
              </w:tc>
              <w:tc>
                <w:tcPr>
                  <w:tcW w:w="1744" w:type="dxa"/>
                  <w:tcBorders>
                    <w:top w:val="single" w:color="auto" w:sz="4" w:space="0"/>
                    <w:left w:val="single" w:color="auto" w:sz="4" w:space="0"/>
                  </w:tcBorders>
                  <w:noWrap/>
                  <w:vAlign w:val="center"/>
                </w:tcPr>
                <w:p>
                  <w:pPr>
                    <w:adjustRightInd w:val="0"/>
                    <w:snapToGrid w:val="0"/>
                    <w:jc w:val="center"/>
                    <w:rPr>
                      <w:bCs/>
                      <w:kern w:val="0"/>
                      <w:szCs w:val="21"/>
                    </w:rPr>
                  </w:pPr>
                  <w:r>
                    <w:rPr>
                      <w:bCs/>
                      <w:kern w:val="0"/>
                      <w:szCs w:val="21"/>
                    </w:rPr>
                    <w:t>/</w:t>
                  </w:r>
                </w:p>
              </w:tc>
              <w:tc>
                <w:tcPr>
                  <w:tcW w:w="580" w:type="dxa"/>
                  <w:tcBorders>
                    <w:top w:val="single" w:color="auto" w:sz="4" w:space="0"/>
                    <w:left w:val="single" w:color="auto" w:sz="4" w:space="0"/>
                  </w:tcBorders>
                  <w:noWrap/>
                  <w:vAlign w:val="center"/>
                </w:tcPr>
                <w:p>
                  <w:pPr>
                    <w:adjustRightInd w:val="0"/>
                    <w:snapToGrid w:val="0"/>
                    <w:jc w:val="center"/>
                    <w:rPr>
                      <w:bCs/>
                      <w:kern w:val="0"/>
                      <w:szCs w:val="21"/>
                    </w:rPr>
                  </w:pPr>
                  <w:r>
                    <w:rPr>
                      <w:bCs/>
                      <w:kern w:val="0"/>
                      <w:szCs w:val="21"/>
                    </w:rPr>
                    <w:t>/</w:t>
                  </w:r>
                </w:p>
              </w:tc>
            </w:tr>
          </w:tbl>
          <w:p>
            <w:pPr>
              <w:adjustRightInd w:val="0"/>
              <w:snapToGrid w:val="0"/>
              <w:jc w:val="center"/>
              <w:rPr>
                <w:rFonts w:eastAsia="黑体"/>
                <w:sz w:val="24"/>
              </w:rPr>
            </w:pPr>
            <w:r>
              <w:rPr>
                <w:rFonts w:eastAsia="黑体"/>
                <w:sz w:val="24"/>
              </w:rPr>
              <w:t>表1-4  项目与固原市生态环境总体准入清单符合性分析</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90"/>
              <w:gridCol w:w="1028"/>
              <w:gridCol w:w="4770"/>
              <w:gridCol w:w="1095"/>
              <w:gridCol w:w="4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 w:hRule="atLeast"/>
                <w:tblHeader/>
              </w:trPr>
              <w:tc>
                <w:tcPr>
                  <w:tcW w:w="1518" w:type="dxa"/>
                  <w:gridSpan w:val="2"/>
                  <w:tcBorders>
                    <w:right w:val="single" w:color="auto" w:sz="4" w:space="0"/>
                  </w:tcBorders>
                  <w:noWrap/>
                  <w:vAlign w:val="center"/>
                </w:tcPr>
                <w:p>
                  <w:pPr>
                    <w:topLinePunct/>
                    <w:adjustRightInd w:val="0"/>
                    <w:snapToGrid w:val="0"/>
                    <w:jc w:val="center"/>
                    <w:rPr>
                      <w:b/>
                      <w:bCs/>
                      <w:szCs w:val="21"/>
                    </w:rPr>
                  </w:pPr>
                  <w:r>
                    <w:rPr>
                      <w:b/>
                      <w:bCs/>
                      <w:szCs w:val="21"/>
                    </w:rPr>
                    <w:t>管控维度</w:t>
                  </w:r>
                </w:p>
              </w:tc>
              <w:tc>
                <w:tcPr>
                  <w:tcW w:w="4770" w:type="dxa"/>
                  <w:tcBorders>
                    <w:left w:val="single" w:color="auto" w:sz="4" w:space="0"/>
                    <w:right w:val="single" w:color="auto" w:sz="4" w:space="0"/>
                  </w:tcBorders>
                  <w:noWrap/>
                  <w:vAlign w:val="center"/>
                </w:tcPr>
                <w:p>
                  <w:pPr>
                    <w:topLinePunct/>
                    <w:adjustRightInd w:val="0"/>
                    <w:snapToGrid w:val="0"/>
                    <w:jc w:val="center"/>
                    <w:rPr>
                      <w:b/>
                      <w:bCs/>
                      <w:szCs w:val="21"/>
                    </w:rPr>
                  </w:pPr>
                  <w:r>
                    <w:rPr>
                      <w:b/>
                      <w:bCs/>
                      <w:szCs w:val="21"/>
                    </w:rPr>
                    <w:t>管控要求</w:t>
                  </w:r>
                </w:p>
              </w:tc>
              <w:tc>
                <w:tcPr>
                  <w:tcW w:w="1095" w:type="dxa"/>
                  <w:tcBorders>
                    <w:left w:val="single" w:color="auto" w:sz="4" w:space="0"/>
                  </w:tcBorders>
                  <w:noWrap/>
                  <w:vAlign w:val="center"/>
                </w:tcPr>
                <w:p>
                  <w:pPr>
                    <w:topLinePunct/>
                    <w:adjustRightInd w:val="0"/>
                    <w:snapToGrid w:val="0"/>
                    <w:jc w:val="center"/>
                    <w:rPr>
                      <w:b/>
                      <w:bCs/>
                      <w:szCs w:val="21"/>
                    </w:rPr>
                  </w:pPr>
                  <w:r>
                    <w:rPr>
                      <w:b/>
                      <w:bCs/>
                      <w:szCs w:val="21"/>
                    </w:rPr>
                    <w:t>本项目情况</w:t>
                  </w:r>
                </w:p>
              </w:tc>
              <w:tc>
                <w:tcPr>
                  <w:tcW w:w="412" w:type="dxa"/>
                  <w:tcBorders>
                    <w:left w:val="single" w:color="auto" w:sz="4" w:space="0"/>
                  </w:tcBorders>
                  <w:noWrap/>
                  <w:vAlign w:val="center"/>
                </w:tcPr>
                <w:p>
                  <w:pPr>
                    <w:topLinePunct/>
                    <w:adjustRightInd w:val="0"/>
                    <w:snapToGrid w:val="0"/>
                    <w:jc w:val="center"/>
                    <w:rPr>
                      <w:b/>
                      <w:bCs/>
                      <w:szCs w:val="21"/>
                    </w:rPr>
                  </w:pPr>
                  <w:r>
                    <w:rPr>
                      <w:b/>
                      <w:bCs/>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24" w:hRule="atLeast"/>
              </w:trPr>
              <w:tc>
                <w:tcPr>
                  <w:tcW w:w="490" w:type="dxa"/>
                  <w:vMerge w:val="restart"/>
                  <w:noWrap/>
                  <w:vAlign w:val="center"/>
                </w:tcPr>
                <w:p>
                  <w:pPr>
                    <w:topLinePunct/>
                    <w:adjustRightInd w:val="0"/>
                    <w:snapToGrid w:val="0"/>
                    <w:jc w:val="center"/>
                    <w:rPr>
                      <w:szCs w:val="21"/>
                    </w:rPr>
                  </w:pPr>
                  <w:r>
                    <w:rPr>
                      <w:szCs w:val="21"/>
                    </w:rPr>
                    <w:t>A1</w:t>
                  </w:r>
                </w:p>
                <w:p>
                  <w:pPr>
                    <w:topLinePunct/>
                    <w:adjustRightInd w:val="0"/>
                    <w:snapToGrid w:val="0"/>
                    <w:jc w:val="center"/>
                    <w:rPr>
                      <w:szCs w:val="21"/>
                    </w:rPr>
                  </w:pPr>
                  <w:r>
                    <w:rPr>
                      <w:szCs w:val="21"/>
                    </w:rPr>
                    <w:t>空间布局约束</w:t>
                  </w:r>
                </w:p>
              </w:tc>
              <w:tc>
                <w:tcPr>
                  <w:tcW w:w="1028" w:type="dxa"/>
                  <w:vMerge w:val="restart"/>
                  <w:tcBorders>
                    <w:top w:val="single" w:color="auto" w:sz="4" w:space="0"/>
                  </w:tcBorders>
                  <w:noWrap/>
                  <w:vAlign w:val="center"/>
                </w:tcPr>
                <w:p>
                  <w:pPr>
                    <w:topLinePunct/>
                    <w:adjustRightInd w:val="0"/>
                    <w:snapToGrid w:val="0"/>
                    <w:jc w:val="center"/>
                    <w:rPr>
                      <w:szCs w:val="21"/>
                    </w:rPr>
                  </w:pPr>
                  <w:r>
                    <w:rPr>
                      <w:szCs w:val="21"/>
                    </w:rPr>
                    <w:t>A1.1禁止开发建设活动的要求</w:t>
                  </w:r>
                </w:p>
              </w:tc>
              <w:tc>
                <w:tcPr>
                  <w:tcW w:w="4770" w:type="dxa"/>
                  <w:tcBorders>
                    <w:bottom w:val="single" w:color="auto" w:sz="4" w:space="0"/>
                    <w:right w:val="single" w:color="auto" w:sz="4" w:space="0"/>
                  </w:tcBorders>
                  <w:noWrap/>
                  <w:vAlign w:val="center"/>
                </w:tcPr>
                <w:p>
                  <w:pPr>
                    <w:topLinePunct/>
                    <w:adjustRightInd w:val="0"/>
                    <w:snapToGrid w:val="0"/>
                    <w:jc w:val="left"/>
                  </w:pPr>
                  <w:r>
                    <w:rPr>
                      <w:szCs w:val="21"/>
                    </w:rPr>
                    <w:t>1.严禁产能过剩行业新增产能，各开发区主导产业产值占比达到60%以上，严防发达地区淘汰退出的高污染企业落户固原。</w:t>
                  </w:r>
                </w:p>
              </w:tc>
              <w:tc>
                <w:tcPr>
                  <w:tcW w:w="1095" w:type="dxa"/>
                  <w:tcBorders>
                    <w:left w:val="single" w:color="auto" w:sz="4" w:space="0"/>
                  </w:tcBorders>
                  <w:noWrap/>
                  <w:vAlign w:val="center"/>
                </w:tcPr>
                <w:p>
                  <w:pPr>
                    <w:adjustRightInd w:val="0"/>
                    <w:snapToGrid w:val="0"/>
                    <w:jc w:val="center"/>
                    <w:rPr>
                      <w:szCs w:val="21"/>
                    </w:rPr>
                  </w:pPr>
                  <w:r>
                    <w:rPr>
                      <w:bCs/>
                      <w:kern w:val="0"/>
                      <w:szCs w:val="21"/>
                    </w:rPr>
                    <w:t>1.本项目不涉及。</w:t>
                  </w:r>
                </w:p>
              </w:tc>
              <w:tc>
                <w:tcPr>
                  <w:tcW w:w="412" w:type="dxa"/>
                  <w:tcBorders>
                    <w:left w:val="single" w:color="auto" w:sz="4" w:space="0"/>
                  </w:tcBorders>
                  <w:noWrap/>
                  <w:vAlign w:val="center"/>
                </w:tcPr>
                <w:p>
                  <w:pPr>
                    <w:adjustRightInd w:val="0"/>
                    <w:snapToGrid w:val="0"/>
                    <w:jc w:val="center"/>
                    <w:rPr>
                      <w:bCs/>
                      <w:kern w:val="0"/>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4" w:hRule="atLeast"/>
              </w:trPr>
              <w:tc>
                <w:tcPr>
                  <w:tcW w:w="490" w:type="dxa"/>
                  <w:vMerge w:val="continue"/>
                  <w:noWrap/>
                  <w:vAlign w:val="center"/>
                </w:tcPr>
                <w:p>
                  <w:pPr>
                    <w:topLinePunct/>
                    <w:adjustRightInd w:val="0"/>
                    <w:snapToGrid w:val="0"/>
                    <w:jc w:val="center"/>
                  </w:pPr>
                </w:p>
              </w:tc>
              <w:tc>
                <w:tcPr>
                  <w:tcW w:w="1028" w:type="dxa"/>
                  <w:vMerge w:val="continue"/>
                  <w:noWrap/>
                  <w:vAlign w:val="center"/>
                </w:tcPr>
                <w:p>
                  <w:pPr>
                    <w:topLinePunct/>
                    <w:adjustRightInd w:val="0"/>
                    <w:snapToGrid w:val="0"/>
                    <w:jc w:val="center"/>
                  </w:pPr>
                </w:p>
              </w:tc>
              <w:tc>
                <w:tcPr>
                  <w:tcW w:w="4770" w:type="dxa"/>
                  <w:tcBorders>
                    <w:bottom w:val="single" w:color="auto" w:sz="4" w:space="0"/>
                    <w:right w:val="single" w:color="auto" w:sz="4" w:space="0"/>
                  </w:tcBorders>
                  <w:noWrap/>
                  <w:vAlign w:val="center"/>
                </w:tcPr>
                <w:p>
                  <w:pPr>
                    <w:topLinePunct/>
                    <w:adjustRightInd w:val="0"/>
                    <w:snapToGrid w:val="0"/>
                    <w:jc w:val="left"/>
                    <w:rPr>
                      <w:szCs w:val="21"/>
                    </w:rPr>
                  </w:pPr>
                  <w:r>
                    <w:rPr>
                      <w:szCs w:val="21"/>
                    </w:rPr>
                    <w:t>2.严禁在“七河”及其重点支流临岸1公里范围内新建“两高一资”项目及相关产业园区。</w:t>
                  </w:r>
                </w:p>
              </w:tc>
              <w:tc>
                <w:tcPr>
                  <w:tcW w:w="1095" w:type="dxa"/>
                  <w:tcBorders>
                    <w:left w:val="single" w:color="auto" w:sz="4" w:space="0"/>
                  </w:tcBorders>
                  <w:noWrap/>
                  <w:vAlign w:val="center"/>
                </w:tcPr>
                <w:p>
                  <w:pPr>
                    <w:topLinePunct/>
                    <w:adjustRightInd w:val="0"/>
                    <w:snapToGrid w:val="0"/>
                    <w:jc w:val="center"/>
                    <w:rPr>
                      <w:szCs w:val="21"/>
                    </w:rPr>
                  </w:pPr>
                  <w:r>
                    <w:rPr>
                      <w:bCs/>
                      <w:kern w:val="0"/>
                      <w:szCs w:val="21"/>
                    </w:rPr>
                    <w:t>2.本项目不涉及。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4" w:hRule="atLeast"/>
              </w:trPr>
              <w:tc>
                <w:tcPr>
                  <w:tcW w:w="490" w:type="dxa"/>
                  <w:vMerge w:val="continue"/>
                  <w:noWrap/>
                  <w:vAlign w:val="center"/>
                </w:tcPr>
                <w:p>
                  <w:pPr>
                    <w:topLinePunct/>
                    <w:adjustRightInd w:val="0"/>
                    <w:snapToGrid w:val="0"/>
                    <w:jc w:val="center"/>
                    <w:rPr>
                      <w:szCs w:val="21"/>
                    </w:rPr>
                  </w:pPr>
                </w:p>
              </w:tc>
              <w:tc>
                <w:tcPr>
                  <w:tcW w:w="1028" w:type="dxa"/>
                  <w:vMerge w:val="continue"/>
                  <w:tcBorders>
                    <w:bottom w:val="single" w:color="auto" w:sz="4" w:space="0"/>
                  </w:tcBorders>
                  <w:noWrap/>
                  <w:vAlign w:val="center"/>
                </w:tcPr>
                <w:p>
                  <w:pPr>
                    <w:topLinePunct/>
                    <w:adjustRightInd w:val="0"/>
                    <w:snapToGrid w:val="0"/>
                    <w:jc w:val="center"/>
                    <w:rPr>
                      <w:szCs w:val="21"/>
                    </w:rPr>
                  </w:pPr>
                </w:p>
              </w:tc>
              <w:tc>
                <w:tcPr>
                  <w:tcW w:w="4770" w:type="dxa"/>
                  <w:tcBorders>
                    <w:bottom w:val="single" w:color="auto" w:sz="4" w:space="0"/>
                    <w:right w:val="single" w:color="auto" w:sz="4" w:space="0"/>
                  </w:tcBorders>
                  <w:noWrap/>
                  <w:vAlign w:val="center"/>
                </w:tcPr>
                <w:p>
                  <w:pPr>
                    <w:topLinePunct/>
                    <w:adjustRightInd w:val="0"/>
                    <w:snapToGrid w:val="0"/>
                    <w:jc w:val="left"/>
                    <w:rPr>
                      <w:szCs w:val="21"/>
                    </w:rPr>
                  </w:pPr>
                  <w:r>
                    <w:rPr>
                      <w:szCs w:val="21"/>
                    </w:rPr>
                    <w:t>3.城市建成区一律禁止新建35蒸吨/小时以下燃煤锅炉。</w:t>
                  </w:r>
                </w:p>
              </w:tc>
              <w:tc>
                <w:tcPr>
                  <w:tcW w:w="1095" w:type="dxa"/>
                  <w:tcBorders>
                    <w:left w:val="single" w:color="auto" w:sz="4" w:space="0"/>
                    <w:bottom w:val="single" w:color="auto" w:sz="4" w:space="0"/>
                  </w:tcBorders>
                  <w:noWrap/>
                  <w:vAlign w:val="center"/>
                </w:tcPr>
                <w:p>
                  <w:pPr>
                    <w:topLinePunct/>
                    <w:adjustRightInd w:val="0"/>
                    <w:snapToGrid w:val="0"/>
                    <w:jc w:val="center"/>
                    <w:rPr>
                      <w:szCs w:val="21"/>
                    </w:rPr>
                  </w:pPr>
                  <w:r>
                    <w:rPr>
                      <w:bCs/>
                      <w:kern w:val="0"/>
                      <w:szCs w:val="21"/>
                    </w:rPr>
                    <w:t>3.本项目不涉及。</w:t>
                  </w:r>
                </w:p>
              </w:tc>
              <w:tc>
                <w:tcPr>
                  <w:tcW w:w="412" w:type="dxa"/>
                  <w:tcBorders>
                    <w:left w:val="single" w:color="auto" w:sz="4" w:space="0"/>
                    <w:bottom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7" w:hRule="atLeast"/>
              </w:trPr>
              <w:tc>
                <w:tcPr>
                  <w:tcW w:w="490" w:type="dxa"/>
                  <w:vMerge w:val="continue"/>
                  <w:noWrap/>
                  <w:vAlign w:val="center"/>
                </w:tcPr>
                <w:p>
                  <w:pPr>
                    <w:topLinePunct/>
                    <w:adjustRightInd w:val="0"/>
                    <w:snapToGrid w:val="0"/>
                    <w:jc w:val="center"/>
                    <w:rPr>
                      <w:szCs w:val="21"/>
                    </w:rPr>
                  </w:pPr>
                </w:p>
              </w:tc>
              <w:tc>
                <w:tcPr>
                  <w:tcW w:w="1028" w:type="dxa"/>
                  <w:tcBorders>
                    <w:top w:val="single" w:color="auto" w:sz="4" w:space="0"/>
                    <w:bottom w:val="single" w:color="auto" w:sz="4" w:space="0"/>
                  </w:tcBorders>
                  <w:noWrap/>
                  <w:vAlign w:val="center"/>
                </w:tcPr>
                <w:p>
                  <w:pPr>
                    <w:topLinePunct/>
                    <w:adjustRightInd w:val="0"/>
                    <w:snapToGrid w:val="0"/>
                    <w:jc w:val="center"/>
                    <w:rPr>
                      <w:szCs w:val="21"/>
                    </w:rPr>
                  </w:pPr>
                  <w:r>
                    <w:rPr>
                      <w:szCs w:val="21"/>
                    </w:rPr>
                    <w:t>A1.2限制开发建设活动的要求</w:t>
                  </w:r>
                </w:p>
              </w:tc>
              <w:tc>
                <w:tcPr>
                  <w:tcW w:w="4770" w:type="dxa"/>
                  <w:tcBorders>
                    <w:top w:val="single" w:color="auto" w:sz="4" w:space="0"/>
                    <w:bottom w:val="single" w:color="auto" w:sz="4" w:space="0"/>
                    <w:right w:val="single" w:color="auto" w:sz="4" w:space="0"/>
                  </w:tcBorders>
                  <w:noWrap/>
                  <w:vAlign w:val="center"/>
                </w:tcPr>
                <w:p>
                  <w:pPr>
                    <w:topLinePunct/>
                    <w:adjustRightInd w:val="0"/>
                    <w:snapToGrid w:val="0"/>
                    <w:jc w:val="left"/>
                    <w:rPr>
                      <w:szCs w:val="21"/>
                    </w:rPr>
                  </w:pPr>
                  <w:r>
                    <w:rPr>
                      <w:szCs w:val="21"/>
                    </w:rPr>
                    <w:t>1.严格控制在优先保护类旱耕地集中区域新建有色金属冶炼、石油化工、化工、焦化、电镀、制革等行业企业。</w:t>
                  </w:r>
                </w:p>
              </w:tc>
              <w:tc>
                <w:tcPr>
                  <w:tcW w:w="1095" w:type="dxa"/>
                  <w:tcBorders>
                    <w:top w:val="single" w:color="auto" w:sz="4" w:space="0"/>
                    <w:left w:val="single" w:color="auto" w:sz="4" w:space="0"/>
                    <w:bottom w:val="single" w:color="auto" w:sz="4" w:space="0"/>
                  </w:tcBorders>
                  <w:noWrap/>
                  <w:vAlign w:val="center"/>
                </w:tcPr>
                <w:p>
                  <w:pPr>
                    <w:topLinePunct/>
                    <w:adjustRightInd w:val="0"/>
                    <w:snapToGrid w:val="0"/>
                    <w:jc w:val="center"/>
                    <w:rPr>
                      <w:szCs w:val="21"/>
                    </w:rPr>
                  </w:pPr>
                  <w:r>
                    <w:rPr>
                      <w:szCs w:val="21"/>
                    </w:rPr>
                    <w:t>1.本项目不涉及。</w:t>
                  </w:r>
                </w:p>
              </w:tc>
              <w:tc>
                <w:tcPr>
                  <w:tcW w:w="412" w:type="dxa"/>
                  <w:tcBorders>
                    <w:top w:val="single" w:color="auto" w:sz="4" w:space="0"/>
                    <w:left w:val="single" w:color="auto" w:sz="4" w:space="0"/>
                    <w:bottom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47" w:hRule="atLeast"/>
              </w:trPr>
              <w:tc>
                <w:tcPr>
                  <w:tcW w:w="490" w:type="dxa"/>
                  <w:vMerge w:val="continue"/>
                  <w:noWrap/>
                  <w:vAlign w:val="center"/>
                </w:tcPr>
                <w:p>
                  <w:pPr>
                    <w:topLinePunct/>
                    <w:adjustRightInd w:val="0"/>
                    <w:snapToGrid w:val="0"/>
                    <w:jc w:val="center"/>
                    <w:rPr>
                      <w:szCs w:val="21"/>
                    </w:rPr>
                  </w:pPr>
                </w:p>
              </w:tc>
              <w:tc>
                <w:tcPr>
                  <w:tcW w:w="1028" w:type="dxa"/>
                  <w:vMerge w:val="restart"/>
                  <w:tcBorders>
                    <w:top w:val="single" w:color="auto" w:sz="4" w:space="0"/>
                  </w:tcBorders>
                  <w:noWrap/>
                  <w:vAlign w:val="center"/>
                </w:tcPr>
                <w:p>
                  <w:pPr>
                    <w:topLinePunct/>
                    <w:adjustRightInd w:val="0"/>
                    <w:snapToGrid w:val="0"/>
                    <w:jc w:val="center"/>
                    <w:rPr>
                      <w:szCs w:val="21"/>
                    </w:rPr>
                  </w:pPr>
                  <w:r>
                    <w:rPr>
                      <w:szCs w:val="21"/>
                    </w:rPr>
                    <w:t>A1.3不符合空间布局要求活动的退出要求</w:t>
                  </w:r>
                </w:p>
              </w:tc>
              <w:tc>
                <w:tcPr>
                  <w:tcW w:w="4770" w:type="dxa"/>
                  <w:tcBorders>
                    <w:top w:val="single" w:color="auto" w:sz="4" w:space="0"/>
                    <w:right w:val="single" w:color="auto" w:sz="4" w:space="0"/>
                  </w:tcBorders>
                  <w:noWrap/>
                  <w:vAlign w:val="center"/>
                </w:tcPr>
                <w:p>
                  <w:pPr>
                    <w:topLinePunct/>
                    <w:adjustRightInd w:val="0"/>
                    <w:snapToGrid w:val="0"/>
                    <w:jc w:val="left"/>
                    <w:rPr>
                      <w:szCs w:val="21"/>
                    </w:rPr>
                  </w:pPr>
                  <w:r>
                    <w:rPr>
                      <w:szCs w:val="21"/>
                    </w:rPr>
                    <w:t>1.在一定过渡期并给予合理补偿的基础上，依法依规关闭或搬迁禁养区内确需关闭或搬迁的畜禽规模养殖场（园区）。</w:t>
                  </w:r>
                </w:p>
              </w:tc>
              <w:tc>
                <w:tcPr>
                  <w:tcW w:w="1095" w:type="dxa"/>
                  <w:tcBorders>
                    <w:top w:val="single" w:color="auto" w:sz="4" w:space="0"/>
                    <w:left w:val="single" w:color="auto" w:sz="4" w:space="0"/>
                  </w:tcBorders>
                  <w:noWrap/>
                  <w:vAlign w:val="center"/>
                </w:tcPr>
                <w:p>
                  <w:pPr>
                    <w:adjustRightInd w:val="0"/>
                    <w:snapToGrid w:val="0"/>
                    <w:jc w:val="center"/>
                    <w:rPr>
                      <w:szCs w:val="21"/>
                    </w:rPr>
                  </w:pPr>
                  <w:r>
                    <w:rPr>
                      <w:bCs/>
                      <w:kern w:val="0"/>
                      <w:szCs w:val="21"/>
                    </w:rPr>
                    <w:t>1.本项目不涉及。</w:t>
                  </w:r>
                </w:p>
              </w:tc>
              <w:tc>
                <w:tcPr>
                  <w:tcW w:w="412" w:type="dxa"/>
                  <w:tcBorders>
                    <w:top w:val="single" w:color="auto" w:sz="4" w:space="0"/>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47" w:hRule="atLeast"/>
              </w:trPr>
              <w:tc>
                <w:tcPr>
                  <w:tcW w:w="490" w:type="dxa"/>
                  <w:vMerge w:val="continue"/>
                  <w:noWrap/>
                  <w:vAlign w:val="center"/>
                </w:tcPr>
                <w:p>
                  <w:pPr>
                    <w:topLinePunct/>
                    <w:adjustRightInd w:val="0"/>
                    <w:snapToGrid w:val="0"/>
                    <w:jc w:val="center"/>
                  </w:pPr>
                </w:p>
              </w:tc>
              <w:tc>
                <w:tcPr>
                  <w:tcW w:w="1028" w:type="dxa"/>
                  <w:vMerge w:val="continue"/>
                  <w:noWrap/>
                  <w:vAlign w:val="center"/>
                </w:tcPr>
                <w:p>
                  <w:pPr>
                    <w:topLinePunct/>
                    <w:adjustRightInd w:val="0"/>
                    <w:snapToGrid w:val="0"/>
                    <w:jc w:val="center"/>
                  </w:pPr>
                </w:p>
              </w:tc>
              <w:tc>
                <w:tcPr>
                  <w:tcW w:w="4770" w:type="dxa"/>
                  <w:tcBorders>
                    <w:top w:val="single" w:color="auto" w:sz="4" w:space="0"/>
                    <w:right w:val="single" w:color="auto" w:sz="4" w:space="0"/>
                  </w:tcBorders>
                  <w:noWrap/>
                  <w:vAlign w:val="center"/>
                </w:tcPr>
                <w:p>
                  <w:pPr>
                    <w:topLinePunct/>
                    <w:adjustRightInd w:val="0"/>
                    <w:snapToGrid w:val="0"/>
                    <w:jc w:val="left"/>
                    <w:rPr>
                      <w:szCs w:val="21"/>
                    </w:rPr>
                  </w:pPr>
                  <w:r>
                    <w:rPr>
                      <w:szCs w:val="21"/>
                    </w:rPr>
                    <w:t>2.对违反资源环境法律法规、规划，污染环境、破坏生态、乱采滥挖的露天矿山，依法予以关闭。对污染治理不规范的露天矿山，按照“一矿一策”制定整治方案，依法责令停产整治。</w:t>
                  </w:r>
                </w:p>
              </w:tc>
              <w:tc>
                <w:tcPr>
                  <w:tcW w:w="1095" w:type="dxa"/>
                  <w:tcBorders>
                    <w:left w:val="single" w:color="auto" w:sz="4" w:space="0"/>
                  </w:tcBorders>
                  <w:noWrap/>
                  <w:vAlign w:val="center"/>
                </w:tcPr>
                <w:p>
                  <w:pPr>
                    <w:topLinePunct/>
                    <w:adjustRightInd w:val="0"/>
                    <w:snapToGrid w:val="0"/>
                    <w:jc w:val="center"/>
                    <w:rPr>
                      <w:szCs w:val="21"/>
                    </w:rPr>
                  </w:pPr>
                  <w:r>
                    <w:rPr>
                      <w:szCs w:val="21"/>
                    </w:rPr>
                    <w:t>2.本项目不涉及。</w:t>
                  </w:r>
                </w:p>
              </w:tc>
              <w:tc>
                <w:tcPr>
                  <w:tcW w:w="412" w:type="dxa"/>
                  <w:tcBorders>
                    <w:left w:val="single" w:color="auto" w:sz="4" w:space="0"/>
                  </w:tcBorders>
                  <w:noWrap/>
                  <w:vAlign w:val="center"/>
                </w:tcPr>
                <w:p>
                  <w:pPr>
                    <w:adjustRightInd w:val="0"/>
                    <w:snapToGrid w:val="0"/>
                    <w:jc w:val="center"/>
                    <w:rPr>
                      <w:bCs/>
                      <w:kern w:val="0"/>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47" w:hRule="atLeast"/>
              </w:trPr>
              <w:tc>
                <w:tcPr>
                  <w:tcW w:w="490" w:type="dxa"/>
                  <w:vMerge w:val="continue"/>
                  <w:noWrap/>
                  <w:vAlign w:val="center"/>
                </w:tcPr>
                <w:p>
                  <w:pPr>
                    <w:topLinePunct/>
                    <w:adjustRightInd w:val="0"/>
                    <w:snapToGrid w:val="0"/>
                    <w:jc w:val="center"/>
                    <w:rPr>
                      <w:szCs w:val="21"/>
                    </w:rPr>
                  </w:pPr>
                </w:p>
              </w:tc>
              <w:tc>
                <w:tcPr>
                  <w:tcW w:w="1028" w:type="dxa"/>
                  <w:vMerge w:val="continue"/>
                  <w:noWrap/>
                  <w:vAlign w:val="center"/>
                </w:tcPr>
                <w:p>
                  <w:pPr>
                    <w:topLinePunct/>
                    <w:adjustRightInd w:val="0"/>
                    <w:snapToGrid w:val="0"/>
                    <w:jc w:val="center"/>
                    <w:rPr>
                      <w:szCs w:val="21"/>
                    </w:rPr>
                  </w:pPr>
                </w:p>
              </w:tc>
              <w:tc>
                <w:tcPr>
                  <w:tcW w:w="4770" w:type="dxa"/>
                  <w:tcBorders>
                    <w:top w:val="single" w:color="auto" w:sz="4" w:space="0"/>
                    <w:right w:val="single" w:color="auto" w:sz="4" w:space="0"/>
                  </w:tcBorders>
                  <w:noWrap/>
                  <w:vAlign w:val="center"/>
                </w:tcPr>
                <w:p>
                  <w:pPr>
                    <w:topLinePunct/>
                    <w:adjustRightInd w:val="0"/>
                    <w:snapToGrid w:val="0"/>
                    <w:jc w:val="left"/>
                    <w:rPr>
                      <w:szCs w:val="21"/>
                    </w:rPr>
                  </w:pPr>
                  <w:r>
                    <w:rPr>
                      <w:szCs w:val="21"/>
                    </w:rPr>
                    <w:t>3.对六盘山水源核心区，坚决退出旅游项目，严禁游客进入。</w:t>
                  </w:r>
                </w:p>
              </w:tc>
              <w:tc>
                <w:tcPr>
                  <w:tcW w:w="1095" w:type="dxa"/>
                  <w:tcBorders>
                    <w:left w:val="single" w:color="auto" w:sz="4" w:space="0"/>
                  </w:tcBorders>
                  <w:noWrap/>
                  <w:vAlign w:val="center"/>
                </w:tcPr>
                <w:p>
                  <w:pPr>
                    <w:topLinePunct/>
                    <w:adjustRightInd w:val="0"/>
                    <w:snapToGrid w:val="0"/>
                    <w:jc w:val="center"/>
                    <w:rPr>
                      <w:szCs w:val="21"/>
                    </w:rPr>
                  </w:pPr>
                  <w:r>
                    <w:rPr>
                      <w:szCs w:val="21"/>
                    </w:rPr>
                    <w:t>3.本项目不涉及。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47" w:hRule="atLeast"/>
              </w:trPr>
              <w:tc>
                <w:tcPr>
                  <w:tcW w:w="490" w:type="dxa"/>
                  <w:vMerge w:val="continue"/>
                  <w:noWrap/>
                  <w:vAlign w:val="center"/>
                </w:tcPr>
                <w:p>
                  <w:pPr>
                    <w:topLinePunct/>
                    <w:adjustRightInd w:val="0"/>
                    <w:snapToGrid w:val="0"/>
                    <w:jc w:val="center"/>
                    <w:rPr>
                      <w:szCs w:val="21"/>
                    </w:rPr>
                  </w:pPr>
                </w:p>
              </w:tc>
              <w:tc>
                <w:tcPr>
                  <w:tcW w:w="1028" w:type="dxa"/>
                  <w:vMerge w:val="continue"/>
                  <w:tcBorders>
                    <w:bottom w:val="single" w:color="auto" w:sz="4" w:space="0"/>
                  </w:tcBorders>
                  <w:noWrap/>
                  <w:vAlign w:val="center"/>
                </w:tcPr>
                <w:p>
                  <w:pPr>
                    <w:topLinePunct/>
                    <w:adjustRightInd w:val="0"/>
                    <w:snapToGrid w:val="0"/>
                    <w:jc w:val="center"/>
                    <w:rPr>
                      <w:szCs w:val="21"/>
                    </w:rPr>
                  </w:pPr>
                </w:p>
              </w:tc>
              <w:tc>
                <w:tcPr>
                  <w:tcW w:w="4770" w:type="dxa"/>
                  <w:tcBorders>
                    <w:top w:val="single" w:color="auto" w:sz="4" w:space="0"/>
                    <w:right w:val="single" w:color="auto" w:sz="4" w:space="0"/>
                  </w:tcBorders>
                  <w:noWrap/>
                  <w:vAlign w:val="center"/>
                </w:tcPr>
                <w:p>
                  <w:pPr>
                    <w:topLinePunct/>
                    <w:adjustRightInd w:val="0"/>
                    <w:snapToGrid w:val="0"/>
                    <w:jc w:val="left"/>
                    <w:rPr>
                      <w:szCs w:val="21"/>
                    </w:rPr>
                  </w:pPr>
                  <w:r>
                    <w:rPr>
                      <w:szCs w:val="21"/>
                    </w:rPr>
                    <w:t>4.淘汰不符合国家规定的燃煤锅炉，实现市、县（区）城区清洁取暖全覆盖。</w:t>
                  </w:r>
                </w:p>
              </w:tc>
              <w:tc>
                <w:tcPr>
                  <w:tcW w:w="1095" w:type="dxa"/>
                  <w:tcBorders>
                    <w:left w:val="single" w:color="auto" w:sz="4" w:space="0"/>
                  </w:tcBorders>
                  <w:noWrap/>
                  <w:vAlign w:val="center"/>
                </w:tcPr>
                <w:p>
                  <w:pPr>
                    <w:topLinePunct/>
                    <w:adjustRightInd w:val="0"/>
                    <w:snapToGrid w:val="0"/>
                    <w:jc w:val="center"/>
                    <w:rPr>
                      <w:szCs w:val="21"/>
                    </w:rPr>
                  </w:pPr>
                  <w:r>
                    <w:rPr>
                      <w:szCs w:val="21"/>
                    </w:rPr>
                    <w:t>4.本项目不涉及。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16" w:hRule="atLeast"/>
              </w:trPr>
              <w:tc>
                <w:tcPr>
                  <w:tcW w:w="490" w:type="dxa"/>
                  <w:vMerge w:val="restart"/>
                  <w:noWrap/>
                  <w:vAlign w:val="center"/>
                </w:tcPr>
                <w:p>
                  <w:pPr>
                    <w:topLinePunct/>
                    <w:adjustRightInd w:val="0"/>
                    <w:snapToGrid w:val="0"/>
                    <w:jc w:val="center"/>
                    <w:rPr>
                      <w:szCs w:val="21"/>
                    </w:rPr>
                  </w:pPr>
                  <w:r>
                    <w:rPr>
                      <w:szCs w:val="21"/>
                    </w:rPr>
                    <w:t>A2</w:t>
                  </w:r>
                </w:p>
                <w:p>
                  <w:pPr>
                    <w:topLinePunct/>
                    <w:adjustRightInd w:val="0"/>
                    <w:snapToGrid w:val="0"/>
                    <w:jc w:val="center"/>
                    <w:rPr>
                      <w:szCs w:val="21"/>
                    </w:rPr>
                  </w:pPr>
                  <w:r>
                    <w:rPr>
                      <w:szCs w:val="21"/>
                    </w:rPr>
                    <w:t>污染物排放管控</w:t>
                  </w:r>
                </w:p>
              </w:tc>
              <w:tc>
                <w:tcPr>
                  <w:tcW w:w="1028" w:type="dxa"/>
                  <w:vMerge w:val="restart"/>
                  <w:tcBorders>
                    <w:top w:val="single" w:color="auto" w:sz="4" w:space="0"/>
                  </w:tcBorders>
                  <w:noWrap/>
                  <w:vAlign w:val="center"/>
                </w:tcPr>
                <w:p>
                  <w:pPr>
                    <w:topLinePunct/>
                    <w:adjustRightInd w:val="0"/>
                    <w:snapToGrid w:val="0"/>
                    <w:jc w:val="center"/>
                    <w:rPr>
                      <w:szCs w:val="21"/>
                    </w:rPr>
                  </w:pPr>
                  <w:r>
                    <w:rPr>
                      <w:szCs w:val="21"/>
                    </w:rPr>
                    <w:t>A2.1允许排放量要求</w:t>
                  </w:r>
                </w:p>
              </w:tc>
              <w:tc>
                <w:tcPr>
                  <w:tcW w:w="4770" w:type="dxa"/>
                  <w:tcBorders>
                    <w:right w:val="single" w:color="auto" w:sz="4" w:space="0"/>
                  </w:tcBorders>
                  <w:noWrap/>
                  <w:vAlign w:val="center"/>
                </w:tcPr>
                <w:p>
                  <w:pPr>
                    <w:topLinePunct/>
                    <w:adjustRightInd w:val="0"/>
                    <w:snapToGrid w:val="0"/>
                    <w:jc w:val="left"/>
                    <w:rPr>
                      <w:szCs w:val="21"/>
                    </w:rPr>
                  </w:pPr>
                  <w:r>
                    <w:rPr>
                      <w:szCs w:val="21"/>
                    </w:rPr>
                    <w:t>1.化学需氧量、氨氮、氮氧化物、挥发性有机物减排量完成自治区下达任务。</w:t>
                  </w:r>
                </w:p>
              </w:tc>
              <w:tc>
                <w:tcPr>
                  <w:tcW w:w="1095" w:type="dxa"/>
                  <w:tcBorders>
                    <w:left w:val="single" w:color="auto" w:sz="4" w:space="0"/>
                  </w:tcBorders>
                  <w:noWrap/>
                  <w:vAlign w:val="center"/>
                </w:tcPr>
                <w:p>
                  <w:pPr>
                    <w:topLinePunct/>
                    <w:adjustRightInd w:val="0"/>
                    <w:snapToGrid w:val="0"/>
                    <w:jc w:val="center"/>
                    <w:rPr>
                      <w:szCs w:val="21"/>
                    </w:rPr>
                  </w:pPr>
                  <w:r>
                    <w:rPr>
                      <w:szCs w:val="21"/>
                    </w:rPr>
                    <w:t>1.本项目不涉及。</w:t>
                  </w:r>
                </w:p>
              </w:tc>
              <w:tc>
                <w:tcPr>
                  <w:tcW w:w="412" w:type="dxa"/>
                  <w:tcBorders>
                    <w:left w:val="single" w:color="auto" w:sz="4" w:space="0"/>
                  </w:tcBorders>
                  <w:noWrap/>
                  <w:vAlign w:val="center"/>
                </w:tcPr>
                <w:p>
                  <w:pPr>
                    <w:adjustRightInd w:val="0"/>
                    <w:snapToGrid w:val="0"/>
                    <w:jc w:val="center"/>
                    <w:rPr>
                      <w:bCs/>
                      <w:kern w:val="0"/>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16" w:hRule="atLeast"/>
              </w:trPr>
              <w:tc>
                <w:tcPr>
                  <w:tcW w:w="490" w:type="dxa"/>
                  <w:vMerge w:val="continue"/>
                  <w:noWrap/>
                  <w:vAlign w:val="center"/>
                </w:tcPr>
                <w:p>
                  <w:pPr>
                    <w:topLinePunct/>
                    <w:adjustRightInd w:val="0"/>
                    <w:snapToGrid w:val="0"/>
                    <w:jc w:val="center"/>
                  </w:pPr>
                </w:p>
              </w:tc>
              <w:tc>
                <w:tcPr>
                  <w:tcW w:w="1028" w:type="dxa"/>
                  <w:vMerge w:val="continue"/>
                  <w:noWrap/>
                  <w:vAlign w:val="center"/>
                </w:tcPr>
                <w:p>
                  <w:pPr>
                    <w:topLinePunct/>
                    <w:adjustRightInd w:val="0"/>
                    <w:snapToGrid w:val="0"/>
                    <w:jc w:val="center"/>
                  </w:pPr>
                </w:p>
              </w:tc>
              <w:tc>
                <w:tcPr>
                  <w:tcW w:w="4770" w:type="dxa"/>
                  <w:tcBorders>
                    <w:right w:val="single" w:color="auto" w:sz="4" w:space="0"/>
                  </w:tcBorders>
                  <w:noWrap/>
                  <w:vAlign w:val="center"/>
                </w:tcPr>
                <w:p>
                  <w:pPr>
                    <w:topLinePunct/>
                    <w:adjustRightInd w:val="0"/>
                    <w:snapToGrid w:val="0"/>
                    <w:jc w:val="left"/>
                    <w:rPr>
                      <w:szCs w:val="21"/>
                    </w:rPr>
                  </w:pPr>
                  <w:r>
                    <w:rPr>
                      <w:szCs w:val="21"/>
                    </w:rPr>
                    <w:t>2.严格重金属排放项目准入，坚持“减量置换”或“等量置换”原则。</w:t>
                  </w:r>
                </w:p>
              </w:tc>
              <w:tc>
                <w:tcPr>
                  <w:tcW w:w="1095" w:type="dxa"/>
                  <w:tcBorders>
                    <w:left w:val="single" w:color="auto" w:sz="4" w:space="0"/>
                  </w:tcBorders>
                  <w:noWrap/>
                  <w:vAlign w:val="center"/>
                </w:tcPr>
                <w:p>
                  <w:pPr>
                    <w:topLinePunct/>
                    <w:adjustRightInd w:val="0"/>
                    <w:snapToGrid w:val="0"/>
                    <w:jc w:val="center"/>
                    <w:rPr>
                      <w:szCs w:val="21"/>
                    </w:rPr>
                  </w:pPr>
                  <w:r>
                    <w:rPr>
                      <w:szCs w:val="21"/>
                    </w:rPr>
                    <w:t>2.本项目不涉及。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16" w:hRule="atLeast"/>
              </w:trPr>
              <w:tc>
                <w:tcPr>
                  <w:tcW w:w="490" w:type="dxa"/>
                  <w:vMerge w:val="continue"/>
                  <w:noWrap/>
                  <w:vAlign w:val="center"/>
                </w:tcPr>
                <w:p>
                  <w:pPr>
                    <w:topLinePunct/>
                    <w:adjustRightInd w:val="0"/>
                    <w:snapToGrid w:val="0"/>
                    <w:jc w:val="center"/>
                    <w:rPr>
                      <w:szCs w:val="21"/>
                    </w:rPr>
                  </w:pPr>
                </w:p>
              </w:tc>
              <w:tc>
                <w:tcPr>
                  <w:tcW w:w="1028" w:type="dxa"/>
                  <w:vMerge w:val="continue"/>
                  <w:noWrap/>
                  <w:vAlign w:val="center"/>
                </w:tcPr>
                <w:p>
                  <w:pPr>
                    <w:topLinePunct/>
                    <w:adjustRightInd w:val="0"/>
                    <w:snapToGrid w:val="0"/>
                    <w:jc w:val="center"/>
                    <w:rPr>
                      <w:szCs w:val="21"/>
                    </w:rPr>
                  </w:pPr>
                </w:p>
              </w:tc>
              <w:tc>
                <w:tcPr>
                  <w:tcW w:w="4770" w:type="dxa"/>
                  <w:tcBorders>
                    <w:right w:val="single" w:color="auto" w:sz="4" w:space="0"/>
                  </w:tcBorders>
                  <w:noWrap/>
                  <w:vAlign w:val="center"/>
                </w:tcPr>
                <w:p>
                  <w:pPr>
                    <w:topLinePunct/>
                    <w:adjustRightInd w:val="0"/>
                    <w:snapToGrid w:val="0"/>
                    <w:jc w:val="left"/>
                    <w:rPr>
                      <w:szCs w:val="21"/>
                    </w:rPr>
                  </w:pPr>
                  <w:r>
                    <w:rPr>
                      <w:szCs w:val="21"/>
                    </w:rPr>
                    <w:t>3.在“五河”干流已覆盖集污管网的区域配套建设污水处理设施，确保所有建制镇和中心村污水处理全覆盖。</w:t>
                  </w:r>
                </w:p>
              </w:tc>
              <w:tc>
                <w:tcPr>
                  <w:tcW w:w="1095" w:type="dxa"/>
                  <w:tcBorders>
                    <w:left w:val="single" w:color="auto" w:sz="4" w:space="0"/>
                  </w:tcBorders>
                  <w:noWrap/>
                  <w:vAlign w:val="center"/>
                </w:tcPr>
                <w:p>
                  <w:pPr>
                    <w:topLinePunct/>
                    <w:adjustRightInd w:val="0"/>
                    <w:snapToGrid w:val="0"/>
                    <w:jc w:val="center"/>
                    <w:rPr>
                      <w:szCs w:val="21"/>
                    </w:rPr>
                  </w:pPr>
                  <w:r>
                    <w:rPr>
                      <w:szCs w:val="21"/>
                    </w:rPr>
                    <w:t>3.本项目不涉及。</w:t>
                  </w:r>
                </w:p>
              </w:tc>
              <w:tc>
                <w:tcPr>
                  <w:tcW w:w="412" w:type="dxa"/>
                  <w:tcBorders>
                    <w:left w:val="single" w:color="auto" w:sz="4" w:space="0"/>
                  </w:tcBorders>
                  <w:noWrap/>
                  <w:vAlign w:val="center"/>
                </w:tcPr>
                <w:p>
                  <w:pPr>
                    <w:adjustRightInd w:val="0"/>
                    <w:snapToGrid w:val="0"/>
                    <w:jc w:val="center"/>
                    <w:rPr>
                      <w:bCs/>
                      <w:kern w:val="0"/>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16" w:hRule="atLeast"/>
              </w:trPr>
              <w:tc>
                <w:tcPr>
                  <w:tcW w:w="490" w:type="dxa"/>
                  <w:vMerge w:val="continue"/>
                  <w:noWrap/>
                  <w:vAlign w:val="center"/>
                </w:tcPr>
                <w:p>
                  <w:pPr>
                    <w:topLinePunct/>
                    <w:adjustRightInd w:val="0"/>
                    <w:snapToGrid w:val="0"/>
                    <w:jc w:val="center"/>
                    <w:rPr>
                      <w:szCs w:val="21"/>
                    </w:rPr>
                  </w:pPr>
                </w:p>
              </w:tc>
              <w:tc>
                <w:tcPr>
                  <w:tcW w:w="1028" w:type="dxa"/>
                  <w:vMerge w:val="continue"/>
                  <w:noWrap/>
                  <w:vAlign w:val="center"/>
                </w:tcPr>
                <w:p>
                  <w:pPr>
                    <w:topLinePunct/>
                    <w:adjustRightInd w:val="0"/>
                    <w:snapToGrid w:val="0"/>
                    <w:jc w:val="center"/>
                    <w:rPr>
                      <w:szCs w:val="21"/>
                    </w:rPr>
                  </w:pPr>
                </w:p>
              </w:tc>
              <w:tc>
                <w:tcPr>
                  <w:tcW w:w="4770" w:type="dxa"/>
                  <w:tcBorders>
                    <w:right w:val="single" w:color="auto" w:sz="4" w:space="0"/>
                  </w:tcBorders>
                  <w:noWrap/>
                  <w:vAlign w:val="center"/>
                </w:tcPr>
                <w:p>
                  <w:pPr>
                    <w:topLinePunct/>
                    <w:adjustRightInd w:val="0"/>
                    <w:snapToGrid w:val="0"/>
                    <w:jc w:val="left"/>
                    <w:rPr>
                      <w:szCs w:val="21"/>
                    </w:rPr>
                  </w:pPr>
                  <w:r>
                    <w:rPr>
                      <w:szCs w:val="21"/>
                    </w:rPr>
                    <w:t>4.火电、水泥等重点行业及燃煤锅炉，严格按照大气污染物排放标准及特别排放限值要求执行。</w:t>
                  </w:r>
                </w:p>
              </w:tc>
              <w:tc>
                <w:tcPr>
                  <w:tcW w:w="1095" w:type="dxa"/>
                  <w:tcBorders>
                    <w:left w:val="single" w:color="auto" w:sz="4" w:space="0"/>
                  </w:tcBorders>
                  <w:noWrap/>
                  <w:vAlign w:val="center"/>
                </w:tcPr>
                <w:p>
                  <w:pPr>
                    <w:topLinePunct/>
                    <w:adjustRightInd w:val="0"/>
                    <w:snapToGrid w:val="0"/>
                    <w:jc w:val="center"/>
                    <w:rPr>
                      <w:szCs w:val="21"/>
                    </w:rPr>
                  </w:pPr>
                  <w:r>
                    <w:rPr>
                      <w:szCs w:val="21"/>
                    </w:rPr>
                    <w:t>4.本项目不涉及。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16" w:hRule="atLeast"/>
              </w:trPr>
              <w:tc>
                <w:tcPr>
                  <w:tcW w:w="490" w:type="dxa"/>
                  <w:vMerge w:val="continue"/>
                  <w:noWrap/>
                  <w:vAlign w:val="center"/>
                </w:tcPr>
                <w:p>
                  <w:pPr>
                    <w:topLinePunct/>
                    <w:adjustRightInd w:val="0"/>
                    <w:snapToGrid w:val="0"/>
                    <w:jc w:val="center"/>
                    <w:rPr>
                      <w:szCs w:val="21"/>
                    </w:rPr>
                  </w:pPr>
                </w:p>
              </w:tc>
              <w:tc>
                <w:tcPr>
                  <w:tcW w:w="1028" w:type="dxa"/>
                  <w:vMerge w:val="continue"/>
                  <w:tcBorders>
                    <w:bottom w:val="single" w:color="auto" w:sz="4" w:space="0"/>
                  </w:tcBorders>
                  <w:noWrap/>
                  <w:vAlign w:val="center"/>
                </w:tcPr>
                <w:p>
                  <w:pPr>
                    <w:topLinePunct/>
                    <w:adjustRightInd w:val="0"/>
                    <w:snapToGrid w:val="0"/>
                    <w:jc w:val="center"/>
                    <w:rPr>
                      <w:szCs w:val="21"/>
                    </w:rPr>
                  </w:pPr>
                </w:p>
              </w:tc>
              <w:tc>
                <w:tcPr>
                  <w:tcW w:w="4770" w:type="dxa"/>
                  <w:tcBorders>
                    <w:right w:val="single" w:color="auto" w:sz="4" w:space="0"/>
                  </w:tcBorders>
                  <w:noWrap/>
                  <w:vAlign w:val="center"/>
                </w:tcPr>
                <w:p>
                  <w:pPr>
                    <w:topLinePunct/>
                    <w:adjustRightInd w:val="0"/>
                    <w:snapToGrid w:val="0"/>
                    <w:jc w:val="left"/>
                    <w:rPr>
                      <w:szCs w:val="21"/>
                    </w:rPr>
                  </w:pPr>
                  <w:r>
                    <w:rPr>
                      <w:szCs w:val="21"/>
                    </w:rPr>
                    <w:t>5.到2025年，全市工业固体废弃物综合利用率达到80%，中水利用率达到85%以上。</w:t>
                  </w:r>
                </w:p>
              </w:tc>
              <w:tc>
                <w:tcPr>
                  <w:tcW w:w="1095" w:type="dxa"/>
                  <w:tcBorders>
                    <w:left w:val="single" w:color="auto" w:sz="4" w:space="0"/>
                  </w:tcBorders>
                  <w:noWrap/>
                  <w:vAlign w:val="center"/>
                </w:tcPr>
                <w:p>
                  <w:pPr>
                    <w:topLinePunct/>
                    <w:adjustRightInd w:val="0"/>
                    <w:snapToGrid w:val="0"/>
                    <w:jc w:val="center"/>
                    <w:rPr>
                      <w:szCs w:val="21"/>
                    </w:rPr>
                  </w:pPr>
                  <w:r>
                    <w:rPr>
                      <w:szCs w:val="21"/>
                    </w:rPr>
                    <w:t>5.本项目不涉及。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86" w:hRule="atLeast"/>
              </w:trPr>
              <w:tc>
                <w:tcPr>
                  <w:tcW w:w="490" w:type="dxa"/>
                  <w:vMerge w:val="continue"/>
                  <w:noWrap/>
                  <w:vAlign w:val="center"/>
                </w:tcPr>
                <w:p>
                  <w:pPr>
                    <w:topLinePunct/>
                    <w:adjustRightInd w:val="0"/>
                    <w:snapToGrid w:val="0"/>
                    <w:jc w:val="center"/>
                    <w:rPr>
                      <w:szCs w:val="21"/>
                    </w:rPr>
                  </w:pPr>
                </w:p>
              </w:tc>
              <w:tc>
                <w:tcPr>
                  <w:tcW w:w="1028" w:type="dxa"/>
                  <w:vMerge w:val="restart"/>
                  <w:tcBorders>
                    <w:top w:val="single" w:color="auto" w:sz="4" w:space="0"/>
                  </w:tcBorders>
                  <w:noWrap/>
                  <w:vAlign w:val="center"/>
                </w:tcPr>
                <w:p>
                  <w:pPr>
                    <w:topLinePunct/>
                    <w:adjustRightInd w:val="0"/>
                    <w:snapToGrid w:val="0"/>
                    <w:jc w:val="center"/>
                    <w:rPr>
                      <w:szCs w:val="21"/>
                    </w:rPr>
                  </w:pPr>
                  <w:r>
                    <w:rPr>
                      <w:szCs w:val="21"/>
                    </w:rPr>
                    <w:t>A2.2</w:t>
                  </w:r>
                </w:p>
                <w:p>
                  <w:pPr>
                    <w:topLinePunct/>
                    <w:adjustRightInd w:val="0"/>
                    <w:snapToGrid w:val="0"/>
                    <w:jc w:val="center"/>
                    <w:rPr>
                      <w:szCs w:val="21"/>
                    </w:rPr>
                  </w:pPr>
                  <w:r>
                    <w:rPr>
                      <w:szCs w:val="21"/>
                    </w:rPr>
                    <w:t>现有资源提升改造要求</w:t>
                  </w:r>
                </w:p>
              </w:tc>
              <w:tc>
                <w:tcPr>
                  <w:tcW w:w="4770" w:type="dxa"/>
                  <w:tcBorders>
                    <w:right w:val="single" w:color="auto" w:sz="4" w:space="0"/>
                  </w:tcBorders>
                  <w:noWrap/>
                  <w:vAlign w:val="center"/>
                </w:tcPr>
                <w:p>
                  <w:pPr>
                    <w:topLinePunct/>
                    <w:adjustRightInd w:val="0"/>
                    <w:snapToGrid w:val="0"/>
                    <w:jc w:val="left"/>
                    <w:rPr>
                      <w:szCs w:val="21"/>
                    </w:rPr>
                  </w:pPr>
                  <w:r>
                    <w:rPr>
                      <w:szCs w:val="21"/>
                    </w:rPr>
                    <w:t>1.到2025年，65蒸吨/小时及以上燃煤锅炉（含电力）全面实现超低排放；所有燃气锅炉氮氧化物排放浓度低于50毫克/立方米。</w:t>
                  </w:r>
                </w:p>
              </w:tc>
              <w:tc>
                <w:tcPr>
                  <w:tcW w:w="1095" w:type="dxa"/>
                  <w:tcBorders>
                    <w:left w:val="single" w:color="auto" w:sz="4" w:space="0"/>
                  </w:tcBorders>
                  <w:noWrap/>
                  <w:vAlign w:val="center"/>
                </w:tcPr>
                <w:p>
                  <w:pPr>
                    <w:topLinePunct/>
                    <w:adjustRightInd w:val="0"/>
                    <w:snapToGrid w:val="0"/>
                    <w:jc w:val="center"/>
                    <w:rPr>
                      <w:szCs w:val="21"/>
                    </w:rPr>
                  </w:pPr>
                  <w:r>
                    <w:rPr>
                      <w:szCs w:val="21"/>
                    </w:rPr>
                    <w:t>1.本项目不涉及。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86" w:hRule="atLeast"/>
              </w:trPr>
              <w:tc>
                <w:tcPr>
                  <w:tcW w:w="490" w:type="dxa"/>
                  <w:vMerge w:val="continue"/>
                  <w:noWrap/>
                  <w:vAlign w:val="center"/>
                </w:tcPr>
                <w:p>
                  <w:pPr>
                    <w:topLinePunct/>
                    <w:adjustRightInd w:val="0"/>
                    <w:snapToGrid w:val="0"/>
                    <w:jc w:val="center"/>
                  </w:pPr>
                </w:p>
              </w:tc>
              <w:tc>
                <w:tcPr>
                  <w:tcW w:w="1028" w:type="dxa"/>
                  <w:vMerge w:val="continue"/>
                  <w:tcBorders>
                    <w:bottom w:val="single" w:color="auto" w:sz="4" w:space="0"/>
                  </w:tcBorders>
                  <w:noWrap/>
                  <w:vAlign w:val="center"/>
                </w:tcPr>
                <w:p>
                  <w:pPr>
                    <w:topLinePunct/>
                    <w:adjustRightInd w:val="0"/>
                    <w:snapToGrid w:val="0"/>
                    <w:jc w:val="center"/>
                  </w:pPr>
                </w:p>
              </w:tc>
              <w:tc>
                <w:tcPr>
                  <w:tcW w:w="4770" w:type="dxa"/>
                  <w:tcBorders>
                    <w:right w:val="single" w:color="auto" w:sz="4" w:space="0"/>
                  </w:tcBorders>
                  <w:noWrap/>
                  <w:vAlign w:val="center"/>
                </w:tcPr>
                <w:p>
                  <w:pPr>
                    <w:topLinePunct/>
                    <w:adjustRightInd w:val="0"/>
                    <w:snapToGrid w:val="0"/>
                    <w:jc w:val="left"/>
                    <w:rPr>
                      <w:szCs w:val="21"/>
                    </w:rPr>
                  </w:pPr>
                  <w:r>
                    <w:rPr>
                      <w:szCs w:val="21"/>
                    </w:rPr>
                    <w:t>2.探索畜禽养殖“出户入园”模式，落实“一控两减三利用”，减少化肥和农药使用量；实现畜禽粪便、农作物秸秆、农膜资源化利用，到2025年，农业废弃物综合利用率达到94%以上。</w:t>
                  </w:r>
                </w:p>
              </w:tc>
              <w:tc>
                <w:tcPr>
                  <w:tcW w:w="1095" w:type="dxa"/>
                  <w:tcBorders>
                    <w:left w:val="single" w:color="auto" w:sz="4" w:space="0"/>
                  </w:tcBorders>
                  <w:noWrap/>
                  <w:vAlign w:val="center"/>
                </w:tcPr>
                <w:p>
                  <w:pPr>
                    <w:topLinePunct/>
                    <w:adjustRightInd w:val="0"/>
                    <w:snapToGrid w:val="0"/>
                    <w:jc w:val="center"/>
                    <w:rPr>
                      <w:szCs w:val="21"/>
                    </w:rPr>
                  </w:pPr>
                  <w:r>
                    <w:rPr>
                      <w:szCs w:val="21"/>
                    </w:rPr>
                    <w:t>2.本项目不涉及。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24" w:hRule="atLeast"/>
              </w:trPr>
              <w:tc>
                <w:tcPr>
                  <w:tcW w:w="490" w:type="dxa"/>
                  <w:vMerge w:val="restart"/>
                  <w:noWrap/>
                  <w:vAlign w:val="center"/>
                </w:tcPr>
                <w:p>
                  <w:pPr>
                    <w:topLinePunct/>
                    <w:adjustRightInd w:val="0"/>
                    <w:snapToGrid w:val="0"/>
                    <w:jc w:val="center"/>
                    <w:rPr>
                      <w:szCs w:val="21"/>
                    </w:rPr>
                  </w:pPr>
                  <w:r>
                    <w:rPr>
                      <w:szCs w:val="21"/>
                    </w:rPr>
                    <w:t>A3</w:t>
                  </w:r>
                </w:p>
                <w:p>
                  <w:pPr>
                    <w:topLinePunct/>
                    <w:adjustRightInd w:val="0"/>
                    <w:snapToGrid w:val="0"/>
                    <w:jc w:val="center"/>
                    <w:rPr>
                      <w:szCs w:val="21"/>
                    </w:rPr>
                  </w:pPr>
                  <w:r>
                    <w:rPr>
                      <w:szCs w:val="21"/>
                    </w:rPr>
                    <w:t>环境风险防控</w:t>
                  </w:r>
                </w:p>
              </w:tc>
              <w:tc>
                <w:tcPr>
                  <w:tcW w:w="1028" w:type="dxa"/>
                  <w:vMerge w:val="restart"/>
                  <w:tcBorders>
                    <w:top w:val="single" w:color="auto" w:sz="4" w:space="0"/>
                  </w:tcBorders>
                  <w:noWrap/>
                  <w:vAlign w:val="center"/>
                </w:tcPr>
                <w:p>
                  <w:pPr>
                    <w:topLinePunct/>
                    <w:adjustRightInd w:val="0"/>
                    <w:snapToGrid w:val="0"/>
                    <w:jc w:val="center"/>
                    <w:rPr>
                      <w:szCs w:val="21"/>
                    </w:rPr>
                  </w:pPr>
                  <w:r>
                    <w:rPr>
                      <w:szCs w:val="21"/>
                    </w:rPr>
                    <w:t>A3.1</w:t>
                  </w:r>
                </w:p>
                <w:p>
                  <w:pPr>
                    <w:topLinePunct/>
                    <w:adjustRightInd w:val="0"/>
                    <w:snapToGrid w:val="0"/>
                    <w:jc w:val="center"/>
                    <w:rPr>
                      <w:szCs w:val="21"/>
                    </w:rPr>
                  </w:pPr>
                  <w:r>
                    <w:rPr>
                      <w:szCs w:val="21"/>
                    </w:rPr>
                    <w:t>联防联控要求</w:t>
                  </w:r>
                </w:p>
              </w:tc>
              <w:tc>
                <w:tcPr>
                  <w:tcW w:w="4770" w:type="dxa"/>
                  <w:tcBorders>
                    <w:bottom w:val="single" w:color="auto" w:sz="4" w:space="0"/>
                    <w:right w:val="single" w:color="auto" w:sz="4" w:space="0"/>
                  </w:tcBorders>
                  <w:noWrap/>
                  <w:vAlign w:val="center"/>
                </w:tcPr>
                <w:p>
                  <w:pPr>
                    <w:topLinePunct/>
                    <w:adjustRightInd w:val="0"/>
                    <w:snapToGrid w:val="0"/>
                    <w:jc w:val="left"/>
                    <w:rPr>
                      <w:szCs w:val="21"/>
                    </w:rPr>
                  </w:pPr>
                  <w:r>
                    <w:rPr>
                      <w:szCs w:val="21"/>
                    </w:rPr>
                    <w:t>1.开展医疗、化工、石油开采和汽修等重点行业涉及危险废物排查整治，建立健全环境风险重点管控单位名录，严控危险废物贮存环节环境风险，严禁超期、超量贮存各类危险废物。</w:t>
                  </w:r>
                </w:p>
              </w:tc>
              <w:tc>
                <w:tcPr>
                  <w:tcW w:w="1095" w:type="dxa"/>
                  <w:tcBorders>
                    <w:left w:val="single" w:color="auto" w:sz="4" w:space="0"/>
                  </w:tcBorders>
                  <w:noWrap/>
                  <w:vAlign w:val="center"/>
                </w:tcPr>
                <w:p>
                  <w:pPr>
                    <w:topLinePunct/>
                    <w:adjustRightInd w:val="0"/>
                    <w:snapToGrid w:val="0"/>
                    <w:jc w:val="center"/>
                    <w:rPr>
                      <w:szCs w:val="21"/>
                    </w:rPr>
                  </w:pPr>
                  <w:r>
                    <w:rPr>
                      <w:szCs w:val="21"/>
                    </w:rPr>
                    <w:t>1.本项目不涉及。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4" w:hRule="atLeast"/>
              </w:trPr>
              <w:tc>
                <w:tcPr>
                  <w:tcW w:w="490" w:type="dxa"/>
                  <w:vMerge w:val="continue"/>
                  <w:noWrap/>
                  <w:vAlign w:val="center"/>
                </w:tcPr>
                <w:p>
                  <w:pPr>
                    <w:topLinePunct/>
                    <w:adjustRightInd w:val="0"/>
                    <w:snapToGrid w:val="0"/>
                    <w:jc w:val="center"/>
                  </w:pPr>
                </w:p>
              </w:tc>
              <w:tc>
                <w:tcPr>
                  <w:tcW w:w="1028" w:type="dxa"/>
                  <w:vMerge w:val="continue"/>
                  <w:noWrap/>
                  <w:vAlign w:val="center"/>
                </w:tcPr>
                <w:p>
                  <w:pPr>
                    <w:topLinePunct/>
                    <w:adjustRightInd w:val="0"/>
                    <w:snapToGrid w:val="0"/>
                    <w:jc w:val="center"/>
                  </w:pPr>
                </w:p>
              </w:tc>
              <w:tc>
                <w:tcPr>
                  <w:tcW w:w="4770" w:type="dxa"/>
                  <w:tcBorders>
                    <w:bottom w:val="single" w:color="auto" w:sz="4" w:space="0"/>
                    <w:right w:val="single" w:color="auto" w:sz="4" w:space="0"/>
                  </w:tcBorders>
                  <w:noWrap/>
                  <w:vAlign w:val="center"/>
                </w:tcPr>
                <w:p>
                  <w:pPr>
                    <w:topLinePunct/>
                    <w:adjustRightInd w:val="0"/>
                    <w:snapToGrid w:val="0"/>
                    <w:jc w:val="left"/>
                    <w:rPr>
                      <w:szCs w:val="21"/>
                    </w:rPr>
                  </w:pPr>
                  <w:r>
                    <w:rPr>
                      <w:szCs w:val="21"/>
                    </w:rPr>
                    <w:t>2.以环境风险较高的饮用水水源地保护区、交通干道和集中式污染处理设施等为重点，提高防范环境风险能力，规范化集中式污染处理设施日常运行维护，建设应急导流槽、事故调蓄池、应急闸坝等事故排水收集截留设施等预防性设施。</w:t>
                  </w:r>
                </w:p>
              </w:tc>
              <w:tc>
                <w:tcPr>
                  <w:tcW w:w="1095" w:type="dxa"/>
                  <w:tcBorders>
                    <w:left w:val="single" w:color="auto" w:sz="4" w:space="0"/>
                  </w:tcBorders>
                  <w:noWrap/>
                  <w:vAlign w:val="center"/>
                </w:tcPr>
                <w:p>
                  <w:pPr>
                    <w:topLinePunct/>
                    <w:adjustRightInd w:val="0"/>
                    <w:snapToGrid w:val="0"/>
                    <w:jc w:val="center"/>
                    <w:rPr>
                      <w:szCs w:val="21"/>
                    </w:rPr>
                  </w:pPr>
                  <w:r>
                    <w:rPr>
                      <w:szCs w:val="21"/>
                    </w:rPr>
                    <w:t>2.本项目不涉及。</w:t>
                  </w:r>
                </w:p>
              </w:tc>
              <w:tc>
                <w:tcPr>
                  <w:tcW w:w="412" w:type="dxa"/>
                  <w:tcBorders>
                    <w:left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24" w:hRule="atLeast"/>
              </w:trPr>
              <w:tc>
                <w:tcPr>
                  <w:tcW w:w="490" w:type="dxa"/>
                  <w:vMerge w:val="continue"/>
                  <w:noWrap/>
                  <w:vAlign w:val="center"/>
                </w:tcPr>
                <w:p>
                  <w:pPr>
                    <w:topLinePunct/>
                    <w:adjustRightInd w:val="0"/>
                    <w:snapToGrid w:val="0"/>
                    <w:jc w:val="center"/>
                    <w:rPr>
                      <w:szCs w:val="21"/>
                    </w:rPr>
                  </w:pPr>
                </w:p>
              </w:tc>
              <w:tc>
                <w:tcPr>
                  <w:tcW w:w="1028" w:type="dxa"/>
                  <w:vMerge w:val="continue"/>
                  <w:tcBorders>
                    <w:bottom w:val="single" w:color="auto" w:sz="4" w:space="0"/>
                  </w:tcBorders>
                  <w:noWrap/>
                  <w:vAlign w:val="center"/>
                </w:tcPr>
                <w:p>
                  <w:pPr>
                    <w:topLinePunct/>
                    <w:adjustRightInd w:val="0"/>
                    <w:snapToGrid w:val="0"/>
                    <w:jc w:val="center"/>
                    <w:rPr>
                      <w:szCs w:val="21"/>
                    </w:rPr>
                  </w:pPr>
                </w:p>
              </w:tc>
              <w:tc>
                <w:tcPr>
                  <w:tcW w:w="4770" w:type="dxa"/>
                  <w:tcBorders>
                    <w:bottom w:val="single" w:color="auto" w:sz="4" w:space="0"/>
                    <w:right w:val="single" w:color="auto" w:sz="4" w:space="0"/>
                  </w:tcBorders>
                  <w:noWrap/>
                  <w:vAlign w:val="center"/>
                </w:tcPr>
                <w:p>
                  <w:pPr>
                    <w:topLinePunct/>
                    <w:adjustRightInd w:val="0"/>
                    <w:snapToGrid w:val="0"/>
                    <w:jc w:val="left"/>
                    <w:rPr>
                      <w:szCs w:val="21"/>
                    </w:rPr>
                  </w:pPr>
                  <w:r>
                    <w:rPr>
                      <w:szCs w:val="21"/>
                    </w:rPr>
                    <w:t>3.健全突发环境事件应急预案体系，推进跨区域、跨流域环境应急联动。</w:t>
                  </w:r>
                </w:p>
              </w:tc>
              <w:tc>
                <w:tcPr>
                  <w:tcW w:w="1095" w:type="dxa"/>
                  <w:tcBorders>
                    <w:left w:val="single" w:color="auto" w:sz="4" w:space="0"/>
                    <w:bottom w:val="single" w:color="auto" w:sz="4" w:space="0"/>
                  </w:tcBorders>
                  <w:noWrap/>
                  <w:vAlign w:val="center"/>
                </w:tcPr>
                <w:p>
                  <w:pPr>
                    <w:topLinePunct/>
                    <w:adjustRightInd w:val="0"/>
                    <w:snapToGrid w:val="0"/>
                    <w:jc w:val="center"/>
                    <w:rPr>
                      <w:szCs w:val="21"/>
                    </w:rPr>
                  </w:pPr>
                  <w:r>
                    <w:rPr>
                      <w:szCs w:val="21"/>
                    </w:rPr>
                    <w:t>3.本项目不涉及。</w:t>
                  </w:r>
                </w:p>
              </w:tc>
              <w:tc>
                <w:tcPr>
                  <w:tcW w:w="412" w:type="dxa"/>
                  <w:tcBorders>
                    <w:left w:val="single" w:color="auto" w:sz="4" w:space="0"/>
                    <w:bottom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2" w:hRule="atLeast"/>
              </w:trPr>
              <w:tc>
                <w:tcPr>
                  <w:tcW w:w="490" w:type="dxa"/>
                  <w:vMerge w:val="restart"/>
                  <w:noWrap/>
                  <w:vAlign w:val="center"/>
                </w:tcPr>
                <w:p>
                  <w:pPr>
                    <w:topLinePunct/>
                    <w:adjustRightInd w:val="0"/>
                    <w:snapToGrid w:val="0"/>
                    <w:jc w:val="center"/>
                    <w:rPr>
                      <w:szCs w:val="21"/>
                    </w:rPr>
                  </w:pPr>
                  <w:r>
                    <w:rPr>
                      <w:szCs w:val="21"/>
                    </w:rPr>
                    <w:t>A4</w:t>
                  </w:r>
                </w:p>
                <w:p>
                  <w:pPr>
                    <w:topLinePunct/>
                    <w:adjustRightInd w:val="0"/>
                    <w:snapToGrid w:val="0"/>
                    <w:jc w:val="center"/>
                    <w:rPr>
                      <w:szCs w:val="21"/>
                    </w:rPr>
                  </w:pPr>
                  <w:r>
                    <w:rPr>
                      <w:szCs w:val="21"/>
                    </w:rPr>
                    <w:t>资源利用效率要求</w:t>
                  </w:r>
                </w:p>
              </w:tc>
              <w:tc>
                <w:tcPr>
                  <w:tcW w:w="1028" w:type="dxa"/>
                  <w:vMerge w:val="restart"/>
                  <w:tcBorders>
                    <w:top w:val="single" w:color="auto" w:sz="4" w:space="0"/>
                  </w:tcBorders>
                  <w:noWrap/>
                  <w:vAlign w:val="center"/>
                </w:tcPr>
                <w:p>
                  <w:pPr>
                    <w:topLinePunct/>
                    <w:adjustRightInd w:val="0"/>
                    <w:snapToGrid w:val="0"/>
                    <w:jc w:val="center"/>
                    <w:rPr>
                      <w:szCs w:val="21"/>
                    </w:rPr>
                  </w:pPr>
                  <w:r>
                    <w:rPr>
                      <w:szCs w:val="21"/>
                    </w:rPr>
                    <w:t>A4.1</w:t>
                  </w:r>
                </w:p>
                <w:p>
                  <w:pPr>
                    <w:topLinePunct/>
                    <w:adjustRightInd w:val="0"/>
                    <w:snapToGrid w:val="0"/>
                    <w:jc w:val="center"/>
                    <w:rPr>
                      <w:szCs w:val="21"/>
                    </w:rPr>
                  </w:pPr>
                  <w:r>
                    <w:rPr>
                      <w:szCs w:val="21"/>
                    </w:rPr>
                    <w:t>能源利用总量及效率要求</w:t>
                  </w:r>
                </w:p>
              </w:tc>
              <w:tc>
                <w:tcPr>
                  <w:tcW w:w="4770" w:type="dxa"/>
                  <w:tcBorders>
                    <w:bottom w:val="single" w:color="auto" w:sz="4" w:space="0"/>
                    <w:right w:val="single" w:color="auto" w:sz="4" w:space="0"/>
                  </w:tcBorders>
                  <w:noWrap/>
                  <w:vAlign w:val="center"/>
                </w:tcPr>
                <w:p>
                  <w:pPr>
                    <w:topLinePunct/>
                    <w:adjustRightInd w:val="0"/>
                    <w:snapToGrid w:val="0"/>
                    <w:jc w:val="left"/>
                    <w:rPr>
                      <w:szCs w:val="21"/>
                    </w:rPr>
                  </w:pPr>
                  <w:r>
                    <w:rPr>
                      <w:szCs w:val="21"/>
                    </w:rPr>
                    <w:t>1.实行煤炭消费总量控制，严控高耗煤行业新增项目。</w:t>
                  </w:r>
                </w:p>
              </w:tc>
              <w:tc>
                <w:tcPr>
                  <w:tcW w:w="1095" w:type="dxa"/>
                  <w:tcBorders>
                    <w:left w:val="single" w:color="auto" w:sz="4" w:space="0"/>
                    <w:bottom w:val="single" w:color="auto" w:sz="4" w:space="0"/>
                  </w:tcBorders>
                  <w:noWrap/>
                  <w:vAlign w:val="center"/>
                </w:tcPr>
                <w:p>
                  <w:pPr>
                    <w:topLinePunct/>
                    <w:adjustRightInd w:val="0"/>
                    <w:snapToGrid w:val="0"/>
                    <w:jc w:val="center"/>
                    <w:rPr>
                      <w:szCs w:val="21"/>
                    </w:rPr>
                  </w:pPr>
                  <w:r>
                    <w:rPr>
                      <w:szCs w:val="21"/>
                    </w:rPr>
                    <w:t>1.本项目不涉及。</w:t>
                  </w:r>
                </w:p>
              </w:tc>
              <w:tc>
                <w:tcPr>
                  <w:tcW w:w="412" w:type="dxa"/>
                  <w:tcBorders>
                    <w:left w:val="single" w:color="auto" w:sz="4" w:space="0"/>
                    <w:bottom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62" w:hRule="atLeast"/>
              </w:trPr>
              <w:tc>
                <w:tcPr>
                  <w:tcW w:w="490" w:type="dxa"/>
                  <w:vMerge w:val="continue"/>
                  <w:noWrap/>
                  <w:vAlign w:val="center"/>
                </w:tcPr>
                <w:p>
                  <w:pPr>
                    <w:topLinePunct/>
                    <w:adjustRightInd w:val="0"/>
                    <w:snapToGrid w:val="0"/>
                    <w:jc w:val="center"/>
                  </w:pPr>
                </w:p>
              </w:tc>
              <w:tc>
                <w:tcPr>
                  <w:tcW w:w="1028" w:type="dxa"/>
                  <w:vMerge w:val="continue"/>
                  <w:tcBorders>
                    <w:bottom w:val="single" w:color="auto" w:sz="4" w:space="0"/>
                  </w:tcBorders>
                  <w:noWrap/>
                  <w:vAlign w:val="center"/>
                </w:tcPr>
                <w:p>
                  <w:pPr>
                    <w:topLinePunct/>
                    <w:adjustRightInd w:val="0"/>
                    <w:snapToGrid w:val="0"/>
                    <w:jc w:val="center"/>
                  </w:pPr>
                </w:p>
              </w:tc>
              <w:tc>
                <w:tcPr>
                  <w:tcW w:w="4770" w:type="dxa"/>
                  <w:tcBorders>
                    <w:bottom w:val="single" w:color="auto" w:sz="4" w:space="0"/>
                    <w:right w:val="single" w:color="auto" w:sz="4" w:space="0"/>
                  </w:tcBorders>
                  <w:noWrap/>
                  <w:vAlign w:val="center"/>
                </w:tcPr>
                <w:p>
                  <w:pPr>
                    <w:topLinePunct/>
                    <w:adjustRightInd w:val="0"/>
                    <w:snapToGrid w:val="0"/>
                    <w:jc w:val="left"/>
                    <w:rPr>
                      <w:szCs w:val="21"/>
                    </w:rPr>
                  </w:pPr>
                  <w:r>
                    <w:rPr>
                      <w:szCs w:val="21"/>
                    </w:rPr>
                    <w:t>2.到2025年，全市单位地区生产总值能耗降低基本目标为13%，激励目标为14%。</w:t>
                  </w:r>
                </w:p>
              </w:tc>
              <w:tc>
                <w:tcPr>
                  <w:tcW w:w="1095" w:type="dxa"/>
                  <w:tcBorders>
                    <w:left w:val="single" w:color="auto" w:sz="4" w:space="0"/>
                    <w:bottom w:val="single" w:color="auto" w:sz="4" w:space="0"/>
                  </w:tcBorders>
                  <w:noWrap/>
                  <w:vAlign w:val="center"/>
                </w:tcPr>
                <w:p>
                  <w:pPr>
                    <w:topLinePunct/>
                    <w:adjustRightInd w:val="0"/>
                    <w:snapToGrid w:val="0"/>
                    <w:jc w:val="center"/>
                    <w:rPr>
                      <w:szCs w:val="21"/>
                    </w:rPr>
                  </w:pPr>
                  <w:r>
                    <w:rPr>
                      <w:szCs w:val="21"/>
                    </w:rPr>
                    <w:t>2.本项目不涉及</w:t>
                  </w:r>
                </w:p>
              </w:tc>
              <w:tc>
                <w:tcPr>
                  <w:tcW w:w="412" w:type="dxa"/>
                  <w:tcBorders>
                    <w:left w:val="single" w:color="auto" w:sz="4" w:space="0"/>
                    <w:bottom w:val="single" w:color="auto" w:sz="4" w:space="0"/>
                  </w:tcBorders>
                  <w:noWrap/>
                  <w:vAlign w:val="center"/>
                </w:tcPr>
                <w:p>
                  <w:pPr>
                    <w:topLinePunct/>
                    <w:adjustRightInd w:val="0"/>
                    <w:snapToGrid w:val="0"/>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7" w:hRule="atLeast"/>
              </w:trPr>
              <w:tc>
                <w:tcPr>
                  <w:tcW w:w="490" w:type="dxa"/>
                  <w:vMerge w:val="continue"/>
                  <w:noWrap/>
                  <w:vAlign w:val="center"/>
                </w:tcPr>
                <w:p>
                  <w:pPr>
                    <w:topLinePunct/>
                    <w:adjustRightInd w:val="0"/>
                    <w:snapToGrid w:val="0"/>
                    <w:jc w:val="center"/>
                    <w:rPr>
                      <w:szCs w:val="21"/>
                    </w:rPr>
                  </w:pPr>
                </w:p>
              </w:tc>
              <w:tc>
                <w:tcPr>
                  <w:tcW w:w="1028" w:type="dxa"/>
                  <w:tcBorders>
                    <w:top w:val="single" w:color="auto" w:sz="4" w:space="0"/>
                  </w:tcBorders>
                  <w:noWrap/>
                  <w:vAlign w:val="center"/>
                </w:tcPr>
                <w:p>
                  <w:pPr>
                    <w:topLinePunct/>
                    <w:adjustRightInd w:val="0"/>
                    <w:snapToGrid w:val="0"/>
                    <w:jc w:val="center"/>
                    <w:rPr>
                      <w:szCs w:val="21"/>
                    </w:rPr>
                  </w:pPr>
                  <w:r>
                    <w:rPr>
                      <w:szCs w:val="21"/>
                    </w:rPr>
                    <w:t>A4.2</w:t>
                  </w:r>
                </w:p>
                <w:p>
                  <w:pPr>
                    <w:topLinePunct/>
                    <w:adjustRightInd w:val="0"/>
                    <w:snapToGrid w:val="0"/>
                    <w:jc w:val="center"/>
                    <w:rPr>
                      <w:szCs w:val="21"/>
                    </w:rPr>
                  </w:pPr>
                  <w:r>
                    <w:rPr>
                      <w:szCs w:val="21"/>
                    </w:rPr>
                    <w:t>水资源利用总量及效率要求</w:t>
                  </w:r>
                </w:p>
              </w:tc>
              <w:tc>
                <w:tcPr>
                  <w:tcW w:w="4770" w:type="dxa"/>
                  <w:tcBorders>
                    <w:top w:val="single" w:color="auto" w:sz="4" w:space="0"/>
                    <w:right w:val="single" w:color="auto" w:sz="4" w:space="0"/>
                  </w:tcBorders>
                  <w:noWrap/>
                  <w:vAlign w:val="center"/>
                </w:tcPr>
                <w:p>
                  <w:pPr>
                    <w:topLinePunct/>
                    <w:adjustRightInd w:val="0"/>
                    <w:snapToGrid w:val="0"/>
                    <w:jc w:val="left"/>
                    <w:rPr>
                      <w:szCs w:val="21"/>
                    </w:rPr>
                  </w:pPr>
                  <w:r>
                    <w:rPr>
                      <w:szCs w:val="21"/>
                    </w:rPr>
                    <w:t>1.落实节水指标纳入县（区）政绩考核，对水资源超载地区实行用水和项目“双限批”，到2025年全市用水总量控制在2.90亿立方米，单位GDP用水量较2020年下降13%。积极推广农业成套综合节水技术，到2025年农田灌溉水有效利用系数达到0.79。</w:t>
                  </w:r>
                </w:p>
              </w:tc>
              <w:tc>
                <w:tcPr>
                  <w:tcW w:w="1095" w:type="dxa"/>
                  <w:tcBorders>
                    <w:top w:val="single" w:color="auto" w:sz="4" w:space="0"/>
                    <w:left w:val="single" w:color="auto" w:sz="4" w:space="0"/>
                  </w:tcBorders>
                  <w:noWrap/>
                  <w:vAlign w:val="center"/>
                </w:tcPr>
                <w:p>
                  <w:pPr>
                    <w:topLinePunct/>
                    <w:adjustRightInd w:val="0"/>
                    <w:snapToGrid w:val="0"/>
                    <w:jc w:val="center"/>
                    <w:rPr>
                      <w:szCs w:val="21"/>
                    </w:rPr>
                  </w:pPr>
                  <w:r>
                    <w:rPr>
                      <w:szCs w:val="21"/>
                    </w:rPr>
                    <w:t>1.本项目运营期不消耗当地水资源。</w:t>
                  </w:r>
                </w:p>
              </w:tc>
              <w:tc>
                <w:tcPr>
                  <w:tcW w:w="412" w:type="dxa"/>
                  <w:tcBorders>
                    <w:top w:val="single" w:color="auto" w:sz="4" w:space="0"/>
                    <w:left w:val="single" w:color="auto" w:sz="4" w:space="0"/>
                  </w:tcBorders>
                  <w:noWrap/>
                  <w:vAlign w:val="center"/>
                </w:tcPr>
                <w:p>
                  <w:pPr>
                    <w:topLinePunct/>
                    <w:adjustRightInd w:val="0"/>
                    <w:snapToGrid w:val="0"/>
                    <w:jc w:val="center"/>
                    <w:rPr>
                      <w:szCs w:val="21"/>
                    </w:rPr>
                  </w:pPr>
                  <w:r>
                    <w:rPr>
                      <w:szCs w:val="21"/>
                    </w:rPr>
                    <w:t>符合</w:t>
                  </w:r>
                </w:p>
              </w:tc>
            </w:tr>
          </w:tbl>
          <w:p>
            <w:pPr>
              <w:spacing w:before="240" w:after="60"/>
              <w:rPr>
                <w:rFonts w:eastAsia="黑体"/>
                <w:kern w:val="0"/>
                <w:sz w:val="24"/>
              </w:rPr>
            </w:pPr>
            <w:r>
              <w:rPr>
                <w:sz w:val="24"/>
              </w:rPr>
              <w:t>3</w:t>
            </w:r>
            <w:r>
              <w:rPr>
                <w:rFonts w:eastAsia="黑体"/>
                <w:kern w:val="0"/>
                <w:sz w:val="24"/>
              </w:rPr>
              <w:t>、与《宁夏回族自治区生态环境保护“十四五”规划》符合性分析</w:t>
            </w:r>
          </w:p>
          <w:p>
            <w:pPr>
              <w:ind w:firstLine="510" w:firstLineChars="200"/>
              <w:rPr>
                <w:sz w:val="24"/>
              </w:rPr>
            </w:pPr>
            <w:r>
              <w:rPr>
                <w:sz w:val="24"/>
              </w:rPr>
              <w:t>本工程属于水利基础设施建设工程，施工期采取扬尘、噪声、废水、固废治理、生态保护和恢复措施，可降低工程对生态环境的影响。工程运营期无污染物产生及排放，运营期加强生态的恢复措施，因此，本工程符合《宁夏回族自治区生态环境保护“十四五”规划》的总体要求。</w:t>
            </w:r>
          </w:p>
          <w:p>
            <w:pPr>
              <w:spacing w:before="240" w:after="60"/>
              <w:rPr>
                <w:rFonts w:eastAsia="黑体"/>
                <w:sz w:val="24"/>
              </w:rPr>
            </w:pPr>
            <w:r>
              <w:rPr>
                <w:rFonts w:eastAsia="黑体"/>
                <w:sz w:val="24"/>
              </w:rPr>
              <w:t>4、与《国务院办公厅关于切实加强水库除险加固和运行管护工作的通知》(国办发(2021)8号)符合性分析</w:t>
            </w:r>
          </w:p>
          <w:p>
            <w:pPr>
              <w:ind w:firstLine="510" w:firstLineChars="200"/>
              <w:rPr>
                <w:sz w:val="24"/>
              </w:rPr>
            </w:pPr>
            <w:r>
              <w:rPr>
                <w:sz w:val="24"/>
              </w:rPr>
              <w:t>“加快实施水库除险加固。做好水库安全鉴定，优化安全鉴定程序，提高鉴定成果质量。严格落实项目法人责任制、招标投标制工程监理制和合同管理制，严格执行基本建设程序，加快前期工作加强勘察设计、施工进度、质量安全、资金使用、竣工验收等各环节监管，确保按期完成水库除险加固建设任务，确保工程和资金安全。对已实施除险加固的水库，要加快竣工验收，确保尽快投入正常运行。合理妥善实施水库降等报废，建立退出机制，对功能萎缩规模减少、除险加固技术不可行或经济不合理的，经过充分论证后进行降等或报废，并同步解决好生态保护和修复等相关问题。”2021年4月，彭阳县水务局委托水利部南京水利科学研究院对雅石沟水库大坝进行了安全评价。安全评价结论大坝应属“三类坝”，本项目主要对雅石沟水库除险加固，符合《国务院办公厅关于切实加强水库除险加固和运行管护工作的通知》(国办发(2021)8号)要求。</w:t>
            </w:r>
          </w:p>
          <w:p>
            <w:pPr>
              <w:pStyle w:val="2"/>
              <w:rPr>
                <w:b w:val="0"/>
                <w:bCs w:val="0"/>
                <w:color w:val="auto"/>
                <w:sz w:val="24"/>
              </w:rPr>
            </w:pPr>
          </w:p>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p>
            <w:pPr>
              <w:pStyle w:val="82"/>
              <w:adjustRightInd/>
              <w:snapToGrid/>
              <w:spacing w:line="240" w:lineRule="auto"/>
              <w:ind w:firstLine="0" w:firstLineChars="0"/>
              <w:jc w:val="both"/>
              <w:rPr>
                <w:rFonts w:ascii="Times New Roman" w:hAnsi="Times New Roman"/>
                <w:color w:val="auto"/>
              </w:rPr>
            </w:pPr>
          </w:p>
        </w:tc>
      </w:tr>
    </w:tbl>
    <w:p>
      <w:pPr>
        <w:sectPr>
          <w:headerReference r:id="rId5" w:type="default"/>
          <w:footerReference r:id="rId6" w:type="default"/>
          <w:pgSz w:w="11905" w:h="16838"/>
          <w:pgMar w:top="1417" w:right="1417" w:bottom="1417" w:left="1417" w:header="850" w:footer="964" w:gutter="0"/>
          <w:pgNumType w:start="1"/>
          <w:cols w:space="720" w:num="1"/>
          <w:docGrid w:type="linesAndChars" w:linePitch="466" w:charSpace="3276"/>
        </w:sectPr>
      </w:pPr>
    </w:p>
    <w:p>
      <w:pPr>
        <w:pStyle w:val="25"/>
        <w:spacing w:before="0" w:beforeAutospacing="0" w:after="0" w:afterAutospacing="0"/>
        <w:jc w:val="center"/>
        <w:outlineLvl w:val="0"/>
        <w:rPr>
          <w:rFonts w:ascii="Times New Roman" w:hAnsi="Times New Roman" w:eastAsia="黑体"/>
          <w:snapToGrid w:val="0"/>
          <w:sz w:val="30"/>
          <w:szCs w:val="30"/>
        </w:rPr>
      </w:pPr>
      <w:bookmarkStart w:id="3" w:name="_Toc22292"/>
      <w:bookmarkStart w:id="4" w:name="_Toc31712"/>
      <w:r>
        <w:rPr>
          <w:rFonts w:ascii="Times New Roman" w:hAnsi="Times New Roman" w:eastAsia="黑体"/>
          <w:snapToGrid w:val="0"/>
          <w:sz w:val="30"/>
          <w:szCs w:val="30"/>
        </w:rPr>
        <w:t>二、建设内容</w:t>
      </w:r>
      <w:bookmarkEnd w:id="3"/>
      <w:bookmarkEnd w:id="4"/>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5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tcBorders>
              <w:tl2br w:val="nil"/>
              <w:tr2bl w:val="nil"/>
            </w:tcBorders>
            <w:noWrap/>
            <w:vAlign w:val="center"/>
          </w:tcPr>
          <w:p>
            <w:pPr>
              <w:adjustRightInd w:val="0"/>
              <w:snapToGrid w:val="0"/>
              <w:jc w:val="center"/>
              <w:rPr>
                <w:kern w:val="0"/>
                <w:sz w:val="24"/>
              </w:rPr>
            </w:pPr>
            <w:r>
              <w:rPr>
                <w:b/>
                <w:bCs/>
                <w:kern w:val="0"/>
                <w:sz w:val="24"/>
              </w:rPr>
              <w:t>地理位置</w:t>
            </w:r>
          </w:p>
        </w:tc>
        <w:tc>
          <w:tcPr>
            <w:tcW w:w="8380" w:type="dxa"/>
            <w:tcBorders>
              <w:tl2br w:val="nil"/>
              <w:tr2bl w:val="nil"/>
            </w:tcBorders>
            <w:noWrap/>
            <w:vAlign w:val="center"/>
          </w:tcPr>
          <w:p>
            <w:pPr>
              <w:ind w:firstLine="510" w:firstLineChars="200"/>
              <w:rPr>
                <w:kern w:val="0"/>
                <w:szCs w:val="21"/>
              </w:rPr>
            </w:pPr>
            <w:r>
              <w:rPr>
                <w:sz w:val="24"/>
              </w:rPr>
              <w:t>彭阳县雅石沟水库地处彭阳县东南部的草庙乡崾岘村，地理位置为</w:t>
            </w:r>
            <w:r>
              <w:rPr>
                <w:kern w:val="0"/>
                <w:sz w:val="24"/>
              </w:rPr>
              <w:t>东经</w:t>
            </w:r>
            <w:r>
              <w:rPr>
                <w:sz w:val="24"/>
              </w:rPr>
              <w:t>106°42′55.461′′</w:t>
            </w:r>
            <w:r>
              <w:rPr>
                <w:kern w:val="0"/>
                <w:sz w:val="24"/>
              </w:rPr>
              <w:t>，北纬</w:t>
            </w:r>
            <w:r>
              <w:rPr>
                <w:sz w:val="24"/>
              </w:rPr>
              <w:t>36°05′14.182′′，距彭阳县城约35km，位于泾河一级支流安家川河上游雅石沟上。项目地理位置见附图7。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10" w:type="dxa"/>
            <w:tcBorders>
              <w:tl2br w:val="nil"/>
              <w:tr2bl w:val="nil"/>
            </w:tcBorders>
            <w:noWrap/>
            <w:vAlign w:val="center"/>
          </w:tcPr>
          <w:p>
            <w:pPr>
              <w:adjustRightInd w:val="0"/>
              <w:snapToGrid w:val="0"/>
              <w:jc w:val="center"/>
              <w:rPr>
                <w:kern w:val="0"/>
                <w:sz w:val="24"/>
              </w:rPr>
            </w:pPr>
            <w:r>
              <w:rPr>
                <w:b/>
                <w:bCs/>
                <w:kern w:val="0"/>
                <w:sz w:val="24"/>
              </w:rPr>
              <w:t>项目组成及规模</w:t>
            </w:r>
          </w:p>
        </w:tc>
        <w:tc>
          <w:tcPr>
            <w:tcW w:w="8380" w:type="dxa"/>
            <w:tcBorders>
              <w:tl2br w:val="nil"/>
              <w:tr2bl w:val="nil"/>
            </w:tcBorders>
            <w:noWrap/>
          </w:tcPr>
          <w:p>
            <w:pPr>
              <w:widowControl/>
              <w:spacing w:before="240" w:after="60"/>
              <w:rPr>
                <w:rFonts w:eastAsia="黑体"/>
                <w:kern w:val="0"/>
                <w:sz w:val="24"/>
              </w:rPr>
            </w:pPr>
            <w:r>
              <w:rPr>
                <w:rFonts w:eastAsia="黑体"/>
                <w:kern w:val="0"/>
                <w:sz w:val="24"/>
              </w:rPr>
              <w:t>1、项目背景</w:t>
            </w:r>
          </w:p>
          <w:p>
            <w:pPr>
              <w:ind w:firstLine="510" w:firstLineChars="200"/>
              <w:rPr>
                <w:sz w:val="24"/>
              </w:rPr>
            </w:pPr>
            <w:r>
              <w:rPr>
                <w:sz w:val="24"/>
              </w:rPr>
              <w:t>雅石沟水库于1979年12月建成，初建时大坝高40m，坝顶高程 1627.50m，总库容632.4万m³。《中华人民共和国环境影响评价法》自2003年9月1日起施行。即雅石沟水库建设前《环评法》还未实施，现状水库无环评手续。雅石沟水库是一座以防洪为主、兼顾灌溉的水库，水库设计灌溉面积5505亩，水库保护范围为下游3个村等沿途450人、0.2万亩农田的安全。</w:t>
            </w:r>
          </w:p>
          <w:p>
            <w:pPr>
              <w:ind w:firstLine="510" w:firstLineChars="200"/>
              <w:rPr>
                <w:sz w:val="24"/>
              </w:rPr>
            </w:pPr>
            <w:r>
              <w:rPr>
                <w:sz w:val="24"/>
              </w:rPr>
              <w:t>2007年11月雅石沟水库鉴定为“三类坝”，并于2008年7月—2009年11月进行除险加固。除险加固后雅石沟水库总库容1339.6万m³，加坝增容507万m³，淤积库容1101.2万m³（至设计水平年），防洪库容114.7万m³，调洪库容238.4万m³。2008年除险加固设计时，工程按小（1）型水库设计，工程等别为Ⅳ等，主要建筑物按4级设计，次要建筑物及临时工程按5级设计。除险加固时高程采用相对高程，水库正常蓄水位1634.39m，设计淤积高程1633.75m，设计洪水标准为30年一遇，相应库水位1635.37m；校核洪水标准为500年一遇，相应库水位1637.04m。工程设计淤积年限为30年，设计地震烈度为Ⅶ度。水库主要由大坝、溢洪道和输水卧管组成。项目建设未进行环境影响评价。</w:t>
            </w:r>
          </w:p>
          <w:p>
            <w:pPr>
              <w:pStyle w:val="9"/>
              <w:snapToGrid/>
              <w:spacing w:before="0" w:after="0" w:line="240" w:lineRule="auto"/>
              <w:ind w:right="0" w:firstLine="510" w:firstLineChars="200"/>
              <w:rPr>
                <w:sz w:val="24"/>
              </w:rPr>
            </w:pPr>
            <w:r>
              <w:rPr>
                <w:sz w:val="24"/>
              </w:rPr>
              <w:t>雅石沟水库经多年运行，大坝坝基存在砂砾石透水层，坝体局部人工填土渗透系数不满足规范要求，防渗和反滤排水设施不完善。溢洪道进水渠段土体存在冲刷掏空现象，泄槽段底板存在多处纵横向裂缝，边墙后土体存在雨水冲刷掏空形成的孔洞，存在渗流安全隐患。输水涵洞为穿坝建筑物，衬砌局部存在裂缝、露筋现象，存在水库安全隐患日益突出，水库带病运行，危及自身安全，急需除险加固。</w:t>
            </w:r>
          </w:p>
          <w:p>
            <w:pPr>
              <w:ind w:firstLine="510" w:firstLineChars="200"/>
              <w:rPr>
                <w:sz w:val="24"/>
              </w:rPr>
            </w:pPr>
            <w:r>
              <w:rPr>
                <w:sz w:val="24"/>
              </w:rPr>
              <w:t>为提升雅石沟水库运行安全性，本次拟对水库进行除险加固，本次除险加固项目前后，坝顶加高，总库容变为1517.75万m</w:t>
            </w:r>
            <w:r>
              <w:rPr>
                <w:sz w:val="24"/>
                <w:vertAlign w:val="superscript"/>
              </w:rPr>
              <w:t>3</w:t>
            </w:r>
            <w:r>
              <w:rPr>
                <w:sz w:val="24"/>
              </w:rPr>
              <w:t>，水库除险加固后水库正常蓄水位增加、死水位不变、淹没区不变，下泄流量</w:t>
            </w:r>
            <w:r>
              <w:rPr>
                <w:rFonts w:hint="eastAsia"/>
                <w:sz w:val="24"/>
              </w:rPr>
              <w:t>不变</w:t>
            </w:r>
            <w:r>
              <w:rPr>
                <w:sz w:val="24"/>
              </w:rPr>
              <w:t>，不影响区域水资源量。本次</w:t>
            </w:r>
            <w:r>
              <w:rPr>
                <w:rFonts w:hint="eastAsia"/>
                <w:sz w:val="24"/>
              </w:rPr>
              <w:t>本次连同2008年除险加固工程一同评价，</w:t>
            </w:r>
            <w:r>
              <w:rPr>
                <w:sz w:val="24"/>
              </w:rPr>
              <w:t>水库加固后库容相比于1979年建成时库容增加885.35万m</w:t>
            </w:r>
            <w:r>
              <w:rPr>
                <w:sz w:val="24"/>
                <w:vertAlign w:val="superscript"/>
              </w:rPr>
              <w:t>3</w:t>
            </w:r>
            <w:r>
              <w:rPr>
                <w:sz w:val="24"/>
              </w:rPr>
              <w:t>，小于一千万m</w:t>
            </w:r>
            <w:r>
              <w:rPr>
                <w:sz w:val="24"/>
                <w:vertAlign w:val="superscript"/>
              </w:rPr>
              <w:t>3</w:t>
            </w:r>
            <w:r>
              <w:rPr>
                <w:sz w:val="24"/>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3"/>
              <w:gridCol w:w="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tcPr>
                <w:p>
                  <w:pPr>
                    <w:pStyle w:val="9"/>
                    <w:adjustRightInd w:val="0"/>
                    <w:spacing w:before="0" w:after="0" w:line="240" w:lineRule="auto"/>
                    <w:ind w:right="0"/>
                  </w:pPr>
                  <w:r>
                    <w:drawing>
                      <wp:inline distT="0" distB="0" distL="114300" distR="114300">
                        <wp:extent cx="2515235" cy="2272030"/>
                        <wp:effectExtent l="0" t="0" r="18415" b="13970"/>
                        <wp:docPr id="4" name="图片 120" descr="bc2c8f430ccf8592fe6bc700ac5a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0" descr="bc2c8f430ccf8592fe6bc700ac5a2e9"/>
                                <pic:cNvPicPr>
                                  <a:picLocks noChangeAspect="1"/>
                                </pic:cNvPicPr>
                              </pic:nvPicPr>
                              <pic:blipFill>
                                <a:blip r:embed="rId16" cstate="print"/>
                                <a:stretch>
                                  <a:fillRect/>
                                </a:stretch>
                              </pic:blipFill>
                              <pic:spPr>
                                <a:xfrm>
                                  <a:off x="0" y="0"/>
                                  <a:ext cx="2515235" cy="2272030"/>
                                </a:xfrm>
                                <a:prstGeom prst="rect">
                                  <a:avLst/>
                                </a:prstGeom>
                                <a:noFill/>
                                <a:ln>
                                  <a:noFill/>
                                </a:ln>
                              </pic:spPr>
                            </pic:pic>
                          </a:graphicData>
                        </a:graphic>
                      </wp:inline>
                    </w:drawing>
                  </w:r>
                </w:p>
              </w:tc>
              <w:tc>
                <w:tcPr>
                  <w:tcW w:w="4173" w:type="dxa"/>
                  <w:noWrap/>
                </w:tcPr>
                <w:p>
                  <w:pPr>
                    <w:pStyle w:val="9"/>
                    <w:adjustRightInd w:val="0"/>
                    <w:spacing w:before="0" w:after="0" w:line="240" w:lineRule="auto"/>
                    <w:ind w:right="0"/>
                  </w:pPr>
                  <w:r>
                    <w:drawing>
                      <wp:inline distT="0" distB="0" distL="114300" distR="114300">
                        <wp:extent cx="2502535" cy="2275840"/>
                        <wp:effectExtent l="0" t="0" r="12065" b="10160"/>
                        <wp:docPr id="6" name="图片 119" descr="12b48ee26216cb7e7349ecb53d3a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9" descr="12b48ee26216cb7e7349ecb53d3a59c"/>
                                <pic:cNvPicPr>
                                  <a:picLocks noChangeAspect="1"/>
                                </pic:cNvPicPr>
                              </pic:nvPicPr>
                              <pic:blipFill>
                                <a:blip r:embed="rId17" cstate="print"/>
                                <a:stretch>
                                  <a:fillRect/>
                                </a:stretch>
                              </pic:blipFill>
                              <pic:spPr>
                                <a:xfrm>
                                  <a:off x="0" y="0"/>
                                  <a:ext cx="2502535" cy="2275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tcPr>
                <w:p>
                  <w:pPr>
                    <w:pStyle w:val="9"/>
                    <w:adjustRightInd w:val="0"/>
                    <w:spacing w:before="0" w:after="0" w:line="240" w:lineRule="auto"/>
                    <w:ind w:right="0"/>
                    <w:jc w:val="center"/>
                    <w:rPr>
                      <w:sz w:val="21"/>
                      <w:szCs w:val="21"/>
                    </w:rPr>
                  </w:pPr>
                  <w:r>
                    <w:rPr>
                      <w:sz w:val="21"/>
                      <w:szCs w:val="21"/>
                    </w:rPr>
                    <w:t>坝顶道路</w:t>
                  </w:r>
                </w:p>
              </w:tc>
              <w:tc>
                <w:tcPr>
                  <w:tcW w:w="4173" w:type="dxa"/>
                  <w:noWrap/>
                </w:tcPr>
                <w:p>
                  <w:pPr>
                    <w:pStyle w:val="9"/>
                    <w:adjustRightInd w:val="0"/>
                    <w:spacing w:before="0" w:after="0" w:line="240" w:lineRule="auto"/>
                    <w:ind w:right="0"/>
                    <w:jc w:val="center"/>
                    <w:rPr>
                      <w:sz w:val="21"/>
                      <w:szCs w:val="21"/>
                    </w:rPr>
                  </w:pPr>
                  <w:r>
                    <w:rPr>
                      <w:sz w:val="21"/>
                      <w:szCs w:val="21"/>
                    </w:rPr>
                    <w:t>溢洪道进口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tcPr>
                <w:p>
                  <w:pPr>
                    <w:pStyle w:val="9"/>
                    <w:adjustRightInd w:val="0"/>
                    <w:spacing w:before="0" w:after="0" w:line="240" w:lineRule="auto"/>
                    <w:ind w:right="0"/>
                  </w:pPr>
                  <w:r>
                    <w:drawing>
                      <wp:inline distT="0" distB="0" distL="114300" distR="114300">
                        <wp:extent cx="2557780" cy="2332990"/>
                        <wp:effectExtent l="0" t="0" r="13970" b="10160"/>
                        <wp:docPr id="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2"/>
                                <pic:cNvPicPr>
                                  <a:picLocks noChangeAspect="1"/>
                                </pic:cNvPicPr>
                              </pic:nvPicPr>
                              <pic:blipFill>
                                <a:blip r:embed="rId18"/>
                                <a:stretch>
                                  <a:fillRect/>
                                </a:stretch>
                              </pic:blipFill>
                              <pic:spPr>
                                <a:xfrm>
                                  <a:off x="0" y="0"/>
                                  <a:ext cx="2557780" cy="2332990"/>
                                </a:xfrm>
                                <a:prstGeom prst="rect">
                                  <a:avLst/>
                                </a:prstGeom>
                                <a:noFill/>
                                <a:ln>
                                  <a:noFill/>
                                </a:ln>
                              </pic:spPr>
                            </pic:pic>
                          </a:graphicData>
                        </a:graphic>
                      </wp:inline>
                    </w:drawing>
                  </w:r>
                </w:p>
              </w:tc>
              <w:tc>
                <w:tcPr>
                  <w:tcW w:w="4173" w:type="dxa"/>
                  <w:noWrap/>
                </w:tcPr>
                <w:p>
                  <w:pPr>
                    <w:pStyle w:val="9"/>
                    <w:adjustRightInd w:val="0"/>
                    <w:spacing w:before="0" w:after="0" w:line="240" w:lineRule="auto"/>
                    <w:ind w:right="0"/>
                  </w:pPr>
                  <w:r>
                    <w:drawing>
                      <wp:inline distT="0" distB="0" distL="114300" distR="114300">
                        <wp:extent cx="2557780" cy="2339975"/>
                        <wp:effectExtent l="0" t="0" r="13970" b="3175"/>
                        <wp:docPr id="1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4"/>
                                <pic:cNvPicPr>
                                  <a:picLocks noChangeAspect="1"/>
                                </pic:cNvPicPr>
                              </pic:nvPicPr>
                              <pic:blipFill>
                                <a:blip r:embed="rId19"/>
                                <a:stretch>
                                  <a:fillRect/>
                                </a:stretch>
                              </pic:blipFill>
                              <pic:spPr>
                                <a:xfrm>
                                  <a:off x="0" y="0"/>
                                  <a:ext cx="2557780" cy="23399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3" w:type="dxa"/>
                  <w:noWrap/>
                </w:tcPr>
                <w:p>
                  <w:pPr>
                    <w:pStyle w:val="9"/>
                    <w:adjustRightInd w:val="0"/>
                    <w:spacing w:before="0" w:after="0" w:line="240" w:lineRule="auto"/>
                    <w:ind w:right="0"/>
                    <w:jc w:val="center"/>
                    <w:rPr>
                      <w:sz w:val="21"/>
                      <w:szCs w:val="21"/>
                    </w:rPr>
                  </w:pPr>
                  <w:r>
                    <w:rPr>
                      <w:sz w:val="21"/>
                      <w:szCs w:val="21"/>
                    </w:rPr>
                    <w:t>排水沟</w:t>
                  </w:r>
                </w:p>
              </w:tc>
              <w:tc>
                <w:tcPr>
                  <w:tcW w:w="4173" w:type="dxa"/>
                  <w:noWrap/>
                </w:tcPr>
                <w:p>
                  <w:pPr>
                    <w:pStyle w:val="9"/>
                    <w:adjustRightInd w:val="0"/>
                    <w:spacing w:before="0" w:after="0" w:line="240" w:lineRule="auto"/>
                    <w:ind w:right="0"/>
                    <w:jc w:val="center"/>
                    <w:rPr>
                      <w:sz w:val="21"/>
                      <w:szCs w:val="21"/>
                    </w:rPr>
                  </w:pPr>
                  <w:r>
                    <w:rPr>
                      <w:sz w:val="21"/>
                      <w:szCs w:val="21"/>
                    </w:rPr>
                    <w:t>泄槽边墙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tcPr>
                <w:p>
                  <w:pPr>
                    <w:pStyle w:val="9"/>
                    <w:adjustRightInd w:val="0"/>
                    <w:spacing w:before="0" w:after="0" w:line="240" w:lineRule="auto"/>
                    <w:ind w:right="0"/>
                  </w:pPr>
                  <w:r>
                    <w:drawing>
                      <wp:inline distT="0" distB="0" distL="114300" distR="114300">
                        <wp:extent cx="2524125" cy="2357755"/>
                        <wp:effectExtent l="0" t="0" r="9525" b="4445"/>
                        <wp:docPr id="12" name="图片 121" descr="dc98a76b1a7bb0ecf44eb235f582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1" descr="dc98a76b1a7bb0ecf44eb235f58202f"/>
                                <pic:cNvPicPr>
                                  <a:picLocks noChangeAspect="1"/>
                                </pic:cNvPicPr>
                              </pic:nvPicPr>
                              <pic:blipFill>
                                <a:blip r:embed="rId20"/>
                                <a:stretch>
                                  <a:fillRect/>
                                </a:stretch>
                              </pic:blipFill>
                              <pic:spPr>
                                <a:xfrm>
                                  <a:off x="0" y="0"/>
                                  <a:ext cx="2524125" cy="2357755"/>
                                </a:xfrm>
                                <a:prstGeom prst="rect">
                                  <a:avLst/>
                                </a:prstGeom>
                                <a:noFill/>
                                <a:ln>
                                  <a:noFill/>
                                </a:ln>
                              </pic:spPr>
                            </pic:pic>
                          </a:graphicData>
                        </a:graphic>
                      </wp:inline>
                    </w:drawing>
                  </w:r>
                </w:p>
              </w:tc>
              <w:tc>
                <w:tcPr>
                  <w:tcW w:w="4173" w:type="dxa"/>
                  <w:noWrap/>
                </w:tcPr>
                <w:p>
                  <w:pPr>
                    <w:pStyle w:val="9"/>
                    <w:adjustRightInd w:val="0"/>
                    <w:spacing w:before="0" w:after="0" w:line="240" w:lineRule="auto"/>
                    <w:ind w:right="0"/>
                  </w:pPr>
                  <w:r>
                    <w:rPr>
                      <w:b/>
                      <w:sz w:val="30"/>
                      <w:szCs w:val="30"/>
                    </w:rPr>
                    <w:drawing>
                      <wp:inline distT="0" distB="0" distL="114300" distR="114300">
                        <wp:extent cx="2544445" cy="2357755"/>
                        <wp:effectExtent l="0" t="0" r="8255" b="4445"/>
                        <wp:docPr id="13" name="图片 19" descr="微信图片_202010271524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微信图片_2020102715245610"/>
                                <pic:cNvPicPr>
                                  <a:picLocks noChangeAspect="1"/>
                                </pic:cNvPicPr>
                              </pic:nvPicPr>
                              <pic:blipFill>
                                <a:blip r:embed="rId21"/>
                                <a:stretch>
                                  <a:fillRect/>
                                </a:stretch>
                              </pic:blipFill>
                              <pic:spPr>
                                <a:xfrm>
                                  <a:off x="0" y="0"/>
                                  <a:ext cx="2544445" cy="23577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tcPr>
                <w:p>
                  <w:pPr>
                    <w:pStyle w:val="9"/>
                    <w:adjustRightInd w:val="0"/>
                    <w:spacing w:before="0" w:after="0" w:line="240" w:lineRule="auto"/>
                    <w:ind w:right="0"/>
                    <w:jc w:val="center"/>
                    <w:rPr>
                      <w:sz w:val="21"/>
                      <w:szCs w:val="21"/>
                    </w:rPr>
                  </w:pPr>
                  <w:r>
                    <w:rPr>
                      <w:sz w:val="21"/>
                      <w:szCs w:val="21"/>
                    </w:rPr>
                    <w:t>坝址现状</w:t>
                  </w:r>
                </w:p>
              </w:tc>
              <w:tc>
                <w:tcPr>
                  <w:tcW w:w="4173" w:type="dxa"/>
                  <w:noWrap/>
                </w:tcPr>
                <w:p>
                  <w:pPr>
                    <w:pStyle w:val="9"/>
                    <w:adjustRightInd w:val="0"/>
                    <w:spacing w:before="0" w:after="0" w:line="240" w:lineRule="auto"/>
                    <w:ind w:right="0"/>
                    <w:jc w:val="center"/>
                  </w:pPr>
                  <w:r>
                    <w:rPr>
                      <w:sz w:val="21"/>
                      <w:szCs w:val="21"/>
                    </w:rPr>
                    <w:t>左坝肩后坡排水渠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3" w:type="dxa"/>
                  <w:noWrap/>
                </w:tcPr>
                <w:p>
                  <w:pPr>
                    <w:pStyle w:val="9"/>
                    <w:adjustRightInd w:val="0"/>
                    <w:spacing w:before="0" w:after="0" w:line="240" w:lineRule="auto"/>
                    <w:ind w:right="0"/>
                  </w:pPr>
                  <w:r>
                    <w:rPr>
                      <w:b/>
                    </w:rPr>
                    <w:drawing>
                      <wp:inline distT="0" distB="0" distL="114300" distR="114300">
                        <wp:extent cx="2562225" cy="2221865"/>
                        <wp:effectExtent l="0" t="0" r="9525" b="6985"/>
                        <wp:docPr id="14" name="图片 90" descr="微信图片_202304041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0" descr="微信图片_20230404112336"/>
                                <pic:cNvPicPr>
                                  <a:picLocks noChangeAspect="1"/>
                                </pic:cNvPicPr>
                              </pic:nvPicPr>
                              <pic:blipFill>
                                <a:blip r:embed="rId22"/>
                                <a:srcRect t="8519" b="9419"/>
                                <a:stretch>
                                  <a:fillRect/>
                                </a:stretch>
                              </pic:blipFill>
                              <pic:spPr>
                                <a:xfrm>
                                  <a:off x="0" y="0"/>
                                  <a:ext cx="2562225" cy="2221865"/>
                                </a:xfrm>
                                <a:prstGeom prst="rect">
                                  <a:avLst/>
                                </a:prstGeom>
                                <a:noFill/>
                                <a:ln>
                                  <a:noFill/>
                                </a:ln>
                              </pic:spPr>
                            </pic:pic>
                          </a:graphicData>
                        </a:graphic>
                      </wp:inline>
                    </w:drawing>
                  </w:r>
                </w:p>
              </w:tc>
              <w:tc>
                <w:tcPr>
                  <w:tcW w:w="4173" w:type="dxa"/>
                  <w:noWrap/>
                </w:tcPr>
                <w:p>
                  <w:pPr>
                    <w:pStyle w:val="9"/>
                    <w:adjustRightInd w:val="0"/>
                    <w:spacing w:before="0" w:after="0" w:line="240" w:lineRule="auto"/>
                    <w:ind w:right="0"/>
                  </w:pPr>
                  <w:r>
                    <w:drawing>
                      <wp:inline distT="0" distB="0" distL="114300" distR="114300">
                        <wp:extent cx="2539365" cy="2216785"/>
                        <wp:effectExtent l="0" t="0" r="13335" b="12065"/>
                        <wp:docPr id="15" name="图片 124" descr="DJI_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4" descr="DJI_0541"/>
                                <pic:cNvPicPr>
                                  <a:picLocks noChangeAspect="1"/>
                                </pic:cNvPicPr>
                              </pic:nvPicPr>
                              <pic:blipFill>
                                <a:blip r:embed="rId23"/>
                                <a:stretch>
                                  <a:fillRect/>
                                </a:stretch>
                              </pic:blipFill>
                              <pic:spPr>
                                <a:xfrm>
                                  <a:off x="0" y="0"/>
                                  <a:ext cx="2539365" cy="22167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3" w:type="dxa"/>
                  <w:noWrap/>
                </w:tcPr>
                <w:p>
                  <w:pPr>
                    <w:pStyle w:val="9"/>
                    <w:adjustRightInd w:val="0"/>
                    <w:spacing w:before="0" w:after="0" w:line="240" w:lineRule="auto"/>
                    <w:ind w:right="0"/>
                    <w:jc w:val="center"/>
                    <w:rPr>
                      <w:sz w:val="21"/>
                      <w:szCs w:val="21"/>
                    </w:rPr>
                  </w:pPr>
                  <w:r>
                    <w:rPr>
                      <w:sz w:val="21"/>
                      <w:szCs w:val="21"/>
                    </w:rPr>
                    <w:t>坝前坡现状</w:t>
                  </w:r>
                </w:p>
              </w:tc>
              <w:tc>
                <w:tcPr>
                  <w:tcW w:w="4173" w:type="dxa"/>
                  <w:noWrap/>
                </w:tcPr>
                <w:p>
                  <w:pPr>
                    <w:pStyle w:val="9"/>
                    <w:adjustRightInd w:val="0"/>
                    <w:spacing w:before="0" w:after="0" w:line="240" w:lineRule="auto"/>
                    <w:ind w:right="0"/>
                    <w:jc w:val="center"/>
                    <w:rPr>
                      <w:sz w:val="21"/>
                      <w:szCs w:val="21"/>
                    </w:rPr>
                  </w:pPr>
                  <w:r>
                    <w:rPr>
                      <w:sz w:val="21"/>
                      <w:szCs w:val="21"/>
                    </w:rPr>
                    <w:t>坝后坡现状</w:t>
                  </w:r>
                </w:p>
              </w:tc>
            </w:tr>
          </w:tbl>
          <w:p>
            <w:pPr>
              <w:pStyle w:val="9"/>
              <w:snapToGrid/>
              <w:spacing w:before="0" w:after="0" w:line="240" w:lineRule="auto"/>
              <w:ind w:right="0"/>
              <w:jc w:val="center"/>
              <w:rPr>
                <w:rFonts w:eastAsia="黑体"/>
                <w:sz w:val="24"/>
              </w:rPr>
            </w:pPr>
            <w:r>
              <w:rPr>
                <w:rFonts w:eastAsia="黑体"/>
                <w:sz w:val="24"/>
              </w:rPr>
              <w:t>图2-1  项目现状情况</w:t>
            </w:r>
          </w:p>
          <w:p>
            <w:pPr>
              <w:widowControl/>
              <w:spacing w:before="240" w:after="60"/>
              <w:rPr>
                <w:rFonts w:eastAsia="黑体"/>
                <w:kern w:val="0"/>
                <w:sz w:val="24"/>
              </w:rPr>
            </w:pPr>
            <w:r>
              <w:rPr>
                <w:rFonts w:eastAsia="黑体"/>
                <w:kern w:val="0"/>
                <w:sz w:val="24"/>
              </w:rPr>
              <w:t>2、工程建设任务</w:t>
            </w:r>
          </w:p>
          <w:p>
            <w:pPr>
              <w:ind w:firstLine="510" w:firstLineChars="200"/>
              <w:rPr>
                <w:sz w:val="24"/>
              </w:rPr>
            </w:pPr>
            <w:r>
              <w:rPr>
                <w:sz w:val="24"/>
              </w:rPr>
              <w:t>本项目通过对雅石沟水库坝体维修加固、泄洪建筑物维修加固，保障水库防洪泄洪运行安全，本工程规模为中型水库，工程等别为Ⅲ等，主要建筑物为3级建筑物，次要建筑物为4级，设计洪水重现期为50年一遇。校核洪水重现期采用1000年一遇。</w:t>
            </w:r>
          </w:p>
          <w:p>
            <w:pPr>
              <w:widowControl/>
              <w:spacing w:before="240" w:after="60"/>
              <w:rPr>
                <w:rFonts w:eastAsia="黑体"/>
                <w:kern w:val="0"/>
                <w:sz w:val="24"/>
              </w:rPr>
            </w:pPr>
            <w:r>
              <w:rPr>
                <w:rFonts w:hint="eastAsia" w:eastAsia="黑体"/>
                <w:kern w:val="0"/>
                <w:sz w:val="24"/>
              </w:rPr>
              <w:t>3</w:t>
            </w:r>
            <w:r>
              <w:rPr>
                <w:rFonts w:eastAsia="黑体"/>
                <w:kern w:val="0"/>
                <w:sz w:val="24"/>
              </w:rPr>
              <w:t>、运行方式</w:t>
            </w:r>
          </w:p>
          <w:p>
            <w:pPr>
              <w:ind w:firstLine="510" w:firstLineChars="200"/>
              <w:rPr>
                <w:sz w:val="24"/>
              </w:rPr>
            </w:pPr>
            <w:r>
              <w:rPr>
                <w:sz w:val="24"/>
              </w:rPr>
              <w:t>水库运行方式为蓄清排洪，至设计水平年时水库汛期按正常蓄水水位运行，遇超标洪水时及时泄洪，当水位回落至正常水位时及时蓄水。水库按设计的正常蓄水位运行，最大限度</w:t>
            </w:r>
            <w:r>
              <w:rPr>
                <w:rFonts w:hint="eastAsia"/>
                <w:sz w:val="24"/>
              </w:rPr>
              <w:t>地</w:t>
            </w:r>
            <w:r>
              <w:rPr>
                <w:sz w:val="24"/>
              </w:rPr>
              <w:t>蓄水，以期发挥最大效益。</w:t>
            </w:r>
          </w:p>
          <w:p>
            <w:pPr>
              <w:widowControl/>
              <w:tabs>
                <w:tab w:val="left" w:pos="5189"/>
              </w:tabs>
              <w:spacing w:before="240" w:after="60"/>
              <w:rPr>
                <w:rFonts w:eastAsia="黑体"/>
                <w:kern w:val="0"/>
                <w:sz w:val="24"/>
              </w:rPr>
            </w:pPr>
            <w:r>
              <w:rPr>
                <w:rFonts w:hint="eastAsia" w:eastAsia="黑体"/>
                <w:kern w:val="0"/>
                <w:sz w:val="24"/>
              </w:rPr>
              <w:t>4</w:t>
            </w:r>
            <w:r>
              <w:rPr>
                <w:rFonts w:eastAsia="黑体"/>
                <w:kern w:val="0"/>
                <w:sz w:val="24"/>
              </w:rPr>
              <w:t>、项目主要建设内容</w:t>
            </w:r>
            <w:r>
              <w:rPr>
                <w:rFonts w:hint="eastAsia" w:eastAsia="黑体"/>
                <w:kern w:val="0"/>
                <w:sz w:val="24"/>
              </w:rPr>
              <w:tab/>
            </w:r>
          </w:p>
          <w:p>
            <w:pPr>
              <w:pStyle w:val="22"/>
              <w:spacing w:line="240" w:lineRule="auto"/>
              <w:ind w:left="0" w:leftChars="0" w:firstLine="550" w:firstLineChars="200"/>
            </w:pPr>
            <w:r>
              <w:t>项目主要由主体工程、辅助工程、依托工程、临时工程、环保工程等组成具体项目组成见表2-1。</w:t>
            </w:r>
          </w:p>
          <w:p>
            <w:pPr>
              <w:adjustRightInd w:val="0"/>
              <w:snapToGrid w:val="0"/>
              <w:jc w:val="center"/>
              <w:rPr>
                <w:rFonts w:eastAsia="黑体"/>
                <w:sz w:val="24"/>
              </w:rPr>
            </w:pPr>
            <w:r>
              <w:rPr>
                <w:rFonts w:eastAsia="黑体"/>
                <w:sz w:val="24"/>
              </w:rPr>
              <w:t>表2-1  本项目主要工程内容一览表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3"/>
              <w:gridCol w:w="585"/>
              <w:gridCol w:w="690"/>
              <w:gridCol w:w="5716"/>
              <w:gridCol w:w="6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tcBorders>
                    <w:tl2br w:val="nil"/>
                    <w:tr2bl w:val="nil"/>
                  </w:tcBorders>
                  <w:noWrap/>
                  <w:vAlign w:val="center"/>
                </w:tcPr>
                <w:p>
                  <w:pPr>
                    <w:adjustRightInd w:val="0"/>
                    <w:snapToGrid w:val="0"/>
                    <w:jc w:val="center"/>
                    <w:rPr>
                      <w:b/>
                      <w:bCs/>
                    </w:rPr>
                  </w:pPr>
                  <w:r>
                    <w:rPr>
                      <w:b/>
                      <w:bCs/>
                    </w:rPr>
                    <w:t>工程类别</w:t>
                  </w:r>
                </w:p>
              </w:tc>
              <w:tc>
                <w:tcPr>
                  <w:tcW w:w="766" w:type="pct"/>
                  <w:gridSpan w:val="2"/>
                  <w:tcBorders>
                    <w:tl2br w:val="nil"/>
                    <w:tr2bl w:val="nil"/>
                  </w:tcBorders>
                  <w:noWrap/>
                  <w:vAlign w:val="center"/>
                </w:tcPr>
                <w:p>
                  <w:pPr>
                    <w:adjustRightInd w:val="0"/>
                    <w:snapToGrid w:val="0"/>
                    <w:jc w:val="center"/>
                    <w:rPr>
                      <w:b/>
                      <w:bCs/>
                    </w:rPr>
                  </w:pPr>
                  <w:r>
                    <w:rPr>
                      <w:b/>
                      <w:bCs/>
                    </w:rPr>
                    <w:t>工程</w:t>
                  </w:r>
                </w:p>
                <w:p>
                  <w:pPr>
                    <w:adjustRightInd w:val="0"/>
                    <w:snapToGrid w:val="0"/>
                    <w:jc w:val="center"/>
                    <w:rPr>
                      <w:b/>
                      <w:bCs/>
                    </w:rPr>
                  </w:pPr>
                  <w:r>
                    <w:rPr>
                      <w:b/>
                      <w:bCs/>
                    </w:rPr>
                    <w:t>名称</w:t>
                  </w:r>
                </w:p>
              </w:tc>
              <w:tc>
                <w:tcPr>
                  <w:tcW w:w="3436" w:type="pct"/>
                  <w:tcBorders>
                    <w:tl2br w:val="nil"/>
                    <w:tr2bl w:val="nil"/>
                  </w:tcBorders>
                  <w:noWrap/>
                  <w:vAlign w:val="center"/>
                </w:tcPr>
                <w:p>
                  <w:pPr>
                    <w:adjustRightInd w:val="0"/>
                    <w:snapToGrid w:val="0"/>
                    <w:jc w:val="center"/>
                    <w:rPr>
                      <w:b/>
                      <w:bCs/>
                    </w:rPr>
                  </w:pPr>
                  <w:r>
                    <w:rPr>
                      <w:b/>
                      <w:bCs/>
                    </w:rPr>
                    <w:t>主要内容</w:t>
                  </w:r>
                </w:p>
              </w:tc>
              <w:tc>
                <w:tcPr>
                  <w:tcW w:w="380" w:type="pct"/>
                  <w:tcBorders>
                    <w:tl2br w:val="nil"/>
                    <w:tr2bl w:val="nil"/>
                  </w:tcBorders>
                  <w:noWrap/>
                  <w:vAlign w:val="center"/>
                </w:tcPr>
                <w:p>
                  <w:pPr>
                    <w:adjustRightInd w:val="0"/>
                    <w:snapToGrid w:val="0"/>
                    <w:jc w:val="center"/>
                    <w:rPr>
                      <w:b/>
                      <w:bCs/>
                    </w:rPr>
                  </w:pPr>
                  <w:r>
                    <w:rPr>
                      <w:b/>
                      <w:bC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restart"/>
                  <w:tcBorders>
                    <w:tl2br w:val="nil"/>
                    <w:tr2bl w:val="nil"/>
                  </w:tcBorders>
                  <w:noWrap/>
                  <w:vAlign w:val="center"/>
                </w:tcPr>
                <w:p>
                  <w:pPr>
                    <w:adjustRightInd w:val="0"/>
                    <w:snapToGrid w:val="0"/>
                    <w:jc w:val="center"/>
                  </w:pPr>
                  <w:r>
                    <w:rPr>
                      <w:b/>
                      <w:bCs/>
                    </w:rPr>
                    <w:t>主体工程</w:t>
                  </w:r>
                </w:p>
              </w:tc>
              <w:tc>
                <w:tcPr>
                  <w:tcW w:w="1276" w:type="dxa"/>
                  <w:gridSpan w:val="2"/>
                  <w:tcBorders>
                    <w:tl2br w:val="nil"/>
                    <w:tr2bl w:val="nil"/>
                  </w:tcBorders>
                  <w:noWrap/>
                  <w:vAlign w:val="center"/>
                </w:tcPr>
                <w:p>
                  <w:pPr>
                    <w:adjustRightInd w:val="0"/>
                    <w:snapToGrid w:val="0"/>
                    <w:jc w:val="center"/>
                  </w:pPr>
                  <w:r>
                    <w:t>坝顶路面硬化改造</w:t>
                  </w:r>
                </w:p>
              </w:tc>
              <w:tc>
                <w:tcPr>
                  <w:tcW w:w="5714" w:type="dxa"/>
                  <w:tcBorders>
                    <w:tl2br w:val="nil"/>
                    <w:tr2bl w:val="nil"/>
                  </w:tcBorders>
                  <w:noWrap/>
                  <w:vAlign w:val="center"/>
                </w:tcPr>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现状坝顶宽度为6.0m的土路，两侧设置防撞栏杆，路面净宽5.0m，长度380m，拆除原坝顶路面两侧栏杆、坝顶护角；</w:t>
                  </w:r>
                </w:p>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对坝顶进行清基，清基厚度为0.3m；</w:t>
                  </w:r>
                </w:p>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对坝体进行填筑，填筑土料为黄土；</w:t>
                  </w:r>
                </w:p>
                <w:p>
                  <w:pPr>
                    <w:pStyle w:val="6"/>
                    <w:adjustRightInd w:val="0"/>
                    <w:snapToGrid w:val="0"/>
                    <w:spacing w:line="240" w:lineRule="auto"/>
                    <w:ind w:firstLine="452"/>
                    <w:rPr>
                      <w:rFonts w:ascii="Times New Roman" w:hAnsi="Times New Roman"/>
                    </w:rPr>
                  </w:pPr>
                  <w:r>
                    <w:rPr>
                      <w:rFonts w:ascii="Times New Roman" w:hAnsi="Times New Roman"/>
                      <w:sz w:val="21"/>
                      <w:szCs w:val="21"/>
                    </w:rPr>
                    <w:t>待填筑土方工作完成，对坝顶防汛路面进行硬化。从上至下依次采用6cm厚AC-20C中粒式沥青混凝土+20cm厚水泥稳定碎石（5%）+20cm厚级配砂砾。为防止雨水对路面造成冲刷破坏，路面右侧（后坝坡）设置0.5mC30混凝土压顶，待路面完成硬化工作后，已拆除防撞栏杆继续利用。前坝坡防护围栏已破损，本次拆除重建，长度400m。</w:t>
                  </w:r>
                </w:p>
              </w:tc>
              <w:tc>
                <w:tcPr>
                  <w:tcW w:w="380" w:type="pct"/>
                  <w:tcBorders>
                    <w:tl2br w:val="nil"/>
                    <w:tr2bl w:val="nil"/>
                  </w:tcBorders>
                  <w:noWrap/>
                  <w:vAlign w:val="center"/>
                </w:tcPr>
                <w:p>
                  <w:pPr>
                    <w:pStyle w:val="6"/>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1276" w:type="dxa"/>
                  <w:gridSpan w:val="2"/>
                  <w:tcBorders>
                    <w:tl2br w:val="nil"/>
                    <w:tr2bl w:val="nil"/>
                  </w:tcBorders>
                  <w:noWrap/>
                  <w:vAlign w:val="center"/>
                </w:tcPr>
                <w:p>
                  <w:pPr>
                    <w:adjustRightInd w:val="0"/>
                    <w:snapToGrid w:val="0"/>
                    <w:jc w:val="center"/>
                  </w:pPr>
                  <w:r>
                    <w:t>坝体加固</w:t>
                  </w:r>
                </w:p>
              </w:tc>
              <w:tc>
                <w:tcPr>
                  <w:tcW w:w="5714" w:type="dxa"/>
                  <w:tcBorders>
                    <w:tl2br w:val="nil"/>
                    <w:tr2bl w:val="nil"/>
                  </w:tcBorders>
                  <w:noWrap/>
                  <w:vAlign w:val="center"/>
                </w:tcPr>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主坝（桩号0+000.00~0+358.70段）后坝坡进行加宽培厚，距离坝顶以下6.5m进行加宽，宽度7m，同时设置现浇C25混凝土排水边沟，坡比为1:3.5，设置3级马道，马道宽度2.5m，为防止雨水冲刷每级马道都设置排水边沟，同时对马道进行硬化处理。</w:t>
                  </w:r>
                </w:p>
                <w:p>
                  <w:pPr>
                    <w:pStyle w:val="11"/>
                    <w:adjustRightInd w:val="0"/>
                    <w:snapToGrid w:val="0"/>
                    <w:spacing w:after="0"/>
                    <w:ind w:left="0" w:leftChars="0" w:firstLine="450" w:firstLineChars="200"/>
                  </w:pPr>
                  <w:r>
                    <w:t>后坝坡修复主要采用格梁条结合草皮护坡的措施，格梁条（250x300mm）为现浇C25混凝土。设置C25混凝土台阶。</w:t>
                  </w:r>
                </w:p>
                <w:p>
                  <w:pPr>
                    <w:pStyle w:val="11"/>
                    <w:adjustRightInd w:val="0"/>
                    <w:snapToGrid w:val="0"/>
                    <w:spacing w:after="0"/>
                    <w:ind w:left="0" w:leftChars="0" w:firstLine="450" w:firstLineChars="200"/>
                  </w:pPr>
                  <w:r>
                    <w:t>后坝坡坡脚处设置贴面排水+棱体排水。贴坡排水为0.3m干砌石+土工布，与棱体排水相接。排水反滤设计顶高程为1592.20m，反滤体顶宽1.5m，以保护下游棱体排水及坡脚稳定。改造坝后排水沟 1.76公里，为现浇混凝土结构。新建后坝坡排水体60米，采用贴坡排水+棱体排水结构型式。</w:t>
                  </w:r>
                </w:p>
              </w:tc>
              <w:tc>
                <w:tcPr>
                  <w:tcW w:w="380" w:type="pct"/>
                  <w:tcBorders>
                    <w:tl2br w:val="nil"/>
                    <w:tr2bl w:val="nil"/>
                  </w:tcBorders>
                  <w:noWrap/>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1276" w:type="dxa"/>
                  <w:gridSpan w:val="2"/>
                  <w:tcBorders>
                    <w:tl2br w:val="nil"/>
                    <w:tr2bl w:val="nil"/>
                  </w:tcBorders>
                  <w:noWrap/>
                  <w:vAlign w:val="center"/>
                </w:tcPr>
                <w:p>
                  <w:pPr>
                    <w:adjustRightInd w:val="0"/>
                    <w:snapToGrid w:val="0"/>
                    <w:jc w:val="center"/>
                  </w:pPr>
                  <w:r>
                    <w:t>建筑物改造</w:t>
                  </w:r>
                </w:p>
              </w:tc>
              <w:tc>
                <w:tcPr>
                  <w:tcW w:w="5714" w:type="dxa"/>
                  <w:tcBorders>
                    <w:tl2br w:val="nil"/>
                    <w:tr2bl w:val="nil"/>
                  </w:tcBorders>
                  <w:noWrap/>
                  <w:vAlign w:val="center"/>
                </w:tcPr>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溢洪道进口、两岸边坡进行防护，采用C30混凝土现浇，进口面层铺直径12@150钢筋网。</w:t>
                  </w:r>
                </w:p>
                <w:p>
                  <w:pPr>
                    <w:pStyle w:val="11"/>
                    <w:adjustRightInd w:val="0"/>
                    <w:snapToGrid w:val="0"/>
                    <w:spacing w:after="0"/>
                    <w:ind w:left="0" w:leftChars="0" w:firstLine="450" w:firstLineChars="200"/>
                  </w:pPr>
                  <w:r>
                    <w:t>改造溢洪道进口浆砌石段，采用钢筋混凝土结构，长度50米，为八字墙型式。拆除重建泄水槽损毁段100米，溢洪道明渠以及泄槽边墙进行拆除重建，采用C30混凝土现浇；对溢洪道原消力坎进行拆除重建，新建第一道消力坎高度为1.5m，同时在下游新增第二道消力坎，高度为0.7m，两道消力坎长均为5m。</w:t>
                  </w:r>
                </w:p>
                <w:p>
                  <w:pPr>
                    <w:pStyle w:val="11"/>
                    <w:adjustRightInd w:val="0"/>
                    <w:snapToGrid w:val="0"/>
                    <w:spacing w:after="0"/>
                    <w:ind w:left="0" w:leftChars="0" w:firstLine="450" w:firstLineChars="200"/>
                  </w:pPr>
                  <w:r>
                    <w:t>对卧管输水涵洞内壁进行衬砌修补。</w:t>
                  </w:r>
                </w:p>
              </w:tc>
              <w:tc>
                <w:tcPr>
                  <w:tcW w:w="380" w:type="pct"/>
                  <w:tcBorders>
                    <w:tl2br w:val="nil"/>
                    <w:tr2bl w:val="nil"/>
                  </w:tcBorders>
                  <w:noWrap/>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restart"/>
                  <w:tcBorders>
                    <w:tl2br w:val="nil"/>
                    <w:tr2bl w:val="nil"/>
                  </w:tcBorders>
                  <w:noWrap/>
                  <w:vAlign w:val="center"/>
                </w:tcPr>
                <w:p>
                  <w:pPr>
                    <w:adjustRightInd w:val="0"/>
                    <w:snapToGrid w:val="0"/>
                    <w:jc w:val="center"/>
                    <w:rPr>
                      <w:b/>
                      <w:bCs/>
                    </w:rPr>
                  </w:pPr>
                  <w:r>
                    <w:rPr>
                      <w:b/>
                      <w:bCs/>
                    </w:rPr>
                    <w:t>临时工程</w:t>
                  </w:r>
                </w:p>
              </w:tc>
              <w:tc>
                <w:tcPr>
                  <w:tcW w:w="766" w:type="pct"/>
                  <w:gridSpan w:val="2"/>
                  <w:tcBorders>
                    <w:tl2br w:val="nil"/>
                    <w:tr2bl w:val="nil"/>
                  </w:tcBorders>
                  <w:noWrap/>
                  <w:vAlign w:val="center"/>
                </w:tcPr>
                <w:p>
                  <w:pPr>
                    <w:adjustRightInd w:val="0"/>
                    <w:snapToGrid w:val="0"/>
                    <w:jc w:val="center"/>
                  </w:pPr>
                  <w:r>
                    <w:t>临时取土场</w:t>
                  </w:r>
                </w:p>
              </w:tc>
              <w:tc>
                <w:tcPr>
                  <w:tcW w:w="3436" w:type="pct"/>
                  <w:tcBorders>
                    <w:tl2br w:val="nil"/>
                    <w:tr2bl w:val="nil"/>
                  </w:tcBorders>
                  <w:noWrap/>
                  <w:vAlign w:val="center"/>
                </w:tcPr>
                <w:p>
                  <w:pPr>
                    <w:adjustRightInd w:val="0"/>
                    <w:snapToGrid w:val="0"/>
                    <w:ind w:firstLine="450" w:firstLineChars="200"/>
                  </w:pPr>
                  <w:r>
                    <w:t>临时取土场占地</w:t>
                  </w:r>
                  <w:r>
                    <w:rPr>
                      <w:kern w:val="0"/>
                      <w:szCs w:val="21"/>
                    </w:rPr>
                    <w:t>51992.74</w:t>
                  </w:r>
                  <w:r>
                    <w:t>m</w:t>
                  </w:r>
                  <w:r>
                    <w:rPr>
                      <w:vertAlign w:val="superscript"/>
                    </w:rPr>
                    <w:t>2</w:t>
                  </w:r>
                  <w:r>
                    <w:t>，取土量</w:t>
                  </w:r>
                  <w:r>
                    <w:rPr>
                      <w:kern w:val="0"/>
                      <w:szCs w:val="21"/>
                    </w:rPr>
                    <w:t>203599.98m</w:t>
                  </w:r>
                  <w:r>
                    <w:rPr>
                      <w:kern w:val="0"/>
                      <w:szCs w:val="21"/>
                      <w:vertAlign w:val="superscript"/>
                    </w:rPr>
                    <w:t>3</w:t>
                  </w:r>
                  <w:r>
                    <w:rPr>
                      <w:kern w:val="0"/>
                      <w:szCs w:val="21"/>
                    </w:rPr>
                    <w:t>，</w:t>
                  </w:r>
                  <w:r>
                    <w:t>位于水库下游西南侧，</w:t>
                  </w:r>
                  <w:r>
                    <w:rPr>
                      <w:bCs/>
                      <w:szCs w:val="21"/>
                    </w:rPr>
                    <w:t>有便道通至坝址，开采运输便利；</w:t>
                  </w:r>
                  <w:r>
                    <w:t>取土结束后，对其临时占地进行</w:t>
                  </w:r>
                  <w:r>
                    <w:rPr>
                      <w:kern w:val="0"/>
                    </w:rPr>
                    <w:t>机械</w:t>
                  </w:r>
                  <w:r>
                    <w:t>土地整治、植被恢复，逐渐恢复其原有水土保持功能。</w:t>
                  </w:r>
                </w:p>
              </w:tc>
              <w:tc>
                <w:tcPr>
                  <w:tcW w:w="380" w:type="pct"/>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766" w:type="pct"/>
                  <w:gridSpan w:val="2"/>
                  <w:tcBorders>
                    <w:tl2br w:val="nil"/>
                    <w:tr2bl w:val="nil"/>
                  </w:tcBorders>
                  <w:noWrap/>
                  <w:vAlign w:val="center"/>
                </w:tcPr>
                <w:p>
                  <w:pPr>
                    <w:adjustRightInd w:val="0"/>
                    <w:snapToGrid w:val="0"/>
                    <w:jc w:val="center"/>
                  </w:pPr>
                  <w:r>
                    <w:t>施工生产生活区</w:t>
                  </w:r>
                </w:p>
              </w:tc>
              <w:tc>
                <w:tcPr>
                  <w:tcW w:w="3436" w:type="pct"/>
                  <w:tcBorders>
                    <w:tl2br w:val="nil"/>
                    <w:tr2bl w:val="nil"/>
                  </w:tcBorders>
                  <w:noWrap/>
                  <w:vAlign w:val="center"/>
                </w:tcPr>
                <w:p>
                  <w:pPr>
                    <w:adjustRightInd w:val="0"/>
                    <w:snapToGrid w:val="0"/>
                    <w:ind w:firstLine="450" w:firstLineChars="200"/>
                  </w:pPr>
                  <w:r>
                    <w:t>本项目施工生产生活区临时占地3200m</w:t>
                  </w:r>
                  <w:r>
                    <w:rPr>
                      <w:vertAlign w:val="superscript"/>
                    </w:rPr>
                    <w:t>2</w:t>
                  </w:r>
                  <w:r>
                    <w:t>，施工人员生活设施依托水库管理房和周围民房，场地内设置施工材料临时堆场。</w:t>
                  </w:r>
                </w:p>
              </w:tc>
              <w:tc>
                <w:tcPr>
                  <w:tcW w:w="380" w:type="pct"/>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766" w:type="pct"/>
                  <w:gridSpan w:val="2"/>
                  <w:tcBorders>
                    <w:tl2br w:val="nil"/>
                    <w:tr2bl w:val="nil"/>
                  </w:tcBorders>
                  <w:noWrap/>
                  <w:vAlign w:val="center"/>
                </w:tcPr>
                <w:p>
                  <w:pPr>
                    <w:adjustRightInd w:val="0"/>
                    <w:snapToGrid w:val="0"/>
                    <w:jc w:val="center"/>
                  </w:pPr>
                  <w:r>
                    <w:t>施工道路</w:t>
                  </w:r>
                </w:p>
              </w:tc>
              <w:tc>
                <w:tcPr>
                  <w:tcW w:w="3436" w:type="pct"/>
                  <w:tcBorders>
                    <w:tl2br w:val="nil"/>
                    <w:tr2bl w:val="nil"/>
                  </w:tcBorders>
                  <w:noWrap/>
                  <w:vAlign w:val="center"/>
                </w:tcPr>
                <w:p>
                  <w:pPr>
                    <w:adjustRightInd w:val="0"/>
                    <w:snapToGrid w:val="0"/>
                    <w:ind w:firstLine="450" w:firstLineChars="200"/>
                  </w:pPr>
                  <w:r>
                    <w:t>本项目施工期依托现有道路。</w:t>
                  </w:r>
                </w:p>
              </w:tc>
              <w:tc>
                <w:tcPr>
                  <w:tcW w:w="380" w:type="pct"/>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766" w:type="pct"/>
                  <w:gridSpan w:val="2"/>
                  <w:tcBorders>
                    <w:tl2br w:val="nil"/>
                    <w:tr2bl w:val="nil"/>
                  </w:tcBorders>
                  <w:noWrap/>
                  <w:vAlign w:val="center"/>
                </w:tcPr>
                <w:p>
                  <w:pPr>
                    <w:adjustRightInd w:val="0"/>
                    <w:snapToGrid w:val="0"/>
                    <w:jc w:val="center"/>
                  </w:pPr>
                  <w:r>
                    <w:t>坝体施工作业面</w:t>
                  </w:r>
                </w:p>
              </w:tc>
              <w:tc>
                <w:tcPr>
                  <w:tcW w:w="3436" w:type="pct"/>
                  <w:tcBorders>
                    <w:tl2br w:val="nil"/>
                    <w:tr2bl w:val="nil"/>
                  </w:tcBorders>
                  <w:noWrap/>
                  <w:vAlign w:val="center"/>
                </w:tcPr>
                <w:p>
                  <w:pPr>
                    <w:adjustRightInd w:val="0"/>
                    <w:snapToGrid w:val="0"/>
                    <w:ind w:firstLine="450" w:firstLineChars="200"/>
                  </w:pPr>
                  <w:r>
                    <w:t>坝体施工作业面占地</w:t>
                  </w:r>
                  <w:r>
                    <w:rPr>
                      <w:kern w:val="0"/>
                      <w:szCs w:val="21"/>
                    </w:rPr>
                    <w:t>22193.3</w:t>
                  </w:r>
                  <w:r>
                    <w:t>m</w:t>
                  </w:r>
                  <w:r>
                    <w:rPr>
                      <w:vertAlign w:val="superscript"/>
                    </w:rPr>
                    <w:t>2</w:t>
                  </w:r>
                  <w:r>
                    <w:t>。</w:t>
                  </w:r>
                </w:p>
              </w:tc>
              <w:tc>
                <w:tcPr>
                  <w:tcW w:w="380" w:type="pct"/>
                  <w:tcBorders>
                    <w:tl2br w:val="nil"/>
                    <w:tr2bl w:val="nil"/>
                  </w:tcBorders>
                  <w:noWrap/>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restart"/>
                  <w:tcBorders>
                    <w:tl2br w:val="nil"/>
                    <w:tr2bl w:val="nil"/>
                  </w:tcBorders>
                  <w:noWrap/>
                  <w:vAlign w:val="center"/>
                </w:tcPr>
                <w:p>
                  <w:pPr>
                    <w:adjustRightInd w:val="0"/>
                    <w:snapToGrid w:val="0"/>
                    <w:jc w:val="center"/>
                    <w:rPr>
                      <w:b/>
                      <w:bCs/>
                    </w:rPr>
                  </w:pPr>
                  <w:r>
                    <w:rPr>
                      <w:b/>
                      <w:bCs/>
                    </w:rPr>
                    <w:t>公用工程</w:t>
                  </w:r>
                </w:p>
              </w:tc>
              <w:tc>
                <w:tcPr>
                  <w:tcW w:w="766" w:type="pct"/>
                  <w:gridSpan w:val="2"/>
                  <w:vMerge w:val="restart"/>
                  <w:tcBorders>
                    <w:tl2br w:val="nil"/>
                    <w:tr2bl w:val="nil"/>
                  </w:tcBorders>
                  <w:noWrap/>
                  <w:vAlign w:val="center"/>
                </w:tcPr>
                <w:p>
                  <w:pPr>
                    <w:adjustRightInd w:val="0"/>
                    <w:snapToGrid w:val="0"/>
                    <w:jc w:val="center"/>
                  </w:pPr>
                  <w:r>
                    <w:t>供水</w:t>
                  </w:r>
                </w:p>
              </w:tc>
              <w:tc>
                <w:tcPr>
                  <w:tcW w:w="5714" w:type="dxa"/>
                  <w:tcBorders>
                    <w:tl2br w:val="nil"/>
                    <w:tr2bl w:val="nil"/>
                  </w:tcBorders>
                  <w:noWrap/>
                  <w:vAlign w:val="center"/>
                </w:tcPr>
                <w:p>
                  <w:pPr>
                    <w:adjustRightInd w:val="0"/>
                    <w:snapToGrid w:val="0"/>
                    <w:ind w:firstLine="450" w:firstLineChars="200"/>
                  </w:pPr>
                  <w:r>
                    <w:t>施工期用水主要为施工人员生活用水（7.20m</w:t>
                  </w:r>
                  <w:r>
                    <w:rPr>
                      <w:vertAlign w:val="superscript"/>
                    </w:rPr>
                    <w:t>3</w:t>
                  </w:r>
                  <w:r>
                    <w:t>/d）及施工用水。</w:t>
                  </w:r>
                </w:p>
                <w:p>
                  <w:pPr>
                    <w:adjustRightInd w:val="0"/>
                    <w:snapToGrid w:val="0"/>
                    <w:ind w:firstLine="450" w:firstLineChars="200"/>
                  </w:pPr>
                  <w:r>
                    <w:t>施工人员生活用水依托附近村庄居民用水，施工用水为项目区河道长流水。</w:t>
                  </w:r>
                </w:p>
              </w:tc>
              <w:tc>
                <w:tcPr>
                  <w:tcW w:w="380" w:type="pct"/>
                  <w:vMerge w:val="restart"/>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766" w:type="pct"/>
                  <w:gridSpan w:val="2"/>
                  <w:vMerge w:val="continue"/>
                  <w:tcBorders>
                    <w:tl2br w:val="nil"/>
                    <w:tr2bl w:val="nil"/>
                  </w:tcBorders>
                  <w:noWrap/>
                  <w:vAlign w:val="center"/>
                </w:tcPr>
                <w:p>
                  <w:pPr>
                    <w:adjustRightInd w:val="0"/>
                    <w:snapToGrid w:val="0"/>
                    <w:jc w:val="center"/>
                  </w:pPr>
                </w:p>
              </w:tc>
              <w:tc>
                <w:tcPr>
                  <w:tcW w:w="5714" w:type="dxa"/>
                  <w:tcBorders>
                    <w:tl2br w:val="nil"/>
                    <w:tr2bl w:val="nil"/>
                  </w:tcBorders>
                  <w:noWrap/>
                  <w:vAlign w:val="center"/>
                </w:tcPr>
                <w:p>
                  <w:pPr>
                    <w:adjustRightInd w:val="0"/>
                    <w:snapToGrid w:val="0"/>
                    <w:ind w:firstLine="450" w:firstLineChars="200"/>
                  </w:pPr>
                  <w:r>
                    <w:t>本项目现状管理人员2人，不新增水库管理人员，运营期不新增生活用水。</w:t>
                  </w:r>
                </w:p>
              </w:tc>
              <w:tc>
                <w:tcPr>
                  <w:tcW w:w="380" w:type="pct"/>
                  <w:vMerge w:val="continue"/>
                  <w:tcBorders>
                    <w:tl2br w:val="nil"/>
                    <w:tr2bl w:val="nil"/>
                  </w:tcBorders>
                  <w:noWrap/>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766" w:type="pct"/>
                  <w:gridSpan w:val="2"/>
                  <w:vMerge w:val="restart"/>
                  <w:tcBorders>
                    <w:tl2br w:val="nil"/>
                    <w:tr2bl w:val="nil"/>
                  </w:tcBorders>
                  <w:noWrap/>
                  <w:vAlign w:val="center"/>
                </w:tcPr>
                <w:p>
                  <w:pPr>
                    <w:adjustRightInd w:val="0"/>
                    <w:snapToGrid w:val="0"/>
                    <w:jc w:val="center"/>
                  </w:pPr>
                  <w:r>
                    <w:t>排水</w:t>
                  </w:r>
                </w:p>
              </w:tc>
              <w:tc>
                <w:tcPr>
                  <w:tcW w:w="5714" w:type="dxa"/>
                  <w:tcBorders>
                    <w:tl2br w:val="nil"/>
                    <w:tr2bl w:val="nil"/>
                  </w:tcBorders>
                  <w:noWrap/>
                  <w:vAlign w:val="center"/>
                </w:tcPr>
                <w:p>
                  <w:pPr>
                    <w:adjustRightInd w:val="0"/>
                    <w:snapToGrid w:val="0"/>
                    <w:ind w:firstLine="450" w:firstLineChars="200"/>
                  </w:pPr>
                  <w:r>
                    <w:t>施工期废水主要为施工人员生活污水（5.76m</w:t>
                  </w:r>
                  <w:r>
                    <w:rPr>
                      <w:vertAlign w:val="superscript"/>
                    </w:rPr>
                    <w:t>3</w:t>
                  </w:r>
                  <w:r>
                    <w:t>/d），施工废水经沉淀后回用不外排。</w:t>
                  </w:r>
                </w:p>
                <w:p>
                  <w:pPr>
                    <w:adjustRightInd w:val="0"/>
                    <w:snapToGrid w:val="0"/>
                    <w:ind w:firstLine="450" w:firstLineChars="200"/>
                  </w:pPr>
                  <w:r>
                    <w:t>施工人员生活污水依托附近村庄旱厕，定期清运；洗漱废水用于场区洒水抑尘。</w:t>
                  </w:r>
                </w:p>
              </w:tc>
              <w:tc>
                <w:tcPr>
                  <w:tcW w:w="380" w:type="pct"/>
                  <w:vMerge w:val="restart"/>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766" w:type="pct"/>
                  <w:gridSpan w:val="2"/>
                  <w:vMerge w:val="continue"/>
                  <w:tcBorders>
                    <w:tl2br w:val="nil"/>
                    <w:tr2bl w:val="nil"/>
                  </w:tcBorders>
                  <w:noWrap/>
                  <w:vAlign w:val="center"/>
                </w:tcPr>
                <w:p>
                  <w:pPr>
                    <w:adjustRightInd w:val="0"/>
                    <w:snapToGrid w:val="0"/>
                    <w:jc w:val="center"/>
                  </w:pPr>
                </w:p>
              </w:tc>
              <w:tc>
                <w:tcPr>
                  <w:tcW w:w="3436" w:type="pct"/>
                  <w:tcBorders>
                    <w:tl2br w:val="nil"/>
                    <w:tr2bl w:val="nil"/>
                  </w:tcBorders>
                  <w:noWrap/>
                  <w:vAlign w:val="center"/>
                </w:tcPr>
                <w:p>
                  <w:pPr>
                    <w:adjustRightInd w:val="0"/>
                    <w:snapToGrid w:val="0"/>
                    <w:ind w:firstLine="450" w:firstLineChars="200"/>
                  </w:pPr>
                  <w:r>
                    <w:t>运营期无新增生活污水。</w:t>
                  </w:r>
                </w:p>
              </w:tc>
              <w:tc>
                <w:tcPr>
                  <w:tcW w:w="380" w:type="pct"/>
                  <w:vMerge w:val="continue"/>
                  <w:tcBorders>
                    <w:tl2br w:val="nil"/>
                    <w:tr2bl w:val="nil"/>
                  </w:tcBorders>
                  <w:noWrap/>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rPr>
                      <w:b/>
                      <w:bCs/>
                    </w:rPr>
                  </w:pPr>
                </w:p>
              </w:tc>
              <w:tc>
                <w:tcPr>
                  <w:tcW w:w="766" w:type="pct"/>
                  <w:gridSpan w:val="2"/>
                  <w:tcBorders>
                    <w:tl2br w:val="nil"/>
                    <w:tr2bl w:val="nil"/>
                  </w:tcBorders>
                  <w:noWrap/>
                  <w:vAlign w:val="center"/>
                </w:tcPr>
                <w:p>
                  <w:pPr>
                    <w:adjustRightInd w:val="0"/>
                    <w:snapToGrid w:val="0"/>
                    <w:jc w:val="center"/>
                  </w:pPr>
                  <w:r>
                    <w:t>供电</w:t>
                  </w:r>
                </w:p>
              </w:tc>
              <w:tc>
                <w:tcPr>
                  <w:tcW w:w="3436" w:type="pct"/>
                  <w:tcBorders>
                    <w:tl2br w:val="nil"/>
                    <w:tr2bl w:val="nil"/>
                  </w:tcBorders>
                  <w:noWrap/>
                  <w:vAlign w:val="center"/>
                </w:tcPr>
                <w:p>
                  <w:pPr>
                    <w:adjustRightInd w:val="0"/>
                    <w:snapToGrid w:val="0"/>
                    <w:ind w:firstLine="450" w:firstLineChars="200"/>
                  </w:pPr>
                  <w:r>
                    <w:t>由周边村庄供给。</w:t>
                  </w:r>
                </w:p>
              </w:tc>
              <w:tc>
                <w:tcPr>
                  <w:tcW w:w="380" w:type="pct"/>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restart"/>
                  <w:tcBorders>
                    <w:tl2br w:val="nil"/>
                    <w:tr2bl w:val="nil"/>
                  </w:tcBorders>
                  <w:noWrap/>
                  <w:vAlign w:val="center"/>
                </w:tcPr>
                <w:p>
                  <w:pPr>
                    <w:adjustRightInd w:val="0"/>
                    <w:snapToGrid w:val="0"/>
                    <w:jc w:val="center"/>
                    <w:rPr>
                      <w:b/>
                      <w:bCs/>
                    </w:rPr>
                  </w:pPr>
                  <w:r>
                    <w:rPr>
                      <w:b/>
                      <w:bCs/>
                    </w:rPr>
                    <w:t>环保工程</w:t>
                  </w:r>
                </w:p>
              </w:tc>
              <w:tc>
                <w:tcPr>
                  <w:tcW w:w="351" w:type="pct"/>
                  <w:vMerge w:val="restart"/>
                  <w:tcBorders>
                    <w:tl2br w:val="nil"/>
                    <w:tr2bl w:val="nil"/>
                  </w:tcBorders>
                  <w:noWrap/>
                  <w:vAlign w:val="center"/>
                </w:tcPr>
                <w:p>
                  <w:pPr>
                    <w:adjustRightInd w:val="0"/>
                    <w:snapToGrid w:val="0"/>
                    <w:jc w:val="center"/>
                  </w:pPr>
                  <w:r>
                    <w:t>施工期</w:t>
                  </w:r>
                </w:p>
              </w:tc>
              <w:tc>
                <w:tcPr>
                  <w:tcW w:w="414" w:type="pct"/>
                  <w:tcBorders>
                    <w:tl2br w:val="nil"/>
                    <w:tr2bl w:val="nil"/>
                  </w:tcBorders>
                  <w:noWrap/>
                  <w:vAlign w:val="center"/>
                </w:tcPr>
                <w:p>
                  <w:pPr>
                    <w:adjustRightInd w:val="0"/>
                    <w:snapToGrid w:val="0"/>
                    <w:jc w:val="center"/>
                  </w:pPr>
                  <w:r>
                    <w:t>废气</w:t>
                  </w:r>
                </w:p>
                <w:p>
                  <w:pPr>
                    <w:adjustRightInd w:val="0"/>
                    <w:snapToGrid w:val="0"/>
                    <w:jc w:val="center"/>
                  </w:pPr>
                  <w:r>
                    <w:t>治理</w:t>
                  </w:r>
                </w:p>
              </w:tc>
              <w:tc>
                <w:tcPr>
                  <w:tcW w:w="3436" w:type="pct"/>
                  <w:tcBorders>
                    <w:tl2br w:val="nil"/>
                    <w:tr2bl w:val="nil"/>
                  </w:tcBorders>
                  <w:noWrap/>
                  <w:vAlign w:val="center"/>
                </w:tcPr>
                <w:p>
                  <w:pPr>
                    <w:adjustRightInd w:val="0"/>
                    <w:snapToGrid w:val="0"/>
                    <w:ind w:firstLine="450" w:firstLineChars="200"/>
                  </w:pPr>
                  <w:r>
                    <w:t>施工扬尘：施工围挡，施工场地洒水、运输车辆盖上篷布，建筑垃圾及时清理、清运。</w:t>
                  </w:r>
                </w:p>
                <w:p>
                  <w:pPr>
                    <w:adjustRightInd w:val="0"/>
                    <w:snapToGrid w:val="0"/>
                    <w:ind w:firstLine="450" w:firstLineChars="200"/>
                  </w:pPr>
                  <w:r>
                    <w:t>施工机械废气：加强施工机械的使用管理和保养维修，合理降低使用次数，优化机械设备。</w:t>
                  </w:r>
                </w:p>
              </w:tc>
              <w:tc>
                <w:tcPr>
                  <w:tcW w:w="380" w:type="pct"/>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pPr>
                </w:p>
              </w:tc>
              <w:tc>
                <w:tcPr>
                  <w:tcW w:w="351" w:type="pct"/>
                  <w:vMerge w:val="continue"/>
                  <w:tcBorders>
                    <w:tl2br w:val="nil"/>
                    <w:tr2bl w:val="nil"/>
                  </w:tcBorders>
                  <w:noWrap/>
                  <w:vAlign w:val="center"/>
                </w:tcPr>
                <w:p>
                  <w:pPr>
                    <w:adjustRightInd w:val="0"/>
                    <w:snapToGrid w:val="0"/>
                    <w:jc w:val="center"/>
                  </w:pPr>
                </w:p>
              </w:tc>
              <w:tc>
                <w:tcPr>
                  <w:tcW w:w="414" w:type="pct"/>
                  <w:tcBorders>
                    <w:tl2br w:val="nil"/>
                    <w:tr2bl w:val="nil"/>
                  </w:tcBorders>
                  <w:noWrap/>
                  <w:vAlign w:val="center"/>
                </w:tcPr>
                <w:p>
                  <w:pPr>
                    <w:adjustRightInd w:val="0"/>
                    <w:snapToGrid w:val="0"/>
                    <w:jc w:val="center"/>
                  </w:pPr>
                  <w:r>
                    <w:t>废水</w:t>
                  </w:r>
                </w:p>
                <w:p>
                  <w:pPr>
                    <w:adjustRightInd w:val="0"/>
                    <w:snapToGrid w:val="0"/>
                    <w:jc w:val="center"/>
                  </w:pPr>
                  <w:r>
                    <w:t>治理</w:t>
                  </w:r>
                </w:p>
              </w:tc>
              <w:tc>
                <w:tcPr>
                  <w:tcW w:w="3436" w:type="pct"/>
                  <w:tcBorders>
                    <w:tl2br w:val="nil"/>
                    <w:tr2bl w:val="nil"/>
                  </w:tcBorders>
                  <w:noWrap/>
                  <w:vAlign w:val="center"/>
                </w:tcPr>
                <w:p>
                  <w:pPr>
                    <w:adjustRightInd w:val="0"/>
                    <w:snapToGrid w:val="0"/>
                    <w:ind w:firstLine="450" w:firstLineChars="200"/>
                  </w:pPr>
                  <w:r>
                    <w:t>施工期施工废水经1座10m</w:t>
                  </w:r>
                  <w:r>
                    <w:rPr>
                      <w:vertAlign w:val="superscript"/>
                    </w:rPr>
                    <w:t>3</w:t>
                  </w:r>
                  <w:r>
                    <w:t>的沉淀池处理后全部回用不外排。生活污水依托附近村庄旱厕，定期清掏用于周边绿化施肥，洗漱废水用于场区洒水抑尘。</w:t>
                  </w:r>
                </w:p>
              </w:tc>
              <w:tc>
                <w:tcPr>
                  <w:tcW w:w="380" w:type="pct"/>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pPr>
                </w:p>
              </w:tc>
              <w:tc>
                <w:tcPr>
                  <w:tcW w:w="351" w:type="pct"/>
                  <w:vMerge w:val="continue"/>
                  <w:tcBorders>
                    <w:tl2br w:val="nil"/>
                    <w:tr2bl w:val="nil"/>
                  </w:tcBorders>
                  <w:noWrap/>
                  <w:vAlign w:val="center"/>
                </w:tcPr>
                <w:p>
                  <w:pPr>
                    <w:adjustRightInd w:val="0"/>
                    <w:snapToGrid w:val="0"/>
                    <w:jc w:val="center"/>
                  </w:pPr>
                </w:p>
              </w:tc>
              <w:tc>
                <w:tcPr>
                  <w:tcW w:w="414" w:type="pct"/>
                  <w:tcBorders>
                    <w:tl2br w:val="nil"/>
                    <w:tr2bl w:val="nil"/>
                  </w:tcBorders>
                  <w:noWrap/>
                  <w:vAlign w:val="center"/>
                </w:tcPr>
                <w:p>
                  <w:pPr>
                    <w:adjustRightInd w:val="0"/>
                    <w:snapToGrid w:val="0"/>
                    <w:jc w:val="center"/>
                  </w:pPr>
                  <w:r>
                    <w:t>噪声</w:t>
                  </w:r>
                </w:p>
                <w:p>
                  <w:pPr>
                    <w:adjustRightInd w:val="0"/>
                    <w:snapToGrid w:val="0"/>
                    <w:jc w:val="center"/>
                  </w:pPr>
                  <w:r>
                    <w:t>治理</w:t>
                  </w:r>
                </w:p>
              </w:tc>
              <w:tc>
                <w:tcPr>
                  <w:tcW w:w="3436" w:type="pct"/>
                  <w:tcBorders>
                    <w:tl2br w:val="nil"/>
                    <w:tr2bl w:val="nil"/>
                  </w:tcBorders>
                  <w:noWrap/>
                  <w:vAlign w:val="center"/>
                </w:tcPr>
                <w:p>
                  <w:pPr>
                    <w:adjustRightInd w:val="0"/>
                    <w:snapToGrid w:val="0"/>
                    <w:ind w:firstLine="450" w:firstLineChars="200"/>
                  </w:pPr>
                  <w:r>
                    <w:t>施工期选用低噪声施工设备、合理安排施工时间（禁止夜间(22:00~次日6:00)施工）、合理布置施工营地等。</w:t>
                  </w:r>
                </w:p>
              </w:tc>
              <w:tc>
                <w:tcPr>
                  <w:tcW w:w="380" w:type="pct"/>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pPr>
                </w:p>
              </w:tc>
              <w:tc>
                <w:tcPr>
                  <w:tcW w:w="351" w:type="pct"/>
                  <w:vMerge w:val="continue"/>
                  <w:tcBorders>
                    <w:tl2br w:val="nil"/>
                    <w:tr2bl w:val="nil"/>
                  </w:tcBorders>
                  <w:noWrap/>
                  <w:vAlign w:val="center"/>
                </w:tcPr>
                <w:p>
                  <w:pPr>
                    <w:adjustRightInd w:val="0"/>
                    <w:snapToGrid w:val="0"/>
                    <w:jc w:val="center"/>
                  </w:pPr>
                </w:p>
              </w:tc>
              <w:tc>
                <w:tcPr>
                  <w:tcW w:w="414" w:type="pct"/>
                  <w:tcBorders>
                    <w:tl2br w:val="nil"/>
                    <w:tr2bl w:val="nil"/>
                  </w:tcBorders>
                  <w:noWrap/>
                  <w:vAlign w:val="center"/>
                </w:tcPr>
                <w:p>
                  <w:pPr>
                    <w:adjustRightInd w:val="0"/>
                    <w:snapToGrid w:val="0"/>
                    <w:jc w:val="center"/>
                  </w:pPr>
                  <w:r>
                    <w:t>固废</w:t>
                  </w:r>
                </w:p>
                <w:p>
                  <w:pPr>
                    <w:adjustRightInd w:val="0"/>
                    <w:snapToGrid w:val="0"/>
                    <w:jc w:val="center"/>
                  </w:pPr>
                  <w:r>
                    <w:t>治理</w:t>
                  </w:r>
                </w:p>
              </w:tc>
              <w:tc>
                <w:tcPr>
                  <w:tcW w:w="3436" w:type="pct"/>
                  <w:tcBorders>
                    <w:tl2br w:val="nil"/>
                    <w:tr2bl w:val="nil"/>
                  </w:tcBorders>
                  <w:noWrap/>
                  <w:vAlign w:val="center"/>
                </w:tcPr>
                <w:p>
                  <w:pPr>
                    <w:widowControl/>
                    <w:adjustRightInd w:val="0"/>
                    <w:snapToGrid w:val="0"/>
                    <w:ind w:firstLine="450" w:firstLineChars="200"/>
                  </w:pPr>
                  <w:r>
                    <w:t>施工期生活垃圾分类收集，交环卫部门统一处置；</w:t>
                  </w:r>
                </w:p>
                <w:p>
                  <w:pPr>
                    <w:widowControl/>
                    <w:adjustRightInd w:val="0"/>
                    <w:snapToGrid w:val="0"/>
                    <w:ind w:firstLine="450" w:firstLineChars="200"/>
                  </w:pPr>
                  <w:r>
                    <w:t>建筑垃圾能综合利用的综合利用，不能综合利用的统一运至政府指定地点处置。</w:t>
                  </w:r>
                </w:p>
              </w:tc>
              <w:tc>
                <w:tcPr>
                  <w:tcW w:w="380" w:type="pct"/>
                  <w:tcBorders>
                    <w:tl2br w:val="nil"/>
                    <w:tr2bl w:val="nil"/>
                  </w:tcBorders>
                  <w:noWrap/>
                  <w:vAlign w:val="center"/>
                </w:tcPr>
                <w:p>
                  <w:pPr>
                    <w:widowControl/>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pPr>
                </w:p>
              </w:tc>
              <w:tc>
                <w:tcPr>
                  <w:tcW w:w="351" w:type="pct"/>
                  <w:vMerge w:val="continue"/>
                  <w:tcBorders>
                    <w:tl2br w:val="nil"/>
                    <w:tr2bl w:val="nil"/>
                  </w:tcBorders>
                  <w:noWrap/>
                  <w:vAlign w:val="center"/>
                </w:tcPr>
                <w:p>
                  <w:pPr>
                    <w:adjustRightInd w:val="0"/>
                    <w:snapToGrid w:val="0"/>
                    <w:jc w:val="center"/>
                  </w:pPr>
                </w:p>
              </w:tc>
              <w:tc>
                <w:tcPr>
                  <w:tcW w:w="414" w:type="pct"/>
                  <w:tcBorders>
                    <w:tl2br w:val="nil"/>
                    <w:tr2bl w:val="nil"/>
                  </w:tcBorders>
                  <w:noWrap/>
                  <w:vAlign w:val="center"/>
                </w:tcPr>
                <w:p>
                  <w:pPr>
                    <w:adjustRightInd w:val="0"/>
                    <w:snapToGrid w:val="0"/>
                    <w:jc w:val="center"/>
                  </w:pPr>
                  <w:r>
                    <w:t>水土</w:t>
                  </w:r>
                </w:p>
                <w:p>
                  <w:pPr>
                    <w:adjustRightInd w:val="0"/>
                    <w:snapToGrid w:val="0"/>
                    <w:jc w:val="center"/>
                  </w:pPr>
                  <w:r>
                    <w:t>保持</w:t>
                  </w:r>
                </w:p>
              </w:tc>
              <w:tc>
                <w:tcPr>
                  <w:tcW w:w="3436" w:type="pct"/>
                  <w:tcBorders>
                    <w:tl2br w:val="nil"/>
                    <w:tr2bl w:val="nil"/>
                  </w:tcBorders>
                  <w:noWrap/>
                  <w:vAlign w:val="center"/>
                </w:tcPr>
                <w:p>
                  <w:pPr>
                    <w:adjustRightInd w:val="0"/>
                    <w:snapToGrid w:val="0"/>
                    <w:ind w:firstLine="450" w:firstLineChars="200"/>
                  </w:pPr>
                  <w:r>
                    <w:t>主体工程防治区：施工期降尘洒水、塑料防尘网遮盖及临时排水沟开挖，培厚后的坡面及顶面采用草皮护坡。</w:t>
                  </w:r>
                </w:p>
                <w:p>
                  <w:pPr>
                    <w:adjustRightInd w:val="0"/>
                    <w:snapToGrid w:val="0"/>
                    <w:ind w:firstLine="450" w:firstLineChars="200"/>
                  </w:pPr>
                  <w:r>
                    <w:t>取土场、施工生产生活区等临时占地，施工期洒水降尘、表土剥离并妥善保存，施工及取土结束后，恢复表土，播撒草种，恢复其原有植被形态。</w:t>
                  </w:r>
                </w:p>
              </w:tc>
              <w:tc>
                <w:tcPr>
                  <w:tcW w:w="380" w:type="pct"/>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6" w:type="pct"/>
                  <w:vMerge w:val="continue"/>
                  <w:tcBorders>
                    <w:tl2br w:val="nil"/>
                    <w:tr2bl w:val="nil"/>
                  </w:tcBorders>
                  <w:noWrap/>
                  <w:vAlign w:val="center"/>
                </w:tcPr>
                <w:p>
                  <w:pPr>
                    <w:adjustRightInd w:val="0"/>
                    <w:snapToGrid w:val="0"/>
                    <w:jc w:val="center"/>
                  </w:pPr>
                  <w:bookmarkStart w:id="5" w:name="_Toc8014"/>
                </w:p>
              </w:tc>
              <w:tc>
                <w:tcPr>
                  <w:tcW w:w="766" w:type="pct"/>
                  <w:gridSpan w:val="2"/>
                  <w:tcBorders>
                    <w:tl2br w:val="nil"/>
                    <w:tr2bl w:val="nil"/>
                  </w:tcBorders>
                  <w:noWrap/>
                  <w:vAlign w:val="center"/>
                </w:tcPr>
                <w:p>
                  <w:pPr>
                    <w:adjustRightInd w:val="0"/>
                    <w:snapToGrid w:val="0"/>
                    <w:jc w:val="center"/>
                  </w:pPr>
                  <w:r>
                    <w:t>运营期</w:t>
                  </w:r>
                </w:p>
              </w:tc>
              <w:tc>
                <w:tcPr>
                  <w:tcW w:w="3436" w:type="pct"/>
                  <w:tcBorders>
                    <w:tl2br w:val="nil"/>
                    <w:tr2bl w:val="nil"/>
                  </w:tcBorders>
                  <w:noWrap/>
                  <w:vAlign w:val="center"/>
                </w:tcPr>
                <w:p>
                  <w:pPr>
                    <w:adjustRightInd w:val="0"/>
                    <w:snapToGrid w:val="0"/>
                    <w:ind w:firstLine="450" w:firstLineChars="200"/>
                  </w:pPr>
                  <w:r>
                    <w:t>本项目运营期无废气、废水、噪声、固废产生。</w:t>
                  </w:r>
                </w:p>
              </w:tc>
              <w:tc>
                <w:tcPr>
                  <w:tcW w:w="380" w:type="pct"/>
                  <w:tcBorders>
                    <w:tl2br w:val="nil"/>
                    <w:tr2bl w:val="nil"/>
                  </w:tcBorders>
                  <w:noWrap/>
                  <w:vAlign w:val="center"/>
                </w:tcPr>
                <w:p>
                  <w:pPr>
                    <w:adjustRightInd w:val="0"/>
                    <w:snapToGrid w:val="0"/>
                    <w:jc w:val="center"/>
                  </w:pPr>
                  <w:r>
                    <w:t>/</w:t>
                  </w:r>
                </w:p>
              </w:tc>
            </w:tr>
            <w:bookmarkEnd w:id="5"/>
          </w:tbl>
          <w:p>
            <w:pPr>
              <w:widowControl/>
              <w:spacing w:before="240" w:after="60"/>
              <w:rPr>
                <w:rFonts w:eastAsia="黑体"/>
                <w:kern w:val="0"/>
                <w:sz w:val="24"/>
              </w:rPr>
            </w:pPr>
            <w:r>
              <w:rPr>
                <w:rFonts w:hint="eastAsia" w:eastAsia="黑体"/>
                <w:kern w:val="0"/>
                <w:sz w:val="24"/>
              </w:rPr>
              <w:t>5</w:t>
            </w:r>
            <w:r>
              <w:rPr>
                <w:rFonts w:eastAsia="黑体"/>
                <w:kern w:val="0"/>
                <w:sz w:val="24"/>
              </w:rPr>
              <w:t>、工程设计</w:t>
            </w:r>
          </w:p>
          <w:p>
            <w:pPr>
              <w:widowControl/>
              <w:adjustRightInd w:val="0"/>
              <w:snapToGrid w:val="0"/>
              <w:jc w:val="center"/>
              <w:rPr>
                <w:rFonts w:eastAsia="黑体"/>
                <w:kern w:val="0"/>
                <w:sz w:val="24"/>
              </w:rPr>
            </w:pPr>
            <w:r>
              <w:rPr>
                <w:rFonts w:eastAsia="黑体"/>
                <w:bCs/>
                <w:sz w:val="24"/>
                <w:szCs w:val="28"/>
              </w:rPr>
              <w:t>表2-2  彭阳县雅石沟水库设计参数表</w:t>
            </w:r>
          </w:p>
          <w:tbl>
            <w:tblPr>
              <w:tblStyle w:val="28"/>
              <w:tblW w:w="490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8"/>
              <w:gridCol w:w="1996"/>
              <w:gridCol w:w="852"/>
              <w:gridCol w:w="3678"/>
              <w:gridCol w:w="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0" w:type="pct"/>
                  <w:tcBorders>
                    <w:top w:val="single" w:color="auto" w:sz="12" w:space="0"/>
                    <w:left w:val="single" w:color="auto" w:sz="12" w:space="0"/>
                    <w:bottom w:val="single" w:color="auto" w:sz="4" w:space="0"/>
                    <w:right w:val="single" w:color="auto" w:sz="4" w:space="0"/>
                  </w:tcBorders>
                  <w:noWrap/>
                  <w:vAlign w:val="center"/>
                </w:tcPr>
                <w:p>
                  <w:pPr>
                    <w:adjustRightInd w:val="0"/>
                    <w:snapToGrid w:val="0"/>
                    <w:jc w:val="center"/>
                    <w:rPr>
                      <w:b/>
                      <w:bCs/>
                      <w:szCs w:val="18"/>
                    </w:rPr>
                  </w:pPr>
                  <w:r>
                    <w:rPr>
                      <w:b/>
                      <w:bCs/>
                      <w:szCs w:val="18"/>
                    </w:rPr>
                    <w:t>序号</w:t>
                  </w:r>
                </w:p>
              </w:tc>
              <w:tc>
                <w:tcPr>
                  <w:tcW w:w="1222" w:type="pct"/>
                  <w:tcBorders>
                    <w:top w:val="single" w:color="auto" w:sz="12" w:space="0"/>
                    <w:left w:val="single" w:color="auto" w:sz="4" w:space="0"/>
                    <w:bottom w:val="single" w:color="auto" w:sz="4" w:space="0"/>
                    <w:right w:val="single" w:color="auto" w:sz="4" w:space="0"/>
                  </w:tcBorders>
                  <w:noWrap/>
                  <w:vAlign w:val="center"/>
                </w:tcPr>
                <w:p>
                  <w:pPr>
                    <w:adjustRightInd w:val="0"/>
                    <w:snapToGrid w:val="0"/>
                    <w:jc w:val="center"/>
                    <w:rPr>
                      <w:b/>
                      <w:bCs/>
                      <w:szCs w:val="18"/>
                    </w:rPr>
                  </w:pPr>
                  <w:r>
                    <w:rPr>
                      <w:b/>
                      <w:bCs/>
                      <w:szCs w:val="18"/>
                    </w:rPr>
                    <w:t>项目</w:t>
                  </w:r>
                </w:p>
              </w:tc>
              <w:tc>
                <w:tcPr>
                  <w:tcW w:w="522" w:type="pct"/>
                  <w:tcBorders>
                    <w:top w:val="single" w:color="auto" w:sz="12" w:space="0"/>
                    <w:left w:val="single" w:color="auto" w:sz="4" w:space="0"/>
                    <w:bottom w:val="single" w:color="auto" w:sz="4" w:space="0"/>
                    <w:right w:val="single" w:color="auto" w:sz="4" w:space="0"/>
                  </w:tcBorders>
                  <w:noWrap/>
                  <w:vAlign w:val="center"/>
                </w:tcPr>
                <w:p>
                  <w:pPr>
                    <w:adjustRightInd w:val="0"/>
                    <w:snapToGrid w:val="0"/>
                    <w:jc w:val="center"/>
                    <w:rPr>
                      <w:b/>
                      <w:bCs/>
                      <w:szCs w:val="18"/>
                    </w:rPr>
                  </w:pPr>
                  <w:r>
                    <w:rPr>
                      <w:b/>
                      <w:bCs/>
                      <w:szCs w:val="18"/>
                    </w:rPr>
                    <w:t>单位</w:t>
                  </w:r>
                </w:p>
              </w:tc>
              <w:tc>
                <w:tcPr>
                  <w:tcW w:w="2252" w:type="pct"/>
                  <w:tcBorders>
                    <w:top w:val="single" w:color="auto" w:sz="12" w:space="0"/>
                    <w:left w:val="single" w:color="auto" w:sz="4" w:space="0"/>
                    <w:bottom w:val="single" w:color="auto" w:sz="4" w:space="0"/>
                    <w:right w:val="single" w:color="auto" w:sz="4" w:space="0"/>
                  </w:tcBorders>
                  <w:noWrap/>
                  <w:vAlign w:val="center"/>
                </w:tcPr>
                <w:p>
                  <w:pPr>
                    <w:adjustRightInd w:val="0"/>
                    <w:snapToGrid w:val="0"/>
                    <w:jc w:val="center"/>
                    <w:rPr>
                      <w:b/>
                      <w:bCs/>
                      <w:szCs w:val="18"/>
                    </w:rPr>
                  </w:pPr>
                  <w:r>
                    <w:rPr>
                      <w:b/>
                      <w:bCs/>
                      <w:szCs w:val="18"/>
                    </w:rPr>
                    <w:t>数量</w:t>
                  </w:r>
                </w:p>
              </w:tc>
              <w:tc>
                <w:tcPr>
                  <w:tcW w:w="421" w:type="pct"/>
                  <w:tcBorders>
                    <w:top w:val="single" w:color="auto" w:sz="12" w:space="0"/>
                    <w:left w:val="single" w:color="auto" w:sz="4" w:space="0"/>
                    <w:bottom w:val="single" w:color="auto" w:sz="4" w:space="0"/>
                    <w:right w:val="single" w:color="auto" w:sz="12" w:space="0"/>
                  </w:tcBorders>
                  <w:noWrap/>
                  <w:vAlign w:val="center"/>
                </w:tcPr>
                <w:p>
                  <w:pPr>
                    <w:adjustRightInd w:val="0"/>
                    <w:snapToGrid w:val="0"/>
                    <w:jc w:val="center"/>
                    <w:rPr>
                      <w:b/>
                      <w:bCs/>
                      <w:szCs w:val="18"/>
                    </w:rPr>
                  </w:pPr>
                  <w:r>
                    <w:rPr>
                      <w:b/>
                      <w:bCs/>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b/>
                      <w:bCs/>
                      <w:szCs w:val="18"/>
                    </w:rPr>
                  </w:pPr>
                  <w:r>
                    <w:rPr>
                      <w:b/>
                      <w:bCs/>
                      <w:szCs w:val="18"/>
                    </w:rPr>
                    <w:t>一</w:t>
                  </w:r>
                </w:p>
              </w:tc>
              <w:tc>
                <w:tcPr>
                  <w:tcW w:w="4419" w:type="pct"/>
                  <w:gridSpan w:val="4"/>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b/>
                      <w:bCs/>
                      <w:szCs w:val="18"/>
                    </w:rPr>
                    <w:t>工程规划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1</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灌溉面积</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亩</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5505</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防洪标准</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水库设计洪水重现期采用50年一遇，相应的洪峰流量为343m³/s，校核洪水重现期采用1000年一遇，相应的洪峰流量为709m³/s。</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b/>
                      <w:bCs/>
                      <w:szCs w:val="18"/>
                    </w:rPr>
                  </w:pPr>
                  <w:r>
                    <w:rPr>
                      <w:b/>
                      <w:bCs/>
                      <w:szCs w:val="18"/>
                    </w:rPr>
                    <w:t>二</w:t>
                  </w:r>
                </w:p>
              </w:tc>
              <w:tc>
                <w:tcPr>
                  <w:tcW w:w="4419" w:type="pct"/>
                  <w:gridSpan w:val="4"/>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b/>
                      <w:bCs/>
                      <w:szCs w:val="18"/>
                    </w:rPr>
                  </w:pPr>
                  <w:r>
                    <w:rPr>
                      <w:b/>
                      <w:bCs/>
                      <w:szCs w:val="18"/>
                    </w:rPr>
                    <w:t>工程布置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b/>
                      <w:bCs/>
                      <w:szCs w:val="18"/>
                    </w:rPr>
                  </w:pPr>
                  <w:r>
                    <w:rPr>
                      <w:b/>
                      <w:bCs/>
                      <w:szCs w:val="18"/>
                    </w:rPr>
                    <w:t>2.1</w:t>
                  </w:r>
                </w:p>
              </w:tc>
              <w:tc>
                <w:tcPr>
                  <w:tcW w:w="4419" w:type="pct"/>
                  <w:gridSpan w:val="4"/>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b/>
                      <w:bCs/>
                      <w:szCs w:val="18"/>
                    </w:rPr>
                  </w:pPr>
                  <w:r>
                    <w:rPr>
                      <w:b/>
                      <w:bCs/>
                      <w:szCs w:val="18"/>
                    </w:rPr>
                    <w:t>原设计情况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设计标准</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2.1.1.1</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原设计工程等别</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Ⅳ等小（1）型</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2.1.1.2</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建筑物级别</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主要建筑物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4级</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次要建筑物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5级</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临时建筑物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5级</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2.1.1.3</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防洪标准</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18"/>
                    </w:rPr>
                  </w:pPr>
                  <w:r>
                    <w:rPr>
                      <w:szCs w:val="18"/>
                    </w:rPr>
                    <w:t>洪水标准为30年一遇设计，500年一遇校核。</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2.1.2</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原设计主要建筑物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输水卧管</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座</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1</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输水塔</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座</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1</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输水涵洞</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座</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1</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泄水溢洪道</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座</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1</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原设计雅石沟水库</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2.1.3.1</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特征高程和水深</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现淤泥面</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1625.00</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设计淤泥面</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1633.75</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汛期限制水位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1634.32</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正常蓄水位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1634.39</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设计洪水位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1635.37</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校核洪水位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1637.04</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坝顶高程</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1638.10</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2.1.3.2</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总库容</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1339.6</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已淤积库容</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万m</w:t>
                  </w:r>
                  <w:r>
                    <w:rPr>
                      <w:szCs w:val="18"/>
                      <w:vertAlign w:val="superscript"/>
                    </w:rPr>
                    <w:t>3</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593</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2.1.3.3</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坝长</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坝轴线长</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360</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坝顶宽度</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6</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b/>
                      <w:bCs/>
                      <w:szCs w:val="18"/>
                    </w:rPr>
                    <w:t>2.2</w:t>
                  </w:r>
                </w:p>
              </w:tc>
              <w:tc>
                <w:tcPr>
                  <w:tcW w:w="4419" w:type="pct"/>
                  <w:gridSpan w:val="4"/>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b/>
                      <w:bCs/>
                      <w:szCs w:val="18"/>
                    </w:rPr>
                    <w:t>本次除险加固情况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设计标准</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2.1.1.1</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设计工程等别</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Ⅲ等中型</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2.1.1.2</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建筑物级别</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主要建筑物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3级</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次要建筑物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4级</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临时建筑物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5级</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2.1.1.3</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防洪标准</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18"/>
                    </w:rPr>
                  </w:pPr>
                  <w:r>
                    <w:rPr>
                      <w:szCs w:val="18"/>
                    </w:rPr>
                    <w:t>洪水标准为50年一遇设计，1000年一遇校核。</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2.1.2</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除险加固主要建筑物</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泄水溢洪道</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座</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1</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除险加固后雅石沟水库</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2.1.3.1</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特征高程和水深</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rPr>
                      <w:szCs w:val="18"/>
                    </w:rPr>
                  </w:pPr>
                  <w:r>
                    <w:rPr>
                      <w:szCs w:val="18"/>
                    </w:rPr>
                    <w:t>　</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设计淤泥面</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1634.32</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汛期限制水位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1634.39</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正常蓄水位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1635.02</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设计洪水位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1635.74</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校核洪水位</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1637.50</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坝顶高程</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1638.50</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2.1.3.2</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总库容</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万m³</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1517.75</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设计淤积库容</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万m³</w:t>
                  </w: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r>
                    <w:rPr>
                      <w:rFonts w:ascii="Times New Roman" w:hAnsi="Times New Roman"/>
                      <w:sz w:val="21"/>
                    </w:rPr>
                    <w:t>508.20</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2.1.3.3</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坝长</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p>
              </w:tc>
              <w:tc>
                <w:tcPr>
                  <w:tcW w:w="2252" w:type="pct"/>
                  <w:tcBorders>
                    <w:top w:val="single" w:color="auto" w:sz="4" w:space="0"/>
                    <w:left w:val="single" w:color="auto" w:sz="4" w:space="0"/>
                    <w:bottom w:val="single" w:color="auto" w:sz="4" w:space="0"/>
                    <w:right w:val="single" w:color="auto" w:sz="4" w:space="0"/>
                  </w:tcBorders>
                  <w:noWrap/>
                  <w:vAlign w:val="center"/>
                </w:tcPr>
                <w:p>
                  <w:pPr>
                    <w:pStyle w:val="78"/>
                    <w:adjustRightInd w:val="0"/>
                    <w:snapToGrid w:val="0"/>
                    <w:rPr>
                      <w:rFonts w:ascii="Times New Roman" w:hAnsi="Times New Roman"/>
                      <w:sz w:val="21"/>
                    </w:rPr>
                  </w:pP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坝轴线长</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360</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80" w:type="pct"/>
                  <w:tcBorders>
                    <w:top w:val="single" w:color="auto" w:sz="4" w:space="0"/>
                    <w:left w:val="single" w:color="auto" w:sz="12" w:space="0"/>
                    <w:bottom w:val="single" w:color="auto" w:sz="4" w:space="0"/>
                    <w:right w:val="single" w:color="auto" w:sz="4" w:space="0"/>
                  </w:tcBorders>
                  <w:noWrap/>
                  <w:vAlign w:val="center"/>
                </w:tcPr>
                <w:p>
                  <w:pPr>
                    <w:adjustRightInd w:val="0"/>
                    <w:snapToGrid w:val="0"/>
                    <w:jc w:val="center"/>
                    <w:rPr>
                      <w:szCs w:val="18"/>
                    </w:rPr>
                  </w:pPr>
                  <w:r>
                    <w:rPr>
                      <w:szCs w:val="18"/>
                    </w:rPr>
                    <w:t>　</w:t>
                  </w:r>
                </w:p>
              </w:tc>
              <w:tc>
                <w:tcPr>
                  <w:tcW w:w="12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坝顶宽度</w:t>
                  </w:r>
                </w:p>
              </w:tc>
              <w:tc>
                <w:tcPr>
                  <w:tcW w:w="52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m</w:t>
                  </w:r>
                </w:p>
              </w:tc>
              <w:tc>
                <w:tcPr>
                  <w:tcW w:w="225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szCs w:val="18"/>
                    </w:rPr>
                  </w:pPr>
                  <w:r>
                    <w:rPr>
                      <w:szCs w:val="18"/>
                    </w:rPr>
                    <w:t>6</w:t>
                  </w:r>
                </w:p>
              </w:tc>
              <w:tc>
                <w:tcPr>
                  <w:tcW w:w="421" w:type="pct"/>
                  <w:tcBorders>
                    <w:top w:val="single" w:color="auto" w:sz="4" w:space="0"/>
                    <w:left w:val="single" w:color="auto" w:sz="4" w:space="0"/>
                    <w:bottom w:val="single" w:color="auto" w:sz="4" w:space="0"/>
                    <w:right w:val="single" w:color="auto" w:sz="12" w:space="0"/>
                  </w:tcBorders>
                  <w:noWrap/>
                  <w:vAlign w:val="center"/>
                </w:tcPr>
                <w:p>
                  <w:pPr>
                    <w:adjustRightInd w:val="0"/>
                    <w:snapToGrid w:val="0"/>
                    <w:jc w:val="center"/>
                    <w:rPr>
                      <w:szCs w:val="18"/>
                    </w:rPr>
                  </w:pPr>
                  <w:r>
                    <w:rPr>
                      <w:szCs w:val="18"/>
                    </w:rPr>
                    <w:t>/</w:t>
                  </w:r>
                </w:p>
              </w:tc>
            </w:tr>
          </w:tbl>
          <w:p>
            <w:pPr>
              <w:pStyle w:val="52"/>
              <w:adjustRightInd/>
              <w:snapToGrid/>
              <w:spacing w:beforeLines="50" w:afterLines="0" w:line="240" w:lineRule="auto"/>
              <w:ind w:firstLine="510" w:firstLineChars="200"/>
              <w:jc w:val="both"/>
              <w:rPr>
                <w:rFonts w:ascii="Times New Roman"/>
                <w:sz w:val="24"/>
              </w:rPr>
            </w:pPr>
            <w:r>
              <w:rPr>
                <w:rFonts w:ascii="Times New Roman"/>
                <w:sz w:val="24"/>
              </w:rPr>
              <w:t>（1）坝顶路面硬化改造</w:t>
            </w:r>
          </w:p>
          <w:p>
            <w:pPr>
              <w:pStyle w:val="52"/>
              <w:adjustRightInd/>
              <w:snapToGrid/>
              <w:spacing w:beforeLines="0" w:afterLines="0" w:line="240" w:lineRule="auto"/>
              <w:ind w:firstLine="510" w:firstLineChars="200"/>
              <w:jc w:val="both"/>
              <w:rPr>
                <w:rFonts w:ascii="Times New Roman"/>
                <w:kern w:val="2"/>
                <w:sz w:val="24"/>
                <w:szCs w:val="24"/>
              </w:rPr>
            </w:pPr>
            <w:r>
              <w:rPr>
                <w:rFonts w:ascii="Times New Roman"/>
                <w:kern w:val="2"/>
                <w:sz w:val="24"/>
                <w:szCs w:val="24"/>
              </w:rPr>
              <w:t>坝顶改造：现状坝顶宽度为6.0m的土路，两侧设置防撞栏杆，路面净宽5.0m，先拆除原坝顶路面两侧栏杆、坝顶护角，再对坝顶进行清基，由于前坝坡为混凝土六边形预制块砌护，所以清基厚度为0.3m。然后对坝体进行填筑，填筑土料为临时取土场开挖的黄土，天然含水率较低，填筑前需进行碾压试验，填筑时应洒水制备达到最优含水率后分层碾压，压实度不小于0.97。</w:t>
            </w:r>
          </w:p>
          <w:p>
            <w:pPr>
              <w:pStyle w:val="52"/>
              <w:adjustRightInd/>
              <w:snapToGrid/>
              <w:spacing w:beforeLines="0" w:afterLines="0" w:line="240" w:lineRule="auto"/>
              <w:ind w:firstLine="510" w:firstLineChars="200"/>
              <w:jc w:val="both"/>
              <w:rPr>
                <w:rFonts w:ascii="Times New Roman"/>
                <w:sz w:val="24"/>
              </w:rPr>
            </w:pPr>
            <w:r>
              <w:rPr>
                <w:rFonts w:ascii="Times New Roman"/>
                <w:kern w:val="2"/>
                <w:sz w:val="24"/>
                <w:szCs w:val="24"/>
              </w:rPr>
              <w:t>待填筑土方工作完成，开始对坝顶路面进行硬化，现状土路改造为沥青路面。然后从上至下依次采用4cm厚AC-13F细粒式沥青混凝土+6cm厚AC-20C中粒式沥青混凝土+20cm厚水泥稳定碎石（5%）+20cm厚级配砂砾。为防止雨水对路面造成冲刷破坏，路面右侧（后坝坡）设置0.5mC30混凝土压顶，待路面完成硬化工作后，已拆除防撞栏杆继续利用。</w:t>
            </w:r>
          </w:p>
          <w:p>
            <w:pPr>
              <w:pStyle w:val="52"/>
              <w:numPr>
                <w:ilvl w:val="0"/>
                <w:numId w:val="5"/>
              </w:numPr>
              <w:adjustRightInd/>
              <w:snapToGrid/>
              <w:spacing w:beforeLines="0" w:afterLines="0" w:line="240" w:lineRule="auto"/>
              <w:ind w:firstLine="510" w:firstLineChars="200"/>
              <w:jc w:val="both"/>
              <w:rPr>
                <w:rFonts w:ascii="Times New Roman"/>
                <w:sz w:val="24"/>
              </w:rPr>
            </w:pPr>
            <w:r>
              <w:rPr>
                <w:rFonts w:ascii="Times New Roman"/>
                <w:sz w:val="24"/>
              </w:rPr>
              <w:t>后坝坡培宽加厚、排水设施修复改造、坡脚处增设贴坡排水+排水棱体</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后坝坡稳定性不满足要求及后坝坡冲刷：为保证坝坡的整体安全及稳定，本次消缺改造对主坝（桩号0+000.00~0+358.70段）后坝坡进行加宽培厚，距离坝顶以下6.5m进行加宽，宽度7m，同时设置现浇C25混凝土排水边沟，坡比为1:3.5，设置3级马道，马道宽度2.5m，为防止雨水冲刷每级马道都设置排水边沟，同时对马道进行硬化处理。为保护坝坡脚不受雨水冲刷，‌并支撑下游坝坡增加其稳定性，本次考虑在后坝坡坡脚部位设置贴坡排水及棱体排水。</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3）建筑物改造：溢洪道进口土体以及两岸土质边坡有塌陷现象，对进口、两岸边坡进行防护；溢洪道明渠以及泄槽有裂缝对其进行拆除重建；消力坎高度不满足要求，且需增加一道消力坎。原消力坎进行拆除重建，新建第一道消力高度为1.5m，同时在下游新增第二道消力坎，高度为0.7m，两道消力坎长均为5m。</w:t>
            </w:r>
          </w:p>
          <w:p>
            <w:pPr>
              <w:ind w:firstLine="510" w:firstLineChars="200"/>
            </w:pPr>
            <w:r>
              <w:rPr>
                <w:sz w:val="24"/>
              </w:rPr>
              <w:t>本项目典型设计图见下图：</w:t>
            </w:r>
          </w:p>
          <w:p>
            <w:pPr>
              <w:pStyle w:val="22"/>
              <w:adjustRightInd w:val="0"/>
              <w:snapToGrid w:val="0"/>
              <w:spacing w:line="240" w:lineRule="auto"/>
              <w:ind w:left="0" w:leftChars="0"/>
              <w:jc w:val="center"/>
            </w:pPr>
            <w:r>
              <w:drawing>
                <wp:inline distT="0" distB="0" distL="114300" distR="114300">
                  <wp:extent cx="5256530" cy="3147060"/>
                  <wp:effectExtent l="0" t="0" r="1270" b="15240"/>
                  <wp:docPr id="16"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1"/>
                          <pic:cNvPicPr>
                            <a:picLocks noChangeAspect="1"/>
                          </pic:cNvPicPr>
                        </pic:nvPicPr>
                        <pic:blipFill>
                          <a:blip r:embed="rId24"/>
                          <a:stretch>
                            <a:fillRect/>
                          </a:stretch>
                        </pic:blipFill>
                        <pic:spPr>
                          <a:xfrm>
                            <a:off x="0" y="0"/>
                            <a:ext cx="5256530" cy="3147060"/>
                          </a:xfrm>
                          <a:prstGeom prst="rect">
                            <a:avLst/>
                          </a:prstGeom>
                          <a:noFill/>
                          <a:ln>
                            <a:noFill/>
                          </a:ln>
                        </pic:spPr>
                      </pic:pic>
                    </a:graphicData>
                  </a:graphic>
                </wp:inline>
              </w:drawing>
            </w:r>
          </w:p>
          <w:p>
            <w:pPr>
              <w:pStyle w:val="22"/>
              <w:adjustRightInd w:val="0"/>
              <w:snapToGrid w:val="0"/>
              <w:spacing w:line="240" w:lineRule="auto"/>
              <w:ind w:left="0" w:leftChars="0"/>
              <w:jc w:val="center"/>
              <w:rPr>
                <w:rFonts w:eastAsia="黑体"/>
                <w:spacing w:val="11"/>
              </w:rPr>
            </w:pPr>
            <w:r>
              <w:rPr>
                <w:rFonts w:eastAsia="黑体"/>
                <w:spacing w:val="11"/>
              </w:rPr>
              <w:t>图2-2  坝顶路面改造结构图</w:t>
            </w:r>
          </w:p>
          <w:p>
            <w:pPr>
              <w:adjustRightInd w:val="0"/>
              <w:snapToGrid w:val="0"/>
            </w:pPr>
            <w:r>
              <w:drawing>
                <wp:inline distT="0" distB="0" distL="114300" distR="114300">
                  <wp:extent cx="5303520" cy="2141855"/>
                  <wp:effectExtent l="0" t="0" r="11430" b="10795"/>
                  <wp:docPr id="1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2"/>
                          <pic:cNvPicPr>
                            <a:picLocks noChangeAspect="1"/>
                          </pic:cNvPicPr>
                        </pic:nvPicPr>
                        <pic:blipFill>
                          <a:blip r:embed="rId25"/>
                          <a:stretch>
                            <a:fillRect/>
                          </a:stretch>
                        </pic:blipFill>
                        <pic:spPr>
                          <a:xfrm>
                            <a:off x="0" y="0"/>
                            <a:ext cx="5303520" cy="2141855"/>
                          </a:xfrm>
                          <a:prstGeom prst="rect">
                            <a:avLst/>
                          </a:prstGeom>
                          <a:noFill/>
                          <a:ln>
                            <a:noFill/>
                          </a:ln>
                        </pic:spPr>
                      </pic:pic>
                    </a:graphicData>
                  </a:graphic>
                </wp:inline>
              </w:drawing>
            </w:r>
          </w:p>
          <w:p>
            <w:pPr>
              <w:pStyle w:val="9"/>
              <w:adjustRightInd w:val="0"/>
              <w:spacing w:before="0" w:after="0" w:line="240" w:lineRule="auto"/>
              <w:ind w:right="0"/>
              <w:jc w:val="center"/>
            </w:pPr>
            <w:r>
              <w:rPr>
                <w:rFonts w:eastAsia="黑体"/>
                <w:spacing w:val="11"/>
                <w:sz w:val="24"/>
              </w:rPr>
              <w:t>图2-3  溢洪道进口防护结构图</w:t>
            </w:r>
          </w:p>
          <w:p>
            <w:pPr>
              <w:pStyle w:val="22"/>
              <w:adjustRightInd w:val="0"/>
              <w:snapToGrid w:val="0"/>
              <w:spacing w:line="240" w:lineRule="auto"/>
              <w:ind w:left="0" w:leftChars="0"/>
              <w:jc w:val="center"/>
            </w:pPr>
            <w:r>
              <w:drawing>
                <wp:inline distT="0" distB="0" distL="114300" distR="114300">
                  <wp:extent cx="5304155" cy="2813050"/>
                  <wp:effectExtent l="0" t="0" r="10795" b="6350"/>
                  <wp:docPr id="1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3"/>
                          <pic:cNvPicPr>
                            <a:picLocks noChangeAspect="1"/>
                          </pic:cNvPicPr>
                        </pic:nvPicPr>
                        <pic:blipFill>
                          <a:blip r:embed="rId26"/>
                          <a:stretch>
                            <a:fillRect/>
                          </a:stretch>
                        </pic:blipFill>
                        <pic:spPr>
                          <a:xfrm>
                            <a:off x="0" y="0"/>
                            <a:ext cx="5304155" cy="2813050"/>
                          </a:xfrm>
                          <a:prstGeom prst="rect">
                            <a:avLst/>
                          </a:prstGeom>
                          <a:noFill/>
                          <a:ln>
                            <a:noFill/>
                          </a:ln>
                        </pic:spPr>
                      </pic:pic>
                    </a:graphicData>
                  </a:graphic>
                </wp:inline>
              </w:drawing>
            </w:r>
          </w:p>
          <w:p>
            <w:pPr>
              <w:adjustRightInd w:val="0"/>
              <w:snapToGrid w:val="0"/>
              <w:jc w:val="center"/>
              <w:rPr>
                <w:rFonts w:eastAsia="黑体"/>
                <w:spacing w:val="11"/>
                <w:sz w:val="24"/>
              </w:rPr>
            </w:pPr>
            <w:r>
              <w:rPr>
                <w:rFonts w:eastAsia="黑体"/>
                <w:spacing w:val="11"/>
                <w:sz w:val="24"/>
              </w:rPr>
              <w:t>图2-4  坡脚排水棱体结构图</w:t>
            </w:r>
          </w:p>
          <w:p>
            <w:pPr>
              <w:pStyle w:val="9"/>
              <w:adjustRightInd w:val="0"/>
            </w:pPr>
            <w:r>
              <w:drawing>
                <wp:inline distT="0" distB="0" distL="114300" distR="114300">
                  <wp:extent cx="5314315" cy="2758440"/>
                  <wp:effectExtent l="0" t="0" r="635" b="3810"/>
                  <wp:docPr id="1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4"/>
                          <pic:cNvPicPr>
                            <a:picLocks noChangeAspect="1"/>
                          </pic:cNvPicPr>
                        </pic:nvPicPr>
                        <pic:blipFill>
                          <a:blip r:embed="rId27"/>
                          <a:stretch>
                            <a:fillRect/>
                          </a:stretch>
                        </pic:blipFill>
                        <pic:spPr>
                          <a:xfrm>
                            <a:off x="0" y="0"/>
                            <a:ext cx="5314315" cy="2758440"/>
                          </a:xfrm>
                          <a:prstGeom prst="rect">
                            <a:avLst/>
                          </a:prstGeom>
                          <a:noFill/>
                          <a:ln>
                            <a:noFill/>
                          </a:ln>
                        </pic:spPr>
                      </pic:pic>
                    </a:graphicData>
                  </a:graphic>
                </wp:inline>
              </w:drawing>
            </w:r>
          </w:p>
          <w:p>
            <w:pPr>
              <w:pStyle w:val="23"/>
              <w:adjustRightInd w:val="0"/>
              <w:snapToGrid w:val="0"/>
              <w:spacing w:after="0" w:line="240" w:lineRule="auto"/>
              <w:jc w:val="center"/>
              <w:rPr>
                <w:rFonts w:eastAsia="黑体"/>
                <w:sz w:val="24"/>
                <w:lang w:val="zh-CN"/>
              </w:rPr>
            </w:pPr>
            <w:r>
              <w:rPr>
                <w:rFonts w:eastAsia="黑体"/>
                <w:spacing w:val="11"/>
                <w:sz w:val="24"/>
              </w:rPr>
              <w:t xml:space="preserve">图2-5  </w:t>
            </w:r>
            <w:r>
              <w:rPr>
                <w:rFonts w:eastAsia="黑体"/>
                <w:sz w:val="24"/>
                <w:lang w:val="zh-CN"/>
              </w:rPr>
              <w:t>消力坎</w:t>
            </w:r>
          </w:p>
          <w:p>
            <w:pPr>
              <w:pStyle w:val="23"/>
              <w:adjustRightInd w:val="0"/>
              <w:snapToGrid w:val="0"/>
              <w:spacing w:after="0" w:line="240" w:lineRule="auto"/>
              <w:jc w:val="center"/>
            </w:pPr>
            <w:r>
              <w:drawing>
                <wp:inline distT="0" distB="0" distL="114300" distR="114300">
                  <wp:extent cx="5285105" cy="2235835"/>
                  <wp:effectExtent l="0" t="0" r="10795" b="12065"/>
                  <wp:docPr id="2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5"/>
                          <pic:cNvPicPr>
                            <a:picLocks noChangeAspect="1"/>
                          </pic:cNvPicPr>
                        </pic:nvPicPr>
                        <pic:blipFill>
                          <a:blip r:embed="rId28"/>
                          <a:stretch>
                            <a:fillRect/>
                          </a:stretch>
                        </pic:blipFill>
                        <pic:spPr>
                          <a:xfrm>
                            <a:off x="0" y="0"/>
                            <a:ext cx="5285105" cy="2235835"/>
                          </a:xfrm>
                          <a:prstGeom prst="rect">
                            <a:avLst/>
                          </a:prstGeom>
                          <a:noFill/>
                          <a:ln>
                            <a:noFill/>
                          </a:ln>
                        </pic:spPr>
                      </pic:pic>
                    </a:graphicData>
                  </a:graphic>
                </wp:inline>
              </w:drawing>
            </w:r>
          </w:p>
          <w:p>
            <w:pPr>
              <w:pStyle w:val="23"/>
              <w:adjustRightInd w:val="0"/>
              <w:snapToGrid w:val="0"/>
              <w:spacing w:after="0" w:line="240" w:lineRule="auto"/>
              <w:jc w:val="center"/>
              <w:rPr>
                <w:rFonts w:eastAsia="黑体"/>
              </w:rPr>
            </w:pPr>
            <w:r>
              <w:rPr>
                <w:rFonts w:eastAsia="黑体"/>
                <w:spacing w:val="11"/>
                <w:sz w:val="24"/>
              </w:rPr>
              <w:t xml:space="preserve">图2-6  </w:t>
            </w:r>
            <w:r>
              <w:rPr>
                <w:rFonts w:eastAsia="黑体"/>
                <w:sz w:val="24"/>
              </w:rPr>
              <w:t>排水沟断面图</w:t>
            </w:r>
          </w:p>
          <w:p>
            <w:pPr>
              <w:widowControl/>
              <w:spacing w:before="240" w:after="60"/>
              <w:rPr>
                <w:rFonts w:eastAsia="黑体"/>
                <w:kern w:val="0"/>
                <w:sz w:val="24"/>
              </w:rPr>
            </w:pPr>
            <w:r>
              <w:rPr>
                <w:rFonts w:hint="eastAsia" w:eastAsia="黑体"/>
                <w:kern w:val="0"/>
                <w:sz w:val="24"/>
              </w:rPr>
              <w:t>6</w:t>
            </w:r>
            <w:r>
              <w:rPr>
                <w:rFonts w:eastAsia="黑体"/>
                <w:kern w:val="0"/>
                <w:sz w:val="24"/>
              </w:rPr>
              <w:t>、取土场</w:t>
            </w:r>
          </w:p>
          <w:p>
            <w:pPr>
              <w:pStyle w:val="46"/>
              <w:ind w:firstLine="510" w:firstLineChars="200"/>
              <w:rPr>
                <w:sz w:val="24"/>
              </w:rPr>
            </w:pPr>
            <w:r>
              <w:rPr>
                <w:sz w:val="24"/>
              </w:rPr>
              <w:t>项目设临时取土场1处，临时占地面积51992.74m</w:t>
            </w:r>
            <w:r>
              <w:rPr>
                <w:sz w:val="24"/>
                <w:vertAlign w:val="superscript"/>
              </w:rPr>
              <w:t>2</w:t>
            </w:r>
            <w:r>
              <w:rPr>
                <w:sz w:val="24"/>
              </w:rPr>
              <w:t>，占地类型为其他草地，共计取土量为20万m</w:t>
            </w:r>
            <w:r>
              <w:rPr>
                <w:sz w:val="24"/>
                <w:vertAlign w:val="superscript"/>
              </w:rPr>
              <w:t>3</w:t>
            </w:r>
            <w:r>
              <w:rPr>
                <w:sz w:val="24"/>
              </w:rPr>
              <w:t>，取土厚度为7～8m，取土场地理坐标为E:106°42′50.878″，N:36°05′5.887″，位于水库下游西南侧，有现有便道通至坝址，距离坝址区平均运距0.2km，开采运输便利。取土前将剥离表土妥善保存，在施工结束后，对其进行机械土地整治、表土恢复、复垦，恢复原有植被形态。本项目取土场运输便利，符合《生产建设项目水土保持技术标准》的相关要求，取土场设置合理。</w:t>
            </w:r>
          </w:p>
          <w:p>
            <w:pPr>
              <w:widowControl/>
              <w:spacing w:before="240" w:after="60"/>
              <w:rPr>
                <w:rFonts w:eastAsia="黑体"/>
                <w:kern w:val="0"/>
                <w:sz w:val="24"/>
              </w:rPr>
            </w:pPr>
            <w:r>
              <w:rPr>
                <w:rFonts w:hint="eastAsia" w:eastAsia="黑体"/>
                <w:kern w:val="0"/>
                <w:sz w:val="24"/>
              </w:rPr>
              <w:t>7</w:t>
            </w:r>
            <w:r>
              <w:rPr>
                <w:rFonts w:eastAsia="黑体"/>
                <w:kern w:val="0"/>
                <w:sz w:val="24"/>
              </w:rPr>
              <w:t>、原料来源</w:t>
            </w:r>
          </w:p>
          <w:p>
            <w:pPr>
              <w:pStyle w:val="46"/>
              <w:ind w:firstLine="510" w:firstLineChars="200"/>
              <w:rPr>
                <w:sz w:val="24"/>
              </w:rPr>
            </w:pPr>
            <w:r>
              <w:rPr>
                <w:sz w:val="24"/>
              </w:rPr>
              <w:t>本工程坝体填筑时主要利用原坝体开挖土料，不足土料从临时取土场取土，填筑取土料量约为203599.98m</w:t>
            </w:r>
            <w:r>
              <w:rPr>
                <w:sz w:val="24"/>
                <w:vertAlign w:val="superscript"/>
              </w:rPr>
              <w:t>3</w:t>
            </w:r>
            <w:r>
              <w:rPr>
                <w:sz w:val="24"/>
              </w:rPr>
              <w:t>，取自本项目设置的1处临时取土场。</w:t>
            </w:r>
          </w:p>
          <w:p>
            <w:pPr>
              <w:pStyle w:val="46"/>
              <w:ind w:firstLine="510" w:firstLineChars="200"/>
              <w:rPr>
                <w:sz w:val="24"/>
              </w:rPr>
            </w:pPr>
            <w:r>
              <w:rPr>
                <w:sz w:val="24"/>
              </w:rPr>
              <w:t>本项目采用商品混凝土，不设拌和站。块石料等材料均外购。</w:t>
            </w:r>
          </w:p>
          <w:p>
            <w:pPr>
              <w:widowControl/>
              <w:spacing w:before="240" w:after="60"/>
              <w:rPr>
                <w:rFonts w:eastAsia="黑体"/>
                <w:kern w:val="0"/>
                <w:sz w:val="24"/>
              </w:rPr>
            </w:pPr>
            <w:bookmarkStart w:id="6" w:name="_Toc23717"/>
            <w:r>
              <w:rPr>
                <w:rFonts w:hint="eastAsia" w:eastAsia="黑体"/>
                <w:kern w:val="0"/>
                <w:sz w:val="24"/>
              </w:rPr>
              <w:t>8</w:t>
            </w:r>
            <w:r>
              <w:rPr>
                <w:rFonts w:eastAsia="黑体"/>
                <w:kern w:val="0"/>
                <w:sz w:val="24"/>
              </w:rPr>
              <w:t>、工程占地</w:t>
            </w:r>
            <w:bookmarkEnd w:id="6"/>
          </w:p>
          <w:p>
            <w:pPr>
              <w:ind w:firstLine="510" w:firstLineChars="200"/>
              <w:rPr>
                <w:sz w:val="24"/>
              </w:rPr>
            </w:pPr>
            <w:r>
              <w:rPr>
                <w:sz w:val="24"/>
              </w:rPr>
              <w:t>（1）占地类型</w:t>
            </w:r>
          </w:p>
          <w:p>
            <w:pPr>
              <w:ind w:firstLine="510" w:firstLineChars="200"/>
              <w:rPr>
                <w:sz w:val="24"/>
              </w:rPr>
            </w:pPr>
            <w:r>
              <w:rPr>
                <w:sz w:val="24"/>
              </w:rPr>
              <w:t>本项目不新增工程永久占地，不涉及移民搬迁安置，仅涉及新增临时占地。本次新增临时占地面积共计145381.98m²，主要包括施工生产生活区、取土场等施工用地，不改变占地类型；具体占地类型见下表。</w:t>
            </w:r>
          </w:p>
          <w:p>
            <w:pPr>
              <w:keepNext/>
              <w:overflowPunct w:val="0"/>
              <w:adjustRightInd w:val="0"/>
              <w:snapToGrid w:val="0"/>
              <w:jc w:val="center"/>
            </w:pPr>
            <w:r>
              <w:rPr>
                <w:rFonts w:eastAsia="黑体"/>
                <w:sz w:val="24"/>
              </w:rPr>
              <w:t>表2-3  工程占地  单位：</w:t>
            </w:r>
            <w:r>
              <w:rPr>
                <w:sz w:val="24"/>
              </w:rPr>
              <w:t>m</w:t>
            </w:r>
            <w:r>
              <w:rPr>
                <w:sz w:val="24"/>
                <w:vertAlign w:val="superscript"/>
              </w:rPr>
              <w:t>2</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680"/>
              <w:gridCol w:w="2165"/>
              <w:gridCol w:w="1175"/>
              <w:gridCol w:w="1269"/>
              <w:gridCol w:w="1149"/>
              <w:gridCol w:w="840"/>
              <w:gridCol w:w="103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08" w:type="pct"/>
                  <w:gridSpan w:val="2"/>
                  <w:noWrap/>
                  <w:tcMar>
                    <w:top w:w="15" w:type="dxa"/>
                    <w:left w:w="15" w:type="dxa"/>
                    <w:right w:w="15" w:type="dxa"/>
                  </w:tcMar>
                  <w:vAlign w:val="center"/>
                </w:tcPr>
                <w:p>
                  <w:pPr>
                    <w:widowControl/>
                    <w:adjustRightInd w:val="0"/>
                    <w:snapToGrid w:val="0"/>
                    <w:jc w:val="center"/>
                    <w:textAlignment w:val="center"/>
                    <w:rPr>
                      <w:b/>
                      <w:bCs/>
                      <w:szCs w:val="21"/>
                    </w:rPr>
                  </w:pPr>
                  <w:r>
                    <w:rPr>
                      <w:b/>
                      <w:bCs/>
                      <w:kern w:val="0"/>
                      <w:szCs w:val="21"/>
                    </w:rPr>
                    <w:t>占地分类</w:t>
                  </w:r>
                </w:p>
              </w:tc>
              <w:tc>
                <w:tcPr>
                  <w:tcW w:w="706" w:type="pct"/>
                  <w:noWrap/>
                  <w:tcMar>
                    <w:top w:w="15" w:type="dxa"/>
                    <w:left w:w="15" w:type="dxa"/>
                    <w:right w:w="15" w:type="dxa"/>
                  </w:tcMar>
                  <w:vAlign w:val="center"/>
                </w:tcPr>
                <w:p>
                  <w:pPr>
                    <w:widowControl/>
                    <w:adjustRightInd w:val="0"/>
                    <w:snapToGrid w:val="0"/>
                    <w:jc w:val="center"/>
                    <w:textAlignment w:val="center"/>
                    <w:rPr>
                      <w:b/>
                      <w:bCs/>
                      <w:szCs w:val="21"/>
                    </w:rPr>
                  </w:pPr>
                  <w:r>
                    <w:rPr>
                      <w:b/>
                      <w:bCs/>
                      <w:kern w:val="0"/>
                      <w:szCs w:val="21"/>
                    </w:rPr>
                    <w:t>其他草地</w:t>
                  </w:r>
                </w:p>
              </w:tc>
              <w:tc>
                <w:tcPr>
                  <w:tcW w:w="763" w:type="pct"/>
                  <w:noWrap/>
                  <w:tcMar>
                    <w:top w:w="15" w:type="dxa"/>
                    <w:left w:w="15" w:type="dxa"/>
                    <w:right w:w="15" w:type="dxa"/>
                  </w:tcMar>
                  <w:vAlign w:val="center"/>
                </w:tcPr>
                <w:p>
                  <w:pPr>
                    <w:widowControl/>
                    <w:adjustRightInd w:val="0"/>
                    <w:snapToGrid w:val="0"/>
                    <w:jc w:val="center"/>
                    <w:textAlignment w:val="center"/>
                    <w:rPr>
                      <w:b/>
                      <w:bCs/>
                      <w:kern w:val="0"/>
                      <w:szCs w:val="21"/>
                    </w:rPr>
                  </w:pPr>
                  <w:r>
                    <w:rPr>
                      <w:b/>
                      <w:bCs/>
                      <w:kern w:val="0"/>
                      <w:szCs w:val="21"/>
                    </w:rPr>
                    <w:t>水工建筑用地</w:t>
                  </w:r>
                </w:p>
              </w:tc>
              <w:tc>
                <w:tcPr>
                  <w:tcW w:w="691" w:type="pct"/>
                  <w:noWrap/>
                  <w:tcMar>
                    <w:top w:w="15" w:type="dxa"/>
                    <w:left w:w="15" w:type="dxa"/>
                    <w:right w:w="15" w:type="dxa"/>
                  </w:tcMar>
                  <w:vAlign w:val="center"/>
                </w:tcPr>
                <w:p>
                  <w:pPr>
                    <w:widowControl/>
                    <w:adjustRightInd w:val="0"/>
                    <w:snapToGrid w:val="0"/>
                    <w:jc w:val="center"/>
                    <w:textAlignment w:val="center"/>
                    <w:rPr>
                      <w:b/>
                      <w:bCs/>
                      <w:kern w:val="0"/>
                      <w:szCs w:val="21"/>
                    </w:rPr>
                  </w:pPr>
                  <w:r>
                    <w:rPr>
                      <w:b/>
                      <w:bCs/>
                      <w:kern w:val="0"/>
                      <w:szCs w:val="21"/>
                    </w:rPr>
                    <w:t>农村道路</w:t>
                  </w:r>
                </w:p>
              </w:tc>
              <w:tc>
                <w:tcPr>
                  <w:tcW w:w="505" w:type="pct"/>
                  <w:tcBorders>
                    <w:right w:val="single" w:color="auto" w:sz="4" w:space="0"/>
                  </w:tcBorders>
                  <w:noWrap/>
                  <w:tcMar>
                    <w:top w:w="15" w:type="dxa"/>
                    <w:left w:w="15" w:type="dxa"/>
                    <w:right w:w="15" w:type="dxa"/>
                  </w:tcMar>
                  <w:vAlign w:val="center"/>
                </w:tcPr>
                <w:p>
                  <w:pPr>
                    <w:widowControl/>
                    <w:adjustRightInd w:val="0"/>
                    <w:snapToGrid w:val="0"/>
                    <w:jc w:val="center"/>
                    <w:textAlignment w:val="center"/>
                    <w:rPr>
                      <w:b/>
                      <w:bCs/>
                      <w:kern w:val="0"/>
                      <w:szCs w:val="21"/>
                    </w:rPr>
                  </w:pPr>
                  <w:r>
                    <w:rPr>
                      <w:b/>
                      <w:bCs/>
                      <w:kern w:val="0"/>
                      <w:szCs w:val="21"/>
                    </w:rPr>
                    <w:t>村庄</w:t>
                  </w:r>
                </w:p>
              </w:tc>
              <w:tc>
                <w:tcPr>
                  <w:tcW w:w="624" w:type="pct"/>
                  <w:tcBorders>
                    <w:left w:val="single" w:color="auto" w:sz="4" w:space="0"/>
                  </w:tcBorders>
                  <w:noWrap/>
                  <w:tcMar>
                    <w:top w:w="15" w:type="dxa"/>
                    <w:left w:w="15" w:type="dxa"/>
                    <w:right w:w="15" w:type="dxa"/>
                  </w:tcMar>
                  <w:vAlign w:val="center"/>
                </w:tcPr>
                <w:p>
                  <w:pPr>
                    <w:widowControl/>
                    <w:adjustRightInd w:val="0"/>
                    <w:snapToGrid w:val="0"/>
                    <w:jc w:val="center"/>
                    <w:textAlignment w:val="center"/>
                    <w:rPr>
                      <w:b/>
                      <w:bCs/>
                      <w:kern w:val="0"/>
                      <w:szCs w:val="21"/>
                    </w:rPr>
                  </w:pPr>
                  <w:r>
                    <w:rPr>
                      <w:b/>
                      <w:bCs/>
                      <w:kern w:val="0"/>
                      <w:szCs w:val="21"/>
                    </w:rPr>
                    <w:t>合计</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8" w:type="pct"/>
                  <w:vMerge w:val="restart"/>
                  <w:tcBorders>
                    <w:right w:val="single" w:color="auto" w:sz="4" w:space="0"/>
                  </w:tcBorders>
                  <w:noWrap/>
                  <w:tcMar>
                    <w:top w:w="15" w:type="dxa"/>
                    <w:left w:w="15" w:type="dxa"/>
                    <w:right w:w="15" w:type="dxa"/>
                  </w:tcMar>
                  <w:vAlign w:val="center"/>
                </w:tcPr>
                <w:p>
                  <w:pPr>
                    <w:widowControl/>
                    <w:adjustRightInd w:val="0"/>
                    <w:snapToGrid w:val="0"/>
                    <w:jc w:val="center"/>
                    <w:rPr>
                      <w:szCs w:val="21"/>
                    </w:rPr>
                  </w:pPr>
                  <w:r>
                    <w:rPr>
                      <w:szCs w:val="21"/>
                    </w:rPr>
                    <w:t>工程临时占地</w:t>
                  </w:r>
                </w:p>
              </w:tc>
              <w:tc>
                <w:tcPr>
                  <w:tcW w:w="1300" w:type="pct"/>
                  <w:tcBorders>
                    <w:lef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szCs w:val="21"/>
                    </w:rPr>
                    <w:t>临时取土场</w:t>
                  </w:r>
                </w:p>
              </w:tc>
              <w:tc>
                <w:tcPr>
                  <w:tcW w:w="1175"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51992.74</w:t>
                  </w:r>
                </w:p>
              </w:tc>
              <w:tc>
                <w:tcPr>
                  <w:tcW w:w="127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w:t>
                  </w:r>
                </w:p>
              </w:tc>
              <w:tc>
                <w:tcPr>
                  <w:tcW w:w="115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w:t>
                  </w:r>
                </w:p>
              </w:tc>
              <w:tc>
                <w:tcPr>
                  <w:tcW w:w="840" w:type="dxa"/>
                  <w:tcBorders>
                    <w:righ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w:t>
                  </w:r>
                </w:p>
              </w:tc>
              <w:tc>
                <w:tcPr>
                  <w:tcW w:w="1039" w:type="dxa"/>
                  <w:tcBorders>
                    <w:lef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51992.74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8" w:type="pct"/>
                  <w:vMerge w:val="continue"/>
                  <w:tcBorders>
                    <w:right w:val="single" w:color="auto" w:sz="4" w:space="0"/>
                  </w:tcBorders>
                  <w:noWrap/>
                  <w:tcMar>
                    <w:top w:w="15" w:type="dxa"/>
                    <w:left w:w="15" w:type="dxa"/>
                    <w:right w:w="15" w:type="dxa"/>
                  </w:tcMar>
                  <w:vAlign w:val="center"/>
                </w:tcPr>
                <w:p>
                  <w:pPr>
                    <w:widowControl/>
                    <w:adjustRightInd w:val="0"/>
                    <w:snapToGrid w:val="0"/>
                    <w:jc w:val="center"/>
                    <w:rPr>
                      <w:szCs w:val="21"/>
                    </w:rPr>
                  </w:pPr>
                </w:p>
              </w:tc>
              <w:tc>
                <w:tcPr>
                  <w:tcW w:w="1300" w:type="pct"/>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施工生产生活区</w:t>
                  </w:r>
                </w:p>
              </w:tc>
              <w:tc>
                <w:tcPr>
                  <w:tcW w:w="1175" w:type="dxa"/>
                  <w:noWrap/>
                  <w:tcMar>
                    <w:top w:w="15" w:type="dxa"/>
                    <w:left w:w="15" w:type="dxa"/>
                    <w:right w:w="15" w:type="dxa"/>
                  </w:tcMar>
                  <w:vAlign w:val="center"/>
                </w:tcPr>
                <w:p>
                  <w:pPr>
                    <w:widowControl/>
                    <w:adjustRightInd w:val="0"/>
                    <w:snapToGrid w:val="0"/>
                    <w:jc w:val="center"/>
                    <w:textAlignment w:val="center"/>
                  </w:pPr>
                  <w:r>
                    <w:rPr>
                      <w:kern w:val="0"/>
                      <w:szCs w:val="21"/>
                    </w:rPr>
                    <w:t>3200</w:t>
                  </w:r>
                </w:p>
              </w:tc>
              <w:tc>
                <w:tcPr>
                  <w:tcW w:w="127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w:t>
                  </w:r>
                </w:p>
              </w:tc>
              <w:tc>
                <w:tcPr>
                  <w:tcW w:w="115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w:t>
                  </w:r>
                </w:p>
              </w:tc>
              <w:tc>
                <w:tcPr>
                  <w:tcW w:w="840" w:type="dxa"/>
                  <w:tcBorders>
                    <w:righ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w:t>
                  </w:r>
                </w:p>
              </w:tc>
              <w:tc>
                <w:tcPr>
                  <w:tcW w:w="1039" w:type="dxa"/>
                  <w:tcBorders>
                    <w:lef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3200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8" w:type="pct"/>
                  <w:vMerge w:val="continue"/>
                  <w:tcBorders>
                    <w:right w:val="single" w:color="auto" w:sz="4" w:space="0"/>
                  </w:tcBorders>
                  <w:noWrap/>
                  <w:tcMar>
                    <w:top w:w="15" w:type="dxa"/>
                    <w:left w:w="15" w:type="dxa"/>
                    <w:right w:w="15" w:type="dxa"/>
                  </w:tcMar>
                  <w:vAlign w:val="center"/>
                </w:tcPr>
                <w:p>
                  <w:pPr>
                    <w:widowControl/>
                    <w:adjustRightInd w:val="0"/>
                    <w:snapToGrid w:val="0"/>
                    <w:jc w:val="center"/>
                    <w:rPr>
                      <w:szCs w:val="21"/>
                    </w:rPr>
                  </w:pPr>
                </w:p>
              </w:tc>
              <w:tc>
                <w:tcPr>
                  <w:tcW w:w="1300" w:type="pct"/>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坝体施工作业面</w:t>
                  </w:r>
                </w:p>
              </w:tc>
              <w:tc>
                <w:tcPr>
                  <w:tcW w:w="1175" w:type="dxa"/>
                  <w:noWrap/>
                  <w:tcMar>
                    <w:top w:w="15" w:type="dxa"/>
                    <w:left w:w="15" w:type="dxa"/>
                    <w:right w:w="15" w:type="dxa"/>
                  </w:tcMar>
                  <w:vAlign w:val="center"/>
                </w:tcPr>
                <w:p>
                  <w:pPr>
                    <w:widowControl/>
                    <w:adjustRightInd w:val="0"/>
                    <w:snapToGrid w:val="0"/>
                    <w:jc w:val="center"/>
                    <w:textAlignment w:val="center"/>
                    <w:rPr>
                      <w:szCs w:val="21"/>
                    </w:rPr>
                  </w:pPr>
                  <w:r>
                    <w:rPr>
                      <w:kern w:val="0"/>
                      <w:szCs w:val="21"/>
                    </w:rPr>
                    <w:t>44261.99</w:t>
                  </w:r>
                </w:p>
              </w:tc>
              <w:tc>
                <w:tcPr>
                  <w:tcW w:w="127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38876.44</w:t>
                  </w:r>
                </w:p>
              </w:tc>
              <w:tc>
                <w:tcPr>
                  <w:tcW w:w="115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38.74</w:t>
                  </w:r>
                </w:p>
              </w:tc>
              <w:tc>
                <w:tcPr>
                  <w:tcW w:w="840" w:type="dxa"/>
                  <w:tcBorders>
                    <w:righ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7012.07</w:t>
                  </w:r>
                </w:p>
              </w:tc>
              <w:tc>
                <w:tcPr>
                  <w:tcW w:w="1039" w:type="dxa"/>
                  <w:tcBorders>
                    <w:lef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90189.24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8" w:type="pct"/>
                  <w:vMerge w:val="continue"/>
                  <w:tcBorders>
                    <w:right w:val="single" w:color="auto" w:sz="4" w:space="0"/>
                  </w:tcBorders>
                  <w:noWrap/>
                  <w:tcMar>
                    <w:top w:w="15" w:type="dxa"/>
                    <w:left w:w="15" w:type="dxa"/>
                    <w:right w:w="15" w:type="dxa"/>
                  </w:tcMar>
                  <w:vAlign w:val="center"/>
                </w:tcPr>
                <w:p>
                  <w:pPr>
                    <w:widowControl/>
                    <w:adjustRightInd w:val="0"/>
                    <w:snapToGrid w:val="0"/>
                    <w:jc w:val="center"/>
                    <w:rPr>
                      <w:szCs w:val="21"/>
                    </w:rPr>
                  </w:pPr>
                </w:p>
              </w:tc>
              <w:tc>
                <w:tcPr>
                  <w:tcW w:w="1300" w:type="pct"/>
                  <w:noWrap/>
                  <w:tcMar>
                    <w:top w:w="15" w:type="dxa"/>
                    <w:left w:w="15" w:type="dxa"/>
                    <w:right w:w="15" w:type="dxa"/>
                  </w:tcMar>
                  <w:vAlign w:val="center"/>
                </w:tcPr>
                <w:p>
                  <w:pPr>
                    <w:widowControl/>
                    <w:adjustRightInd w:val="0"/>
                    <w:snapToGrid w:val="0"/>
                    <w:jc w:val="center"/>
                    <w:textAlignment w:val="center"/>
                    <w:rPr>
                      <w:szCs w:val="21"/>
                    </w:rPr>
                  </w:pPr>
                  <w:r>
                    <w:rPr>
                      <w:kern w:val="0"/>
                      <w:szCs w:val="21"/>
                    </w:rPr>
                    <w:t>合计</w:t>
                  </w:r>
                </w:p>
              </w:tc>
              <w:tc>
                <w:tcPr>
                  <w:tcW w:w="1175" w:type="dxa"/>
                  <w:noWrap/>
                  <w:tcMar>
                    <w:top w:w="15" w:type="dxa"/>
                    <w:left w:w="15" w:type="dxa"/>
                    <w:right w:w="15" w:type="dxa"/>
                  </w:tcMar>
                  <w:vAlign w:val="center"/>
                </w:tcPr>
                <w:p>
                  <w:pPr>
                    <w:widowControl/>
                    <w:adjustRightInd w:val="0"/>
                    <w:snapToGrid w:val="0"/>
                    <w:jc w:val="center"/>
                    <w:textAlignment w:val="center"/>
                    <w:rPr>
                      <w:szCs w:val="21"/>
                    </w:rPr>
                  </w:pPr>
                  <w:r>
                    <w:rPr>
                      <w:kern w:val="0"/>
                      <w:szCs w:val="21"/>
                    </w:rPr>
                    <w:t>99454.73</w:t>
                  </w:r>
                </w:p>
              </w:tc>
              <w:tc>
                <w:tcPr>
                  <w:tcW w:w="127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38876.44</w:t>
                  </w:r>
                </w:p>
              </w:tc>
              <w:tc>
                <w:tcPr>
                  <w:tcW w:w="1150" w:type="dxa"/>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38.74</w:t>
                  </w:r>
                </w:p>
              </w:tc>
              <w:tc>
                <w:tcPr>
                  <w:tcW w:w="840" w:type="dxa"/>
                  <w:tcBorders>
                    <w:righ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7012.07</w:t>
                  </w:r>
                </w:p>
              </w:tc>
              <w:tc>
                <w:tcPr>
                  <w:tcW w:w="1039" w:type="dxa"/>
                  <w:tcBorders>
                    <w:left w:val="single" w:color="auto" w:sz="4" w:space="0"/>
                  </w:tcBorders>
                  <w:noWrap/>
                  <w:tcMar>
                    <w:top w:w="15" w:type="dxa"/>
                    <w:left w:w="15" w:type="dxa"/>
                    <w:right w:w="15" w:type="dxa"/>
                  </w:tcMar>
                  <w:vAlign w:val="center"/>
                </w:tcPr>
                <w:p>
                  <w:pPr>
                    <w:widowControl/>
                    <w:adjustRightInd w:val="0"/>
                    <w:snapToGrid w:val="0"/>
                    <w:jc w:val="center"/>
                    <w:textAlignment w:val="center"/>
                    <w:rPr>
                      <w:kern w:val="0"/>
                      <w:szCs w:val="21"/>
                    </w:rPr>
                  </w:pPr>
                  <w:r>
                    <w:rPr>
                      <w:kern w:val="0"/>
                      <w:szCs w:val="21"/>
                    </w:rPr>
                    <w:t>145381.98</w:t>
                  </w:r>
                </w:p>
              </w:tc>
            </w:tr>
          </w:tbl>
          <w:p>
            <w:pPr>
              <w:ind w:firstLine="510" w:firstLineChars="200"/>
              <w:rPr>
                <w:sz w:val="24"/>
              </w:rPr>
            </w:pPr>
            <w:r>
              <w:rPr>
                <w:sz w:val="24"/>
              </w:rPr>
              <w:t>（2）拆迁安置</w:t>
            </w:r>
          </w:p>
          <w:p>
            <w:pPr>
              <w:ind w:firstLine="510" w:firstLineChars="200"/>
              <w:rPr>
                <w:sz w:val="24"/>
              </w:rPr>
            </w:pPr>
            <w:r>
              <w:rPr>
                <w:sz w:val="24"/>
              </w:rPr>
              <w:t>工程区域不涉及拆迁及拆迁安置。</w:t>
            </w:r>
          </w:p>
          <w:p>
            <w:pPr>
              <w:widowControl/>
              <w:spacing w:before="240" w:after="60"/>
              <w:rPr>
                <w:rFonts w:eastAsia="黑体"/>
                <w:kern w:val="0"/>
                <w:sz w:val="24"/>
              </w:rPr>
            </w:pPr>
            <w:r>
              <w:rPr>
                <w:rFonts w:eastAsia="黑体"/>
                <w:kern w:val="0"/>
                <w:sz w:val="24"/>
              </w:rPr>
              <w:t>9、土石方平衡</w:t>
            </w:r>
          </w:p>
          <w:p>
            <w:pPr>
              <w:ind w:firstLine="510" w:firstLineChars="200"/>
              <w:rPr>
                <w:sz w:val="24"/>
              </w:rPr>
            </w:pPr>
            <w:r>
              <w:rPr>
                <w:sz w:val="24"/>
              </w:rPr>
              <w:t>根据设计资料，水库除险加固施工过程中，主要为主体工程开挖土方，项目建设过程中土石方挖方2</w:t>
            </w:r>
            <w:r>
              <w:rPr>
                <w:rFonts w:hint="eastAsia"/>
                <w:sz w:val="24"/>
              </w:rPr>
              <w:t>3.14</w:t>
            </w:r>
            <w:r>
              <w:rPr>
                <w:sz w:val="24"/>
              </w:rPr>
              <w:t>万m</w:t>
            </w:r>
            <w:r>
              <w:rPr>
                <w:sz w:val="24"/>
                <w:vertAlign w:val="superscript"/>
              </w:rPr>
              <w:t>3</w:t>
            </w:r>
            <w:r>
              <w:rPr>
                <w:sz w:val="24"/>
              </w:rPr>
              <w:t>，填方2</w:t>
            </w:r>
            <w:r>
              <w:rPr>
                <w:rFonts w:hint="eastAsia"/>
                <w:sz w:val="24"/>
              </w:rPr>
              <w:t>1.32</w:t>
            </w:r>
            <w:r>
              <w:rPr>
                <w:sz w:val="24"/>
              </w:rPr>
              <w:t>万m</w:t>
            </w:r>
            <w:r>
              <w:rPr>
                <w:sz w:val="24"/>
                <w:vertAlign w:val="superscript"/>
              </w:rPr>
              <w:t>3</w:t>
            </w:r>
            <w:r>
              <w:rPr>
                <w:sz w:val="24"/>
              </w:rPr>
              <w:t>，弃（土）渣1.82万m</w:t>
            </w:r>
            <w:r>
              <w:rPr>
                <w:sz w:val="24"/>
                <w:vertAlign w:val="superscript"/>
              </w:rPr>
              <w:t>3</w:t>
            </w:r>
            <w:r>
              <w:rPr>
                <w:sz w:val="24"/>
              </w:rPr>
              <w:t>，其中1.79万m</w:t>
            </w:r>
            <w:r>
              <w:rPr>
                <w:sz w:val="24"/>
                <w:vertAlign w:val="superscript"/>
              </w:rPr>
              <w:t>3</w:t>
            </w:r>
            <w:r>
              <w:rPr>
                <w:sz w:val="24"/>
              </w:rPr>
              <w:t>清基土就近1km范围内摊铺，193.62m</w:t>
            </w:r>
            <w:r>
              <w:rPr>
                <w:sz w:val="24"/>
                <w:vertAlign w:val="superscript"/>
              </w:rPr>
              <w:t>3</w:t>
            </w:r>
            <w:r>
              <w:rPr>
                <w:sz w:val="24"/>
              </w:rPr>
              <w:t>建筑拆除垃圾运至政府指定建筑垃圾填埋场。</w:t>
            </w:r>
          </w:p>
          <w:p>
            <w:pPr>
              <w:adjustRightInd w:val="0"/>
              <w:snapToGrid w:val="0"/>
              <w:jc w:val="center"/>
              <w:rPr>
                <w:rFonts w:eastAsia="仿宋_GB2312"/>
                <w:b/>
              </w:rPr>
            </w:pPr>
            <w:r>
              <w:rPr>
                <w:rFonts w:eastAsia="黑体"/>
                <w:bCs/>
                <w:sz w:val="24"/>
              </w:rPr>
              <w:t>表2-4  项目工程土石方平衡表  单位：m</w:t>
            </w:r>
            <w:r>
              <w:rPr>
                <w:rFonts w:eastAsia="黑体"/>
                <w:bCs/>
                <w:sz w:val="24"/>
                <w:vertAlign w:val="superscript"/>
              </w:rPr>
              <w:t>3</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90"/>
              <w:gridCol w:w="550"/>
              <w:gridCol w:w="860"/>
              <w:gridCol w:w="910"/>
              <w:gridCol w:w="1050"/>
              <w:gridCol w:w="721"/>
              <w:gridCol w:w="654"/>
              <w:gridCol w:w="875"/>
              <w:gridCol w:w="934"/>
              <w:gridCol w:w="750"/>
              <w:gridCol w:w="6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restart"/>
                  <w:noWrap/>
                  <w:vAlign w:val="center"/>
                </w:tcPr>
                <w:p>
                  <w:pPr>
                    <w:widowControl/>
                    <w:adjustRightInd w:val="0"/>
                    <w:snapToGrid w:val="0"/>
                    <w:jc w:val="center"/>
                    <w:rPr>
                      <w:b/>
                      <w:bCs/>
                      <w:kern w:val="0"/>
                      <w:szCs w:val="21"/>
                    </w:rPr>
                  </w:pPr>
                  <w:r>
                    <w:rPr>
                      <w:b/>
                      <w:bCs/>
                      <w:kern w:val="0"/>
                      <w:szCs w:val="21"/>
                    </w:rPr>
                    <w:t>序号</w:t>
                  </w:r>
                </w:p>
              </w:tc>
              <w:tc>
                <w:tcPr>
                  <w:tcW w:w="1410" w:type="dxa"/>
                  <w:gridSpan w:val="2"/>
                  <w:vMerge w:val="restart"/>
                  <w:noWrap/>
                  <w:vAlign w:val="center"/>
                </w:tcPr>
                <w:p>
                  <w:pPr>
                    <w:widowControl/>
                    <w:adjustRightInd w:val="0"/>
                    <w:snapToGrid w:val="0"/>
                    <w:jc w:val="center"/>
                    <w:rPr>
                      <w:b/>
                      <w:bCs/>
                      <w:kern w:val="0"/>
                      <w:szCs w:val="21"/>
                    </w:rPr>
                  </w:pPr>
                  <w:r>
                    <w:rPr>
                      <w:b/>
                      <w:bCs/>
                      <w:kern w:val="0"/>
                      <w:szCs w:val="21"/>
                    </w:rPr>
                    <w:t>项目</w:t>
                  </w:r>
                </w:p>
              </w:tc>
              <w:tc>
                <w:tcPr>
                  <w:tcW w:w="910" w:type="dxa"/>
                  <w:noWrap/>
                  <w:vAlign w:val="center"/>
                </w:tcPr>
                <w:p>
                  <w:pPr>
                    <w:widowControl/>
                    <w:adjustRightInd w:val="0"/>
                    <w:snapToGrid w:val="0"/>
                    <w:jc w:val="center"/>
                    <w:rPr>
                      <w:b/>
                      <w:bCs/>
                      <w:kern w:val="0"/>
                      <w:szCs w:val="21"/>
                    </w:rPr>
                  </w:pPr>
                  <w:r>
                    <w:rPr>
                      <w:b/>
                      <w:bCs/>
                      <w:kern w:val="0"/>
                      <w:szCs w:val="21"/>
                    </w:rPr>
                    <w:t>挖方</w:t>
                  </w:r>
                </w:p>
              </w:tc>
              <w:tc>
                <w:tcPr>
                  <w:tcW w:w="1771" w:type="dxa"/>
                  <w:gridSpan w:val="2"/>
                  <w:noWrap/>
                  <w:vAlign w:val="center"/>
                </w:tcPr>
                <w:p>
                  <w:pPr>
                    <w:widowControl/>
                    <w:adjustRightInd w:val="0"/>
                    <w:snapToGrid w:val="0"/>
                    <w:jc w:val="center"/>
                    <w:rPr>
                      <w:b/>
                      <w:bCs/>
                      <w:kern w:val="0"/>
                      <w:szCs w:val="21"/>
                    </w:rPr>
                  </w:pPr>
                  <w:r>
                    <w:rPr>
                      <w:b/>
                      <w:bCs/>
                      <w:kern w:val="0"/>
                      <w:szCs w:val="21"/>
                    </w:rPr>
                    <w:t>借方</w:t>
                  </w:r>
                </w:p>
              </w:tc>
              <w:tc>
                <w:tcPr>
                  <w:tcW w:w="654" w:type="dxa"/>
                  <w:noWrap/>
                  <w:vAlign w:val="center"/>
                </w:tcPr>
                <w:p>
                  <w:pPr>
                    <w:widowControl/>
                    <w:adjustRightInd w:val="0"/>
                    <w:snapToGrid w:val="0"/>
                    <w:jc w:val="center"/>
                    <w:rPr>
                      <w:b/>
                      <w:bCs/>
                      <w:kern w:val="0"/>
                      <w:szCs w:val="21"/>
                    </w:rPr>
                  </w:pPr>
                  <w:r>
                    <w:rPr>
                      <w:b/>
                      <w:bCs/>
                      <w:kern w:val="0"/>
                      <w:szCs w:val="21"/>
                    </w:rPr>
                    <w:t>填方</w:t>
                  </w:r>
                </w:p>
              </w:tc>
              <w:tc>
                <w:tcPr>
                  <w:tcW w:w="1809" w:type="dxa"/>
                  <w:gridSpan w:val="2"/>
                  <w:noWrap/>
                  <w:vAlign w:val="center"/>
                </w:tcPr>
                <w:p>
                  <w:pPr>
                    <w:widowControl/>
                    <w:adjustRightInd w:val="0"/>
                    <w:snapToGrid w:val="0"/>
                    <w:jc w:val="center"/>
                    <w:rPr>
                      <w:b/>
                      <w:bCs/>
                      <w:kern w:val="0"/>
                      <w:szCs w:val="21"/>
                    </w:rPr>
                  </w:pPr>
                  <w:r>
                    <w:rPr>
                      <w:b/>
                      <w:bCs/>
                      <w:kern w:val="0"/>
                      <w:szCs w:val="21"/>
                    </w:rPr>
                    <w:t>综合利用</w:t>
                  </w:r>
                </w:p>
              </w:tc>
              <w:tc>
                <w:tcPr>
                  <w:tcW w:w="1372" w:type="dxa"/>
                  <w:gridSpan w:val="2"/>
                  <w:noWrap/>
                  <w:vAlign w:val="center"/>
                </w:tcPr>
                <w:p>
                  <w:pPr>
                    <w:widowControl/>
                    <w:adjustRightInd w:val="0"/>
                    <w:snapToGrid w:val="0"/>
                    <w:jc w:val="center"/>
                    <w:rPr>
                      <w:b/>
                      <w:bCs/>
                      <w:kern w:val="0"/>
                      <w:szCs w:val="21"/>
                    </w:rPr>
                  </w:pPr>
                  <w:r>
                    <w:rPr>
                      <w:b/>
                      <w:bCs/>
                      <w:kern w:val="0"/>
                      <w:szCs w:val="21"/>
                    </w:rPr>
                    <w:t>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continue"/>
                  <w:noWrap/>
                  <w:vAlign w:val="center"/>
                </w:tcPr>
                <w:p>
                  <w:pPr>
                    <w:widowControl/>
                    <w:adjustRightInd w:val="0"/>
                    <w:snapToGrid w:val="0"/>
                    <w:jc w:val="center"/>
                    <w:rPr>
                      <w:kern w:val="0"/>
                      <w:szCs w:val="21"/>
                    </w:rPr>
                  </w:pPr>
                </w:p>
              </w:tc>
              <w:tc>
                <w:tcPr>
                  <w:tcW w:w="1410" w:type="dxa"/>
                  <w:gridSpan w:val="2"/>
                  <w:vMerge w:val="continue"/>
                  <w:noWrap/>
                  <w:vAlign w:val="center"/>
                </w:tcPr>
                <w:p>
                  <w:pPr>
                    <w:widowControl/>
                    <w:adjustRightInd w:val="0"/>
                    <w:snapToGrid w:val="0"/>
                    <w:jc w:val="center"/>
                    <w:rPr>
                      <w:kern w:val="0"/>
                      <w:szCs w:val="21"/>
                    </w:rPr>
                  </w:pPr>
                </w:p>
              </w:tc>
              <w:tc>
                <w:tcPr>
                  <w:tcW w:w="910" w:type="dxa"/>
                  <w:noWrap/>
                  <w:vAlign w:val="center"/>
                </w:tcPr>
                <w:p>
                  <w:pPr>
                    <w:widowControl/>
                    <w:adjustRightInd w:val="0"/>
                    <w:snapToGrid w:val="0"/>
                    <w:jc w:val="center"/>
                    <w:rPr>
                      <w:b/>
                      <w:bCs/>
                      <w:kern w:val="0"/>
                      <w:szCs w:val="21"/>
                    </w:rPr>
                  </w:pPr>
                  <w:r>
                    <w:rPr>
                      <w:b/>
                      <w:bCs/>
                      <w:kern w:val="0"/>
                      <w:szCs w:val="21"/>
                    </w:rPr>
                    <w:t>数量</w:t>
                  </w:r>
                </w:p>
              </w:tc>
              <w:tc>
                <w:tcPr>
                  <w:tcW w:w="1050" w:type="dxa"/>
                  <w:noWrap/>
                  <w:vAlign w:val="center"/>
                </w:tcPr>
                <w:p>
                  <w:pPr>
                    <w:widowControl/>
                    <w:adjustRightInd w:val="0"/>
                    <w:snapToGrid w:val="0"/>
                    <w:jc w:val="center"/>
                    <w:rPr>
                      <w:b/>
                      <w:bCs/>
                      <w:kern w:val="0"/>
                      <w:szCs w:val="21"/>
                    </w:rPr>
                  </w:pPr>
                  <w:r>
                    <w:rPr>
                      <w:b/>
                      <w:bCs/>
                      <w:kern w:val="0"/>
                      <w:szCs w:val="21"/>
                    </w:rPr>
                    <w:t>数量</w:t>
                  </w:r>
                </w:p>
              </w:tc>
              <w:tc>
                <w:tcPr>
                  <w:tcW w:w="721" w:type="dxa"/>
                  <w:noWrap/>
                  <w:vAlign w:val="center"/>
                </w:tcPr>
                <w:p>
                  <w:pPr>
                    <w:widowControl/>
                    <w:adjustRightInd w:val="0"/>
                    <w:snapToGrid w:val="0"/>
                    <w:jc w:val="center"/>
                    <w:rPr>
                      <w:b/>
                      <w:bCs/>
                      <w:kern w:val="0"/>
                      <w:szCs w:val="21"/>
                    </w:rPr>
                  </w:pPr>
                  <w:r>
                    <w:rPr>
                      <w:b/>
                      <w:bCs/>
                      <w:kern w:val="0"/>
                      <w:szCs w:val="21"/>
                    </w:rPr>
                    <w:t>来源</w:t>
                  </w:r>
                </w:p>
              </w:tc>
              <w:tc>
                <w:tcPr>
                  <w:tcW w:w="654" w:type="dxa"/>
                  <w:noWrap/>
                  <w:vAlign w:val="center"/>
                </w:tcPr>
                <w:p>
                  <w:pPr>
                    <w:widowControl/>
                    <w:adjustRightInd w:val="0"/>
                    <w:snapToGrid w:val="0"/>
                    <w:jc w:val="center"/>
                    <w:rPr>
                      <w:b/>
                      <w:bCs/>
                      <w:kern w:val="0"/>
                      <w:szCs w:val="21"/>
                    </w:rPr>
                  </w:pPr>
                  <w:r>
                    <w:rPr>
                      <w:b/>
                      <w:bCs/>
                      <w:kern w:val="0"/>
                      <w:szCs w:val="21"/>
                    </w:rPr>
                    <w:t>数量</w:t>
                  </w:r>
                </w:p>
              </w:tc>
              <w:tc>
                <w:tcPr>
                  <w:tcW w:w="875" w:type="dxa"/>
                  <w:noWrap/>
                  <w:vAlign w:val="center"/>
                </w:tcPr>
                <w:p>
                  <w:pPr>
                    <w:widowControl/>
                    <w:adjustRightInd w:val="0"/>
                    <w:snapToGrid w:val="0"/>
                    <w:jc w:val="center"/>
                    <w:rPr>
                      <w:b/>
                      <w:bCs/>
                      <w:kern w:val="0"/>
                      <w:szCs w:val="21"/>
                    </w:rPr>
                  </w:pPr>
                  <w:r>
                    <w:rPr>
                      <w:b/>
                      <w:bCs/>
                      <w:kern w:val="0"/>
                      <w:szCs w:val="21"/>
                    </w:rPr>
                    <w:t>数量</w:t>
                  </w:r>
                </w:p>
              </w:tc>
              <w:tc>
                <w:tcPr>
                  <w:tcW w:w="934" w:type="dxa"/>
                  <w:noWrap/>
                  <w:vAlign w:val="center"/>
                </w:tcPr>
                <w:p>
                  <w:pPr>
                    <w:widowControl/>
                    <w:adjustRightInd w:val="0"/>
                    <w:snapToGrid w:val="0"/>
                    <w:jc w:val="center"/>
                    <w:rPr>
                      <w:b/>
                      <w:bCs/>
                      <w:kern w:val="0"/>
                      <w:szCs w:val="21"/>
                    </w:rPr>
                  </w:pPr>
                  <w:r>
                    <w:rPr>
                      <w:b/>
                      <w:bCs/>
                      <w:kern w:val="0"/>
                      <w:szCs w:val="21"/>
                    </w:rPr>
                    <w:t>去向</w:t>
                  </w:r>
                </w:p>
              </w:tc>
              <w:tc>
                <w:tcPr>
                  <w:tcW w:w="750" w:type="dxa"/>
                  <w:noWrap/>
                  <w:vAlign w:val="center"/>
                </w:tcPr>
                <w:p>
                  <w:pPr>
                    <w:widowControl/>
                    <w:adjustRightInd w:val="0"/>
                    <w:snapToGrid w:val="0"/>
                    <w:jc w:val="center"/>
                    <w:rPr>
                      <w:b/>
                      <w:bCs/>
                      <w:kern w:val="0"/>
                      <w:szCs w:val="21"/>
                    </w:rPr>
                  </w:pPr>
                  <w:r>
                    <w:rPr>
                      <w:b/>
                      <w:bCs/>
                      <w:kern w:val="0"/>
                      <w:szCs w:val="21"/>
                    </w:rPr>
                    <w:t>数量</w:t>
                  </w:r>
                </w:p>
              </w:tc>
              <w:tc>
                <w:tcPr>
                  <w:tcW w:w="622" w:type="dxa"/>
                  <w:noWrap/>
                  <w:vAlign w:val="center"/>
                </w:tcPr>
                <w:p>
                  <w:pPr>
                    <w:widowControl/>
                    <w:adjustRightInd w:val="0"/>
                    <w:snapToGrid w:val="0"/>
                    <w:jc w:val="center"/>
                    <w:rPr>
                      <w:b/>
                      <w:bCs/>
                      <w:kern w:val="0"/>
                      <w:szCs w:val="21"/>
                    </w:rPr>
                  </w:pPr>
                  <w:r>
                    <w:rPr>
                      <w:b/>
                      <w:bCs/>
                      <w:kern w:val="0"/>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restart"/>
                  <w:noWrap/>
                  <w:vAlign w:val="center"/>
                </w:tcPr>
                <w:p>
                  <w:pPr>
                    <w:widowControl/>
                    <w:adjustRightInd w:val="0"/>
                    <w:snapToGrid w:val="0"/>
                    <w:jc w:val="center"/>
                    <w:rPr>
                      <w:kern w:val="0"/>
                      <w:szCs w:val="21"/>
                    </w:rPr>
                  </w:pPr>
                  <w:r>
                    <w:rPr>
                      <w:kern w:val="0"/>
                      <w:szCs w:val="21"/>
                    </w:rPr>
                    <w:t>1</w:t>
                  </w:r>
                </w:p>
              </w:tc>
              <w:tc>
                <w:tcPr>
                  <w:tcW w:w="550" w:type="dxa"/>
                  <w:vMerge w:val="restart"/>
                  <w:noWrap/>
                  <w:vAlign w:val="center"/>
                </w:tcPr>
                <w:p>
                  <w:pPr>
                    <w:widowControl/>
                    <w:adjustRightInd w:val="0"/>
                    <w:snapToGrid w:val="0"/>
                    <w:jc w:val="center"/>
                    <w:rPr>
                      <w:kern w:val="0"/>
                      <w:szCs w:val="21"/>
                    </w:rPr>
                  </w:pPr>
                  <w:r>
                    <w:rPr>
                      <w:kern w:val="0"/>
                      <w:szCs w:val="21"/>
                    </w:rPr>
                    <w:t>坝顶路面改造</w:t>
                  </w:r>
                </w:p>
              </w:tc>
              <w:tc>
                <w:tcPr>
                  <w:tcW w:w="860" w:type="dxa"/>
                  <w:noWrap/>
                  <w:vAlign w:val="center"/>
                </w:tcPr>
                <w:p>
                  <w:pPr>
                    <w:widowControl/>
                    <w:adjustRightInd w:val="0"/>
                    <w:snapToGrid w:val="0"/>
                    <w:jc w:val="center"/>
                    <w:rPr>
                      <w:kern w:val="0"/>
                      <w:szCs w:val="21"/>
                    </w:rPr>
                  </w:pPr>
                  <w:r>
                    <w:rPr>
                      <w:kern w:val="0"/>
                      <w:szCs w:val="21"/>
                    </w:rPr>
                    <w:t>土方开挖</w:t>
                  </w:r>
                </w:p>
              </w:tc>
              <w:tc>
                <w:tcPr>
                  <w:tcW w:w="910" w:type="dxa"/>
                  <w:noWrap/>
                  <w:vAlign w:val="center"/>
                </w:tcPr>
                <w:p>
                  <w:pPr>
                    <w:widowControl/>
                    <w:adjustRightInd w:val="0"/>
                    <w:snapToGrid w:val="0"/>
                    <w:jc w:val="center"/>
                    <w:textAlignment w:val="center"/>
                    <w:rPr>
                      <w:kern w:val="0"/>
                      <w:szCs w:val="21"/>
                    </w:rPr>
                  </w:pPr>
                  <w:r>
                    <w:rPr>
                      <w:kern w:val="0"/>
                      <w:szCs w:val="21"/>
                    </w:rPr>
                    <w:t>1779.84</w:t>
                  </w:r>
                </w:p>
              </w:tc>
              <w:tc>
                <w:tcPr>
                  <w:tcW w:w="1050" w:type="dxa"/>
                  <w:noWrap/>
                  <w:vAlign w:val="center"/>
                </w:tcPr>
                <w:p>
                  <w:pPr>
                    <w:widowControl/>
                    <w:adjustRightInd w:val="0"/>
                    <w:snapToGrid w:val="0"/>
                    <w:jc w:val="center"/>
                    <w:textAlignment w:val="center"/>
                    <w:rPr>
                      <w:kern w:val="0"/>
                      <w:szCs w:val="21"/>
                    </w:rPr>
                  </w:pPr>
                  <w:r>
                    <w:rPr>
                      <w:kern w:val="0"/>
                      <w:szCs w:val="21"/>
                    </w:rPr>
                    <w:t>45.73</w:t>
                  </w:r>
                </w:p>
              </w:tc>
              <w:tc>
                <w:tcPr>
                  <w:tcW w:w="721" w:type="dxa"/>
                  <w:noWrap/>
                  <w:vAlign w:val="center"/>
                </w:tcPr>
                <w:p>
                  <w:pPr>
                    <w:widowControl/>
                    <w:adjustRightInd w:val="0"/>
                    <w:snapToGrid w:val="0"/>
                    <w:jc w:val="center"/>
                    <w:textAlignment w:val="center"/>
                    <w:rPr>
                      <w:kern w:val="0"/>
                      <w:szCs w:val="21"/>
                    </w:rPr>
                  </w:pPr>
                  <w:r>
                    <w:rPr>
                      <w:kern w:val="0"/>
                      <w:szCs w:val="21"/>
                    </w:rPr>
                    <w:t>取土场</w:t>
                  </w:r>
                </w:p>
              </w:tc>
              <w:tc>
                <w:tcPr>
                  <w:tcW w:w="654" w:type="dxa"/>
                  <w:noWrap/>
                  <w:vAlign w:val="center"/>
                </w:tcPr>
                <w:p>
                  <w:pPr>
                    <w:widowControl/>
                    <w:adjustRightInd w:val="0"/>
                    <w:snapToGrid w:val="0"/>
                    <w:jc w:val="center"/>
                    <w:textAlignment w:val="center"/>
                    <w:rPr>
                      <w:kern w:val="0"/>
                      <w:szCs w:val="21"/>
                    </w:rPr>
                  </w:pPr>
                  <w:r>
                    <w:rPr>
                      <w:kern w:val="0"/>
                      <w:szCs w:val="21"/>
                    </w:rPr>
                    <w:t>1825.57</w:t>
                  </w:r>
                </w:p>
              </w:tc>
              <w:tc>
                <w:tcPr>
                  <w:tcW w:w="875" w:type="dxa"/>
                  <w:noWrap/>
                  <w:vAlign w:val="center"/>
                </w:tcPr>
                <w:p>
                  <w:pPr>
                    <w:widowControl/>
                    <w:adjustRightInd w:val="0"/>
                    <w:snapToGrid w:val="0"/>
                    <w:jc w:val="center"/>
                    <w:textAlignment w:val="center"/>
                    <w:rPr>
                      <w:kern w:val="0"/>
                      <w:szCs w:val="21"/>
                    </w:rPr>
                  </w:pPr>
                  <w:r>
                    <w:rPr>
                      <w:kern w:val="0"/>
                      <w:szCs w:val="21"/>
                    </w:rPr>
                    <w:t>0</w:t>
                  </w:r>
                </w:p>
              </w:tc>
              <w:tc>
                <w:tcPr>
                  <w:tcW w:w="934" w:type="dxa"/>
                  <w:noWrap/>
                  <w:vAlign w:val="center"/>
                </w:tcPr>
                <w:p>
                  <w:pPr>
                    <w:widowControl/>
                    <w:adjustRightInd w:val="0"/>
                    <w:snapToGrid w:val="0"/>
                    <w:jc w:val="center"/>
                    <w:textAlignment w:val="center"/>
                    <w:rPr>
                      <w:kern w:val="0"/>
                      <w:szCs w:val="21"/>
                    </w:rPr>
                  </w:pPr>
                  <w:r>
                    <w:rPr>
                      <w:rFonts w:hint="eastAsia"/>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0</w:t>
                  </w:r>
                </w:p>
              </w:tc>
              <w:tc>
                <w:tcPr>
                  <w:tcW w:w="622" w:type="dxa"/>
                  <w:noWrap/>
                  <w:vAlign w:val="center"/>
                </w:tcPr>
                <w:p>
                  <w:pPr>
                    <w:widowControl/>
                    <w:adjustRightInd w:val="0"/>
                    <w:snapToGrid w:val="0"/>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continue"/>
                  <w:noWrap/>
                  <w:vAlign w:val="center"/>
                </w:tcPr>
                <w:p>
                  <w:pPr>
                    <w:widowControl/>
                    <w:adjustRightInd w:val="0"/>
                    <w:snapToGrid w:val="0"/>
                    <w:jc w:val="center"/>
                    <w:rPr>
                      <w:kern w:val="0"/>
                      <w:szCs w:val="21"/>
                    </w:rPr>
                  </w:pPr>
                </w:p>
              </w:tc>
              <w:tc>
                <w:tcPr>
                  <w:tcW w:w="550" w:type="dxa"/>
                  <w:vMerge w:val="continue"/>
                  <w:noWrap/>
                  <w:vAlign w:val="center"/>
                </w:tcPr>
                <w:p>
                  <w:pPr>
                    <w:widowControl/>
                    <w:adjustRightInd w:val="0"/>
                    <w:snapToGrid w:val="0"/>
                    <w:jc w:val="center"/>
                    <w:rPr>
                      <w:kern w:val="0"/>
                      <w:szCs w:val="21"/>
                    </w:rPr>
                  </w:pPr>
                </w:p>
              </w:tc>
              <w:tc>
                <w:tcPr>
                  <w:tcW w:w="860" w:type="dxa"/>
                  <w:noWrap/>
                  <w:vAlign w:val="center"/>
                </w:tcPr>
                <w:p>
                  <w:pPr>
                    <w:widowControl/>
                    <w:adjustRightInd w:val="0"/>
                    <w:snapToGrid w:val="0"/>
                    <w:jc w:val="center"/>
                    <w:rPr>
                      <w:kern w:val="0"/>
                      <w:szCs w:val="21"/>
                    </w:rPr>
                  </w:pPr>
                  <w:r>
                    <w:rPr>
                      <w:kern w:val="0"/>
                      <w:szCs w:val="21"/>
                    </w:rPr>
                    <w:t>混凝土拆除</w:t>
                  </w:r>
                </w:p>
              </w:tc>
              <w:tc>
                <w:tcPr>
                  <w:tcW w:w="910" w:type="dxa"/>
                  <w:noWrap/>
                  <w:vAlign w:val="center"/>
                </w:tcPr>
                <w:p>
                  <w:pPr>
                    <w:widowControl/>
                    <w:adjustRightInd w:val="0"/>
                    <w:snapToGrid w:val="0"/>
                    <w:jc w:val="center"/>
                    <w:textAlignment w:val="center"/>
                    <w:rPr>
                      <w:kern w:val="0"/>
                      <w:szCs w:val="21"/>
                    </w:rPr>
                  </w:pPr>
                  <w:r>
                    <w:rPr>
                      <w:kern w:val="0"/>
                      <w:szCs w:val="21"/>
                    </w:rPr>
                    <w:t>109.62</w:t>
                  </w:r>
                </w:p>
              </w:tc>
              <w:tc>
                <w:tcPr>
                  <w:tcW w:w="1050" w:type="dxa"/>
                  <w:noWrap/>
                  <w:vAlign w:val="center"/>
                </w:tcPr>
                <w:p>
                  <w:pPr>
                    <w:widowControl/>
                    <w:adjustRightInd w:val="0"/>
                    <w:snapToGrid w:val="0"/>
                    <w:jc w:val="center"/>
                    <w:rPr>
                      <w:kern w:val="0"/>
                      <w:szCs w:val="21"/>
                    </w:rPr>
                  </w:pPr>
                  <w:r>
                    <w:rPr>
                      <w:kern w:val="0"/>
                      <w:szCs w:val="21"/>
                    </w:rPr>
                    <w:t>0</w:t>
                  </w:r>
                </w:p>
              </w:tc>
              <w:tc>
                <w:tcPr>
                  <w:tcW w:w="721" w:type="dxa"/>
                  <w:noWrap/>
                  <w:vAlign w:val="center"/>
                </w:tcPr>
                <w:p>
                  <w:pPr>
                    <w:widowControl/>
                    <w:adjustRightInd w:val="0"/>
                    <w:snapToGrid w:val="0"/>
                    <w:jc w:val="center"/>
                    <w:rPr>
                      <w:kern w:val="0"/>
                      <w:szCs w:val="21"/>
                    </w:rPr>
                  </w:pPr>
                  <w:r>
                    <w:rPr>
                      <w:kern w:val="0"/>
                      <w:szCs w:val="21"/>
                    </w:rPr>
                    <w:t>/</w:t>
                  </w:r>
                </w:p>
              </w:tc>
              <w:tc>
                <w:tcPr>
                  <w:tcW w:w="654" w:type="dxa"/>
                  <w:noWrap/>
                  <w:vAlign w:val="center"/>
                </w:tcPr>
                <w:p>
                  <w:pPr>
                    <w:widowControl/>
                    <w:adjustRightInd w:val="0"/>
                    <w:snapToGrid w:val="0"/>
                    <w:jc w:val="center"/>
                    <w:textAlignment w:val="center"/>
                    <w:rPr>
                      <w:kern w:val="0"/>
                      <w:szCs w:val="21"/>
                    </w:rPr>
                  </w:pPr>
                  <w:r>
                    <w:rPr>
                      <w:kern w:val="0"/>
                      <w:szCs w:val="21"/>
                    </w:rPr>
                    <w:t>0</w:t>
                  </w:r>
                </w:p>
              </w:tc>
              <w:tc>
                <w:tcPr>
                  <w:tcW w:w="875" w:type="dxa"/>
                  <w:noWrap/>
                  <w:vAlign w:val="center"/>
                </w:tcPr>
                <w:p>
                  <w:pPr>
                    <w:widowControl/>
                    <w:adjustRightInd w:val="0"/>
                    <w:snapToGrid w:val="0"/>
                    <w:jc w:val="center"/>
                    <w:textAlignment w:val="center"/>
                    <w:rPr>
                      <w:kern w:val="0"/>
                      <w:szCs w:val="21"/>
                    </w:rPr>
                  </w:pPr>
                  <w:r>
                    <w:rPr>
                      <w:kern w:val="0"/>
                      <w:szCs w:val="21"/>
                    </w:rPr>
                    <w:t>0</w:t>
                  </w:r>
                </w:p>
              </w:tc>
              <w:tc>
                <w:tcPr>
                  <w:tcW w:w="934" w:type="dxa"/>
                  <w:noWrap/>
                  <w:vAlign w:val="center"/>
                </w:tcPr>
                <w:p>
                  <w:pPr>
                    <w:widowControl/>
                    <w:adjustRightInd w:val="0"/>
                    <w:snapToGrid w:val="0"/>
                    <w:jc w:val="center"/>
                    <w:rPr>
                      <w:kern w:val="0"/>
                      <w:szCs w:val="21"/>
                    </w:rPr>
                  </w:pPr>
                  <w:r>
                    <w:rPr>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109.62</w:t>
                  </w:r>
                </w:p>
              </w:tc>
              <w:tc>
                <w:tcPr>
                  <w:tcW w:w="622" w:type="dxa"/>
                  <w:noWrap/>
                  <w:vAlign w:val="center"/>
                </w:tcPr>
                <w:p>
                  <w:pPr>
                    <w:widowControl/>
                    <w:adjustRightInd w:val="0"/>
                    <w:snapToGrid w:val="0"/>
                    <w:jc w:val="center"/>
                    <w:textAlignment w:val="center"/>
                    <w:rPr>
                      <w:kern w:val="0"/>
                      <w:szCs w:val="21"/>
                    </w:rPr>
                  </w:pPr>
                  <w:r>
                    <w:rPr>
                      <w:kern w:val="0"/>
                      <w:szCs w:val="21"/>
                    </w:rPr>
                    <w:t>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noWrap/>
                  <w:vAlign w:val="center"/>
                </w:tcPr>
                <w:p>
                  <w:pPr>
                    <w:widowControl/>
                    <w:adjustRightInd w:val="0"/>
                    <w:snapToGrid w:val="0"/>
                    <w:jc w:val="center"/>
                    <w:rPr>
                      <w:kern w:val="0"/>
                      <w:szCs w:val="21"/>
                    </w:rPr>
                  </w:pPr>
                  <w:r>
                    <w:rPr>
                      <w:kern w:val="0"/>
                      <w:szCs w:val="21"/>
                    </w:rPr>
                    <w:t>2</w:t>
                  </w:r>
                </w:p>
              </w:tc>
              <w:tc>
                <w:tcPr>
                  <w:tcW w:w="1410" w:type="dxa"/>
                  <w:gridSpan w:val="2"/>
                  <w:noWrap/>
                  <w:vAlign w:val="center"/>
                </w:tcPr>
                <w:p>
                  <w:pPr>
                    <w:widowControl/>
                    <w:adjustRightInd w:val="0"/>
                    <w:snapToGrid w:val="0"/>
                    <w:jc w:val="center"/>
                    <w:rPr>
                      <w:kern w:val="0"/>
                      <w:szCs w:val="21"/>
                    </w:rPr>
                  </w:pPr>
                  <w:r>
                    <w:rPr>
                      <w:kern w:val="0"/>
                      <w:szCs w:val="21"/>
                    </w:rPr>
                    <w:t>取土场</w:t>
                  </w:r>
                </w:p>
              </w:tc>
              <w:tc>
                <w:tcPr>
                  <w:tcW w:w="910" w:type="dxa"/>
                  <w:noWrap/>
                  <w:vAlign w:val="center"/>
                </w:tcPr>
                <w:p>
                  <w:pPr>
                    <w:widowControl/>
                    <w:adjustRightInd w:val="0"/>
                    <w:snapToGrid w:val="0"/>
                    <w:jc w:val="center"/>
                    <w:textAlignment w:val="center"/>
                    <w:rPr>
                      <w:kern w:val="0"/>
                      <w:szCs w:val="21"/>
                    </w:rPr>
                  </w:pPr>
                  <w:r>
                    <w:rPr>
                      <w:kern w:val="0"/>
                      <w:szCs w:val="21"/>
                    </w:rPr>
                    <w:t>20</w:t>
                  </w:r>
                  <w:r>
                    <w:rPr>
                      <w:rFonts w:hint="eastAsia"/>
                      <w:kern w:val="0"/>
                      <w:szCs w:val="21"/>
                    </w:rPr>
                    <w:t>7799</w:t>
                  </w:r>
                  <w:r>
                    <w:rPr>
                      <w:kern w:val="0"/>
                      <w:szCs w:val="21"/>
                    </w:rPr>
                    <w:t>.98</w:t>
                  </w:r>
                </w:p>
              </w:tc>
              <w:tc>
                <w:tcPr>
                  <w:tcW w:w="1050" w:type="dxa"/>
                  <w:noWrap/>
                  <w:vAlign w:val="center"/>
                </w:tcPr>
                <w:p>
                  <w:pPr>
                    <w:widowControl/>
                    <w:adjustRightInd w:val="0"/>
                    <w:snapToGrid w:val="0"/>
                    <w:jc w:val="center"/>
                    <w:rPr>
                      <w:kern w:val="0"/>
                      <w:szCs w:val="21"/>
                    </w:rPr>
                  </w:pPr>
                  <w:r>
                    <w:rPr>
                      <w:kern w:val="0"/>
                      <w:szCs w:val="21"/>
                    </w:rPr>
                    <w:t>0</w:t>
                  </w:r>
                </w:p>
              </w:tc>
              <w:tc>
                <w:tcPr>
                  <w:tcW w:w="721" w:type="dxa"/>
                  <w:noWrap/>
                  <w:vAlign w:val="center"/>
                </w:tcPr>
                <w:p>
                  <w:pPr>
                    <w:widowControl/>
                    <w:adjustRightInd w:val="0"/>
                    <w:snapToGrid w:val="0"/>
                    <w:jc w:val="center"/>
                    <w:rPr>
                      <w:kern w:val="0"/>
                      <w:szCs w:val="21"/>
                    </w:rPr>
                  </w:pPr>
                  <w:r>
                    <w:rPr>
                      <w:kern w:val="0"/>
                      <w:szCs w:val="21"/>
                    </w:rPr>
                    <w:t>/</w:t>
                  </w:r>
                </w:p>
              </w:tc>
              <w:tc>
                <w:tcPr>
                  <w:tcW w:w="654" w:type="dxa"/>
                  <w:noWrap/>
                  <w:vAlign w:val="center"/>
                </w:tcPr>
                <w:p>
                  <w:pPr>
                    <w:widowControl/>
                    <w:adjustRightInd w:val="0"/>
                    <w:snapToGrid w:val="0"/>
                    <w:jc w:val="center"/>
                    <w:textAlignment w:val="center"/>
                    <w:rPr>
                      <w:kern w:val="0"/>
                      <w:szCs w:val="21"/>
                    </w:rPr>
                  </w:pPr>
                  <w:r>
                    <w:rPr>
                      <w:kern w:val="0"/>
                      <w:szCs w:val="21"/>
                    </w:rPr>
                    <w:t>4200</w:t>
                  </w:r>
                </w:p>
              </w:tc>
              <w:tc>
                <w:tcPr>
                  <w:tcW w:w="875" w:type="dxa"/>
                  <w:noWrap/>
                  <w:vAlign w:val="center"/>
                </w:tcPr>
                <w:p>
                  <w:pPr>
                    <w:widowControl/>
                    <w:adjustRightInd w:val="0"/>
                    <w:snapToGrid w:val="0"/>
                    <w:jc w:val="center"/>
                    <w:textAlignment w:val="center"/>
                    <w:rPr>
                      <w:kern w:val="0"/>
                      <w:szCs w:val="21"/>
                    </w:rPr>
                  </w:pPr>
                  <w:r>
                    <w:rPr>
                      <w:kern w:val="0"/>
                      <w:szCs w:val="21"/>
                    </w:rPr>
                    <w:t>0</w:t>
                  </w:r>
                </w:p>
              </w:tc>
              <w:tc>
                <w:tcPr>
                  <w:tcW w:w="934" w:type="dxa"/>
                  <w:noWrap/>
                  <w:vAlign w:val="center"/>
                </w:tcPr>
                <w:p>
                  <w:pPr>
                    <w:widowControl/>
                    <w:adjustRightInd w:val="0"/>
                    <w:snapToGrid w:val="0"/>
                    <w:jc w:val="center"/>
                    <w:rPr>
                      <w:kern w:val="0"/>
                      <w:szCs w:val="21"/>
                    </w:rPr>
                  </w:pPr>
                  <w:r>
                    <w:rPr>
                      <w:rFonts w:hint="eastAsia"/>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0</w:t>
                  </w:r>
                </w:p>
              </w:tc>
              <w:tc>
                <w:tcPr>
                  <w:tcW w:w="622" w:type="dxa"/>
                  <w:noWrap/>
                  <w:vAlign w:val="center"/>
                </w:tcPr>
                <w:p>
                  <w:pPr>
                    <w:widowControl/>
                    <w:adjustRightInd w:val="0"/>
                    <w:snapToGrid w:val="0"/>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restart"/>
                  <w:noWrap/>
                  <w:vAlign w:val="center"/>
                </w:tcPr>
                <w:p>
                  <w:pPr>
                    <w:widowControl/>
                    <w:adjustRightInd w:val="0"/>
                    <w:snapToGrid w:val="0"/>
                    <w:jc w:val="center"/>
                    <w:rPr>
                      <w:kern w:val="0"/>
                      <w:szCs w:val="21"/>
                    </w:rPr>
                  </w:pPr>
                  <w:r>
                    <w:rPr>
                      <w:kern w:val="0"/>
                      <w:szCs w:val="21"/>
                    </w:rPr>
                    <w:t>3</w:t>
                  </w:r>
                </w:p>
              </w:tc>
              <w:tc>
                <w:tcPr>
                  <w:tcW w:w="550" w:type="dxa"/>
                  <w:vMerge w:val="restart"/>
                  <w:noWrap/>
                  <w:vAlign w:val="center"/>
                </w:tcPr>
                <w:p>
                  <w:pPr>
                    <w:widowControl/>
                    <w:adjustRightInd w:val="0"/>
                    <w:snapToGrid w:val="0"/>
                    <w:jc w:val="center"/>
                    <w:rPr>
                      <w:kern w:val="0"/>
                      <w:szCs w:val="21"/>
                    </w:rPr>
                  </w:pPr>
                  <w:r>
                    <w:rPr>
                      <w:kern w:val="0"/>
                      <w:szCs w:val="21"/>
                    </w:rPr>
                    <w:t>下游坝坡工程</w:t>
                  </w:r>
                </w:p>
              </w:tc>
              <w:tc>
                <w:tcPr>
                  <w:tcW w:w="860" w:type="dxa"/>
                  <w:noWrap/>
                  <w:vAlign w:val="center"/>
                </w:tcPr>
                <w:p>
                  <w:pPr>
                    <w:widowControl/>
                    <w:adjustRightInd w:val="0"/>
                    <w:snapToGrid w:val="0"/>
                    <w:jc w:val="center"/>
                    <w:rPr>
                      <w:kern w:val="0"/>
                      <w:szCs w:val="21"/>
                    </w:rPr>
                  </w:pPr>
                  <w:r>
                    <w:rPr>
                      <w:kern w:val="0"/>
                      <w:szCs w:val="21"/>
                    </w:rPr>
                    <w:t>土方开挖</w:t>
                  </w:r>
                </w:p>
              </w:tc>
              <w:tc>
                <w:tcPr>
                  <w:tcW w:w="910" w:type="dxa"/>
                  <w:noWrap/>
                  <w:vAlign w:val="center"/>
                </w:tcPr>
                <w:p>
                  <w:pPr>
                    <w:widowControl/>
                    <w:adjustRightInd w:val="0"/>
                    <w:snapToGrid w:val="0"/>
                    <w:jc w:val="center"/>
                    <w:textAlignment w:val="center"/>
                    <w:rPr>
                      <w:kern w:val="0"/>
                      <w:szCs w:val="21"/>
                    </w:rPr>
                  </w:pPr>
                  <w:r>
                    <w:rPr>
                      <w:kern w:val="0"/>
                      <w:szCs w:val="21"/>
                    </w:rPr>
                    <w:t>2205</w:t>
                  </w:r>
                </w:p>
              </w:tc>
              <w:tc>
                <w:tcPr>
                  <w:tcW w:w="1050" w:type="dxa"/>
                  <w:noWrap/>
                  <w:vAlign w:val="center"/>
                </w:tcPr>
                <w:p>
                  <w:pPr>
                    <w:widowControl/>
                    <w:adjustRightInd w:val="0"/>
                    <w:snapToGrid w:val="0"/>
                    <w:jc w:val="center"/>
                    <w:textAlignment w:val="center"/>
                    <w:rPr>
                      <w:kern w:val="0"/>
                      <w:szCs w:val="21"/>
                    </w:rPr>
                  </w:pPr>
                  <w:r>
                    <w:rPr>
                      <w:kern w:val="0"/>
                      <w:szCs w:val="21"/>
                    </w:rPr>
                    <w:t>203009.67</w:t>
                  </w:r>
                </w:p>
              </w:tc>
              <w:tc>
                <w:tcPr>
                  <w:tcW w:w="721" w:type="dxa"/>
                  <w:noWrap/>
                  <w:vAlign w:val="center"/>
                </w:tcPr>
                <w:p>
                  <w:pPr>
                    <w:widowControl/>
                    <w:adjustRightInd w:val="0"/>
                    <w:snapToGrid w:val="0"/>
                    <w:jc w:val="center"/>
                    <w:textAlignment w:val="center"/>
                    <w:rPr>
                      <w:kern w:val="0"/>
                      <w:szCs w:val="21"/>
                    </w:rPr>
                  </w:pPr>
                  <w:r>
                    <w:rPr>
                      <w:kern w:val="0"/>
                      <w:szCs w:val="21"/>
                    </w:rPr>
                    <w:t>取土场</w:t>
                  </w:r>
                </w:p>
              </w:tc>
              <w:tc>
                <w:tcPr>
                  <w:tcW w:w="654" w:type="dxa"/>
                  <w:noWrap/>
                  <w:vAlign w:val="center"/>
                </w:tcPr>
                <w:p>
                  <w:pPr>
                    <w:widowControl/>
                    <w:adjustRightInd w:val="0"/>
                    <w:snapToGrid w:val="0"/>
                    <w:jc w:val="center"/>
                    <w:textAlignment w:val="center"/>
                    <w:rPr>
                      <w:kern w:val="0"/>
                      <w:szCs w:val="21"/>
                    </w:rPr>
                  </w:pPr>
                  <w:r>
                    <w:rPr>
                      <w:kern w:val="0"/>
                      <w:szCs w:val="21"/>
                    </w:rPr>
                    <w:t>205214.67</w:t>
                  </w:r>
                </w:p>
              </w:tc>
              <w:tc>
                <w:tcPr>
                  <w:tcW w:w="875" w:type="dxa"/>
                  <w:noWrap/>
                  <w:vAlign w:val="center"/>
                </w:tcPr>
                <w:p>
                  <w:pPr>
                    <w:widowControl/>
                    <w:adjustRightInd w:val="0"/>
                    <w:snapToGrid w:val="0"/>
                    <w:jc w:val="center"/>
                    <w:textAlignment w:val="center"/>
                    <w:rPr>
                      <w:kern w:val="0"/>
                      <w:szCs w:val="21"/>
                    </w:rPr>
                  </w:pPr>
                  <w:r>
                    <w:rPr>
                      <w:kern w:val="0"/>
                      <w:szCs w:val="21"/>
                    </w:rPr>
                    <w:t>0</w:t>
                  </w:r>
                </w:p>
              </w:tc>
              <w:tc>
                <w:tcPr>
                  <w:tcW w:w="934" w:type="dxa"/>
                  <w:noWrap/>
                  <w:vAlign w:val="center"/>
                </w:tcPr>
                <w:p>
                  <w:pPr>
                    <w:widowControl/>
                    <w:adjustRightInd w:val="0"/>
                    <w:snapToGrid w:val="0"/>
                    <w:jc w:val="center"/>
                    <w:textAlignment w:val="center"/>
                    <w:rPr>
                      <w:kern w:val="0"/>
                      <w:szCs w:val="21"/>
                    </w:rPr>
                  </w:pPr>
                  <w:r>
                    <w:rPr>
                      <w:rFonts w:hint="eastAsia"/>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0</w:t>
                  </w:r>
                </w:p>
              </w:tc>
              <w:tc>
                <w:tcPr>
                  <w:tcW w:w="622" w:type="dxa"/>
                  <w:noWrap/>
                  <w:vAlign w:val="center"/>
                </w:tcPr>
                <w:p>
                  <w:pPr>
                    <w:widowControl/>
                    <w:adjustRightInd w:val="0"/>
                    <w:snapToGrid w:val="0"/>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continue"/>
                  <w:noWrap/>
                  <w:vAlign w:val="center"/>
                </w:tcPr>
                <w:p>
                  <w:pPr>
                    <w:widowControl/>
                    <w:adjustRightInd w:val="0"/>
                    <w:snapToGrid w:val="0"/>
                    <w:jc w:val="center"/>
                    <w:rPr>
                      <w:kern w:val="0"/>
                      <w:szCs w:val="21"/>
                    </w:rPr>
                  </w:pPr>
                </w:p>
              </w:tc>
              <w:tc>
                <w:tcPr>
                  <w:tcW w:w="550" w:type="dxa"/>
                  <w:vMerge w:val="continue"/>
                  <w:noWrap/>
                  <w:vAlign w:val="center"/>
                </w:tcPr>
                <w:p>
                  <w:pPr>
                    <w:widowControl/>
                    <w:adjustRightInd w:val="0"/>
                    <w:snapToGrid w:val="0"/>
                    <w:jc w:val="center"/>
                    <w:rPr>
                      <w:kern w:val="0"/>
                      <w:szCs w:val="21"/>
                    </w:rPr>
                  </w:pPr>
                </w:p>
              </w:tc>
              <w:tc>
                <w:tcPr>
                  <w:tcW w:w="860" w:type="dxa"/>
                  <w:noWrap/>
                  <w:vAlign w:val="center"/>
                </w:tcPr>
                <w:p>
                  <w:pPr>
                    <w:widowControl/>
                    <w:adjustRightInd w:val="0"/>
                    <w:snapToGrid w:val="0"/>
                    <w:jc w:val="center"/>
                    <w:rPr>
                      <w:kern w:val="0"/>
                      <w:szCs w:val="21"/>
                    </w:rPr>
                  </w:pPr>
                  <w:r>
                    <w:rPr>
                      <w:kern w:val="0"/>
                      <w:szCs w:val="21"/>
                    </w:rPr>
                    <w:t>清基</w:t>
                  </w:r>
                </w:p>
              </w:tc>
              <w:tc>
                <w:tcPr>
                  <w:tcW w:w="910" w:type="dxa"/>
                  <w:noWrap/>
                  <w:vAlign w:val="center"/>
                </w:tcPr>
                <w:p>
                  <w:pPr>
                    <w:widowControl/>
                    <w:adjustRightInd w:val="0"/>
                    <w:snapToGrid w:val="0"/>
                    <w:jc w:val="center"/>
                    <w:textAlignment w:val="center"/>
                    <w:rPr>
                      <w:kern w:val="0"/>
                      <w:szCs w:val="21"/>
                    </w:rPr>
                  </w:pPr>
                  <w:r>
                    <w:rPr>
                      <w:kern w:val="0"/>
                      <w:szCs w:val="21"/>
                    </w:rPr>
                    <w:t>17963.2</w:t>
                  </w:r>
                </w:p>
              </w:tc>
              <w:tc>
                <w:tcPr>
                  <w:tcW w:w="1050" w:type="dxa"/>
                  <w:noWrap/>
                  <w:vAlign w:val="center"/>
                </w:tcPr>
                <w:p>
                  <w:pPr>
                    <w:widowControl/>
                    <w:adjustRightInd w:val="0"/>
                    <w:snapToGrid w:val="0"/>
                    <w:jc w:val="center"/>
                    <w:rPr>
                      <w:kern w:val="0"/>
                      <w:szCs w:val="21"/>
                    </w:rPr>
                  </w:pPr>
                  <w:r>
                    <w:rPr>
                      <w:kern w:val="0"/>
                      <w:szCs w:val="21"/>
                    </w:rPr>
                    <w:t>0</w:t>
                  </w:r>
                </w:p>
              </w:tc>
              <w:tc>
                <w:tcPr>
                  <w:tcW w:w="721" w:type="dxa"/>
                  <w:noWrap/>
                  <w:vAlign w:val="center"/>
                </w:tcPr>
                <w:p>
                  <w:pPr>
                    <w:widowControl/>
                    <w:adjustRightInd w:val="0"/>
                    <w:snapToGrid w:val="0"/>
                    <w:jc w:val="center"/>
                    <w:rPr>
                      <w:kern w:val="0"/>
                      <w:szCs w:val="21"/>
                    </w:rPr>
                  </w:pPr>
                  <w:r>
                    <w:rPr>
                      <w:kern w:val="0"/>
                      <w:szCs w:val="21"/>
                    </w:rPr>
                    <w:t>/</w:t>
                  </w:r>
                </w:p>
              </w:tc>
              <w:tc>
                <w:tcPr>
                  <w:tcW w:w="654" w:type="dxa"/>
                  <w:noWrap/>
                  <w:vAlign w:val="center"/>
                </w:tcPr>
                <w:p>
                  <w:pPr>
                    <w:widowControl/>
                    <w:adjustRightInd w:val="0"/>
                    <w:snapToGrid w:val="0"/>
                    <w:jc w:val="center"/>
                    <w:textAlignment w:val="center"/>
                    <w:rPr>
                      <w:kern w:val="0"/>
                      <w:szCs w:val="21"/>
                    </w:rPr>
                  </w:pPr>
                  <w:r>
                    <w:rPr>
                      <w:kern w:val="0"/>
                      <w:szCs w:val="21"/>
                    </w:rPr>
                    <w:t>0</w:t>
                  </w:r>
                </w:p>
              </w:tc>
              <w:tc>
                <w:tcPr>
                  <w:tcW w:w="875" w:type="dxa"/>
                  <w:noWrap/>
                  <w:vAlign w:val="center"/>
                </w:tcPr>
                <w:p>
                  <w:pPr>
                    <w:widowControl/>
                    <w:adjustRightInd w:val="0"/>
                    <w:snapToGrid w:val="0"/>
                    <w:jc w:val="center"/>
                    <w:textAlignment w:val="center"/>
                    <w:rPr>
                      <w:kern w:val="0"/>
                      <w:szCs w:val="21"/>
                    </w:rPr>
                  </w:pPr>
                  <w:r>
                    <w:rPr>
                      <w:kern w:val="0"/>
                      <w:szCs w:val="21"/>
                    </w:rPr>
                    <w:t>17963.2</w:t>
                  </w:r>
                </w:p>
              </w:tc>
              <w:tc>
                <w:tcPr>
                  <w:tcW w:w="934" w:type="dxa"/>
                  <w:noWrap/>
                  <w:vAlign w:val="center"/>
                </w:tcPr>
                <w:p>
                  <w:pPr>
                    <w:widowControl/>
                    <w:adjustRightInd w:val="0"/>
                    <w:snapToGrid w:val="0"/>
                    <w:jc w:val="center"/>
                    <w:textAlignment w:val="center"/>
                    <w:rPr>
                      <w:kern w:val="0"/>
                      <w:szCs w:val="21"/>
                    </w:rPr>
                  </w:pPr>
                  <w:r>
                    <w:rPr>
                      <w:kern w:val="0"/>
                      <w:szCs w:val="21"/>
                    </w:rPr>
                    <w:t>土地平整</w:t>
                  </w:r>
                </w:p>
              </w:tc>
              <w:tc>
                <w:tcPr>
                  <w:tcW w:w="750" w:type="dxa"/>
                  <w:noWrap/>
                  <w:vAlign w:val="center"/>
                </w:tcPr>
                <w:p>
                  <w:pPr>
                    <w:widowControl/>
                    <w:adjustRightInd w:val="0"/>
                    <w:snapToGrid w:val="0"/>
                    <w:jc w:val="center"/>
                    <w:textAlignment w:val="center"/>
                    <w:rPr>
                      <w:kern w:val="0"/>
                      <w:szCs w:val="21"/>
                    </w:rPr>
                  </w:pPr>
                  <w:r>
                    <w:rPr>
                      <w:kern w:val="0"/>
                      <w:szCs w:val="21"/>
                    </w:rPr>
                    <w:t>0</w:t>
                  </w:r>
                </w:p>
              </w:tc>
              <w:tc>
                <w:tcPr>
                  <w:tcW w:w="622" w:type="dxa"/>
                  <w:noWrap/>
                  <w:vAlign w:val="center"/>
                </w:tcPr>
                <w:p>
                  <w:pPr>
                    <w:widowControl/>
                    <w:adjustRightInd w:val="0"/>
                    <w:snapToGrid w:val="0"/>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continue"/>
                  <w:noWrap/>
                  <w:vAlign w:val="center"/>
                </w:tcPr>
                <w:p>
                  <w:pPr>
                    <w:widowControl/>
                    <w:adjustRightInd w:val="0"/>
                    <w:snapToGrid w:val="0"/>
                    <w:jc w:val="center"/>
                    <w:rPr>
                      <w:kern w:val="0"/>
                      <w:szCs w:val="21"/>
                    </w:rPr>
                  </w:pPr>
                </w:p>
              </w:tc>
              <w:tc>
                <w:tcPr>
                  <w:tcW w:w="550" w:type="dxa"/>
                  <w:vMerge w:val="continue"/>
                  <w:noWrap/>
                  <w:vAlign w:val="center"/>
                </w:tcPr>
                <w:p>
                  <w:pPr>
                    <w:widowControl/>
                    <w:adjustRightInd w:val="0"/>
                    <w:snapToGrid w:val="0"/>
                    <w:jc w:val="center"/>
                    <w:rPr>
                      <w:kern w:val="0"/>
                      <w:szCs w:val="21"/>
                    </w:rPr>
                  </w:pPr>
                </w:p>
              </w:tc>
              <w:tc>
                <w:tcPr>
                  <w:tcW w:w="860" w:type="dxa"/>
                  <w:noWrap/>
                  <w:vAlign w:val="center"/>
                </w:tcPr>
                <w:p>
                  <w:pPr>
                    <w:widowControl/>
                    <w:adjustRightInd w:val="0"/>
                    <w:snapToGrid w:val="0"/>
                    <w:jc w:val="center"/>
                    <w:rPr>
                      <w:kern w:val="0"/>
                      <w:szCs w:val="21"/>
                    </w:rPr>
                  </w:pPr>
                  <w:r>
                    <w:rPr>
                      <w:kern w:val="0"/>
                      <w:szCs w:val="21"/>
                    </w:rPr>
                    <w:t>混凝土拆除</w:t>
                  </w:r>
                </w:p>
              </w:tc>
              <w:tc>
                <w:tcPr>
                  <w:tcW w:w="910" w:type="dxa"/>
                  <w:noWrap/>
                  <w:vAlign w:val="center"/>
                </w:tcPr>
                <w:p>
                  <w:pPr>
                    <w:widowControl/>
                    <w:adjustRightInd w:val="0"/>
                    <w:snapToGrid w:val="0"/>
                    <w:jc w:val="center"/>
                    <w:textAlignment w:val="center"/>
                    <w:rPr>
                      <w:kern w:val="0"/>
                      <w:szCs w:val="21"/>
                    </w:rPr>
                  </w:pPr>
                  <w:r>
                    <w:rPr>
                      <w:kern w:val="0"/>
                      <w:szCs w:val="21"/>
                    </w:rPr>
                    <w:t>21</w:t>
                  </w:r>
                </w:p>
              </w:tc>
              <w:tc>
                <w:tcPr>
                  <w:tcW w:w="1050" w:type="dxa"/>
                  <w:noWrap/>
                  <w:vAlign w:val="center"/>
                </w:tcPr>
                <w:p>
                  <w:pPr>
                    <w:widowControl/>
                    <w:adjustRightInd w:val="0"/>
                    <w:snapToGrid w:val="0"/>
                    <w:jc w:val="center"/>
                    <w:rPr>
                      <w:kern w:val="0"/>
                      <w:szCs w:val="21"/>
                    </w:rPr>
                  </w:pPr>
                  <w:r>
                    <w:rPr>
                      <w:kern w:val="0"/>
                      <w:szCs w:val="21"/>
                    </w:rPr>
                    <w:t>0</w:t>
                  </w:r>
                </w:p>
              </w:tc>
              <w:tc>
                <w:tcPr>
                  <w:tcW w:w="721" w:type="dxa"/>
                  <w:noWrap/>
                  <w:vAlign w:val="center"/>
                </w:tcPr>
                <w:p>
                  <w:pPr>
                    <w:widowControl/>
                    <w:adjustRightInd w:val="0"/>
                    <w:snapToGrid w:val="0"/>
                    <w:jc w:val="center"/>
                    <w:rPr>
                      <w:kern w:val="0"/>
                      <w:szCs w:val="21"/>
                    </w:rPr>
                  </w:pPr>
                  <w:r>
                    <w:rPr>
                      <w:kern w:val="0"/>
                      <w:szCs w:val="21"/>
                    </w:rPr>
                    <w:t>/</w:t>
                  </w:r>
                </w:p>
              </w:tc>
              <w:tc>
                <w:tcPr>
                  <w:tcW w:w="654" w:type="dxa"/>
                  <w:noWrap/>
                  <w:vAlign w:val="center"/>
                </w:tcPr>
                <w:p>
                  <w:pPr>
                    <w:widowControl/>
                    <w:adjustRightInd w:val="0"/>
                    <w:snapToGrid w:val="0"/>
                    <w:jc w:val="center"/>
                    <w:textAlignment w:val="center"/>
                    <w:rPr>
                      <w:kern w:val="0"/>
                      <w:szCs w:val="21"/>
                    </w:rPr>
                  </w:pPr>
                  <w:r>
                    <w:rPr>
                      <w:kern w:val="0"/>
                      <w:szCs w:val="21"/>
                    </w:rPr>
                    <w:t>0</w:t>
                  </w:r>
                </w:p>
              </w:tc>
              <w:tc>
                <w:tcPr>
                  <w:tcW w:w="875" w:type="dxa"/>
                  <w:noWrap/>
                  <w:vAlign w:val="center"/>
                </w:tcPr>
                <w:p>
                  <w:pPr>
                    <w:widowControl/>
                    <w:adjustRightInd w:val="0"/>
                    <w:snapToGrid w:val="0"/>
                    <w:jc w:val="center"/>
                    <w:textAlignment w:val="center"/>
                    <w:rPr>
                      <w:kern w:val="0"/>
                      <w:szCs w:val="21"/>
                    </w:rPr>
                  </w:pPr>
                  <w:r>
                    <w:rPr>
                      <w:kern w:val="0"/>
                      <w:szCs w:val="21"/>
                    </w:rPr>
                    <w:t>0</w:t>
                  </w:r>
                </w:p>
              </w:tc>
              <w:tc>
                <w:tcPr>
                  <w:tcW w:w="934" w:type="dxa"/>
                  <w:noWrap/>
                  <w:vAlign w:val="center"/>
                </w:tcPr>
                <w:p>
                  <w:pPr>
                    <w:widowControl/>
                    <w:adjustRightInd w:val="0"/>
                    <w:snapToGrid w:val="0"/>
                    <w:jc w:val="center"/>
                    <w:rPr>
                      <w:kern w:val="0"/>
                      <w:szCs w:val="21"/>
                    </w:rPr>
                  </w:pPr>
                  <w:r>
                    <w:rPr>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21</w:t>
                  </w:r>
                </w:p>
              </w:tc>
              <w:tc>
                <w:tcPr>
                  <w:tcW w:w="622" w:type="dxa"/>
                  <w:noWrap/>
                  <w:vAlign w:val="center"/>
                </w:tcPr>
                <w:p>
                  <w:pPr>
                    <w:widowControl/>
                    <w:adjustRightInd w:val="0"/>
                    <w:snapToGrid w:val="0"/>
                    <w:jc w:val="center"/>
                    <w:textAlignment w:val="center"/>
                    <w:rPr>
                      <w:kern w:val="0"/>
                      <w:szCs w:val="21"/>
                    </w:rPr>
                  </w:pPr>
                  <w:r>
                    <w:rPr>
                      <w:kern w:val="0"/>
                      <w:szCs w:val="21"/>
                    </w:rPr>
                    <w:t>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restart"/>
                  <w:noWrap/>
                  <w:vAlign w:val="center"/>
                </w:tcPr>
                <w:p>
                  <w:pPr>
                    <w:widowControl/>
                    <w:adjustRightInd w:val="0"/>
                    <w:snapToGrid w:val="0"/>
                    <w:jc w:val="center"/>
                    <w:rPr>
                      <w:kern w:val="0"/>
                      <w:szCs w:val="21"/>
                    </w:rPr>
                  </w:pPr>
                  <w:r>
                    <w:rPr>
                      <w:kern w:val="0"/>
                      <w:szCs w:val="21"/>
                    </w:rPr>
                    <w:t>4</w:t>
                  </w:r>
                </w:p>
              </w:tc>
              <w:tc>
                <w:tcPr>
                  <w:tcW w:w="550" w:type="dxa"/>
                  <w:vMerge w:val="restart"/>
                  <w:noWrap/>
                  <w:vAlign w:val="center"/>
                </w:tcPr>
                <w:p>
                  <w:pPr>
                    <w:widowControl/>
                    <w:adjustRightInd w:val="0"/>
                    <w:snapToGrid w:val="0"/>
                    <w:jc w:val="center"/>
                    <w:rPr>
                      <w:kern w:val="0"/>
                      <w:szCs w:val="21"/>
                    </w:rPr>
                  </w:pPr>
                  <w:r>
                    <w:rPr>
                      <w:kern w:val="0"/>
                      <w:szCs w:val="21"/>
                    </w:rPr>
                    <w:t>溢洪道进口改造</w:t>
                  </w:r>
                </w:p>
              </w:tc>
              <w:tc>
                <w:tcPr>
                  <w:tcW w:w="860" w:type="dxa"/>
                  <w:noWrap/>
                  <w:vAlign w:val="center"/>
                </w:tcPr>
                <w:p>
                  <w:pPr>
                    <w:widowControl/>
                    <w:adjustRightInd w:val="0"/>
                    <w:snapToGrid w:val="0"/>
                    <w:jc w:val="center"/>
                    <w:rPr>
                      <w:kern w:val="0"/>
                      <w:szCs w:val="21"/>
                    </w:rPr>
                  </w:pPr>
                  <w:r>
                    <w:rPr>
                      <w:kern w:val="0"/>
                      <w:szCs w:val="21"/>
                    </w:rPr>
                    <w:t>土方开挖</w:t>
                  </w:r>
                </w:p>
              </w:tc>
              <w:tc>
                <w:tcPr>
                  <w:tcW w:w="910" w:type="dxa"/>
                  <w:noWrap/>
                  <w:vAlign w:val="center"/>
                </w:tcPr>
                <w:p>
                  <w:pPr>
                    <w:widowControl/>
                    <w:adjustRightInd w:val="0"/>
                    <w:snapToGrid w:val="0"/>
                    <w:jc w:val="center"/>
                    <w:textAlignment w:val="center"/>
                    <w:rPr>
                      <w:kern w:val="0"/>
                      <w:szCs w:val="21"/>
                    </w:rPr>
                  </w:pPr>
                  <w:r>
                    <w:rPr>
                      <w:kern w:val="0"/>
                      <w:szCs w:val="21"/>
                    </w:rPr>
                    <w:t>1426.95</w:t>
                  </w:r>
                </w:p>
              </w:tc>
              <w:tc>
                <w:tcPr>
                  <w:tcW w:w="1050" w:type="dxa"/>
                  <w:noWrap/>
                  <w:vAlign w:val="center"/>
                </w:tcPr>
                <w:p>
                  <w:pPr>
                    <w:widowControl/>
                    <w:adjustRightInd w:val="0"/>
                    <w:snapToGrid w:val="0"/>
                    <w:jc w:val="center"/>
                    <w:textAlignment w:val="center"/>
                    <w:rPr>
                      <w:kern w:val="0"/>
                      <w:szCs w:val="21"/>
                    </w:rPr>
                  </w:pPr>
                  <w:r>
                    <w:rPr>
                      <w:kern w:val="0"/>
                      <w:szCs w:val="21"/>
                    </w:rPr>
                    <w:t>544.58</w:t>
                  </w:r>
                </w:p>
              </w:tc>
              <w:tc>
                <w:tcPr>
                  <w:tcW w:w="721" w:type="dxa"/>
                  <w:noWrap/>
                  <w:vAlign w:val="center"/>
                </w:tcPr>
                <w:p>
                  <w:pPr>
                    <w:widowControl/>
                    <w:adjustRightInd w:val="0"/>
                    <w:snapToGrid w:val="0"/>
                    <w:jc w:val="center"/>
                    <w:textAlignment w:val="center"/>
                    <w:rPr>
                      <w:kern w:val="0"/>
                      <w:szCs w:val="21"/>
                    </w:rPr>
                  </w:pPr>
                  <w:r>
                    <w:rPr>
                      <w:kern w:val="0"/>
                      <w:szCs w:val="21"/>
                    </w:rPr>
                    <w:t>取土场</w:t>
                  </w:r>
                </w:p>
              </w:tc>
              <w:tc>
                <w:tcPr>
                  <w:tcW w:w="654" w:type="dxa"/>
                  <w:noWrap/>
                  <w:vAlign w:val="center"/>
                </w:tcPr>
                <w:p>
                  <w:pPr>
                    <w:widowControl/>
                    <w:adjustRightInd w:val="0"/>
                    <w:snapToGrid w:val="0"/>
                    <w:jc w:val="center"/>
                    <w:textAlignment w:val="center"/>
                    <w:rPr>
                      <w:kern w:val="0"/>
                      <w:szCs w:val="21"/>
                    </w:rPr>
                  </w:pPr>
                  <w:r>
                    <w:rPr>
                      <w:kern w:val="0"/>
                      <w:szCs w:val="21"/>
                    </w:rPr>
                    <w:t>1971.53</w:t>
                  </w:r>
                </w:p>
              </w:tc>
              <w:tc>
                <w:tcPr>
                  <w:tcW w:w="875" w:type="dxa"/>
                  <w:noWrap/>
                  <w:vAlign w:val="center"/>
                </w:tcPr>
                <w:p>
                  <w:pPr>
                    <w:widowControl/>
                    <w:adjustRightInd w:val="0"/>
                    <w:snapToGrid w:val="0"/>
                    <w:jc w:val="center"/>
                    <w:textAlignment w:val="center"/>
                    <w:rPr>
                      <w:kern w:val="0"/>
                      <w:szCs w:val="21"/>
                    </w:rPr>
                  </w:pPr>
                  <w:r>
                    <w:rPr>
                      <w:kern w:val="0"/>
                      <w:szCs w:val="21"/>
                    </w:rPr>
                    <w:t>0</w:t>
                  </w:r>
                </w:p>
              </w:tc>
              <w:tc>
                <w:tcPr>
                  <w:tcW w:w="934" w:type="dxa"/>
                  <w:noWrap/>
                  <w:vAlign w:val="center"/>
                </w:tcPr>
                <w:p>
                  <w:pPr>
                    <w:widowControl/>
                    <w:adjustRightInd w:val="0"/>
                    <w:snapToGrid w:val="0"/>
                    <w:jc w:val="center"/>
                    <w:textAlignment w:val="center"/>
                    <w:rPr>
                      <w:kern w:val="0"/>
                      <w:szCs w:val="21"/>
                    </w:rPr>
                  </w:pPr>
                  <w:r>
                    <w:rPr>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0</w:t>
                  </w:r>
                </w:p>
              </w:tc>
              <w:tc>
                <w:tcPr>
                  <w:tcW w:w="622" w:type="dxa"/>
                  <w:noWrap/>
                  <w:vAlign w:val="center"/>
                </w:tcPr>
                <w:p>
                  <w:pPr>
                    <w:widowControl/>
                    <w:adjustRightInd w:val="0"/>
                    <w:snapToGrid w:val="0"/>
                    <w:jc w:val="center"/>
                    <w:textAlignment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0" w:type="dxa"/>
                  <w:vMerge w:val="continue"/>
                  <w:noWrap/>
                  <w:vAlign w:val="center"/>
                </w:tcPr>
                <w:p>
                  <w:pPr>
                    <w:widowControl/>
                    <w:adjustRightInd w:val="0"/>
                    <w:snapToGrid w:val="0"/>
                    <w:jc w:val="center"/>
                    <w:rPr>
                      <w:kern w:val="0"/>
                      <w:szCs w:val="21"/>
                    </w:rPr>
                  </w:pPr>
                </w:p>
              </w:tc>
              <w:tc>
                <w:tcPr>
                  <w:tcW w:w="550" w:type="dxa"/>
                  <w:vMerge w:val="continue"/>
                  <w:noWrap/>
                  <w:vAlign w:val="center"/>
                </w:tcPr>
                <w:p>
                  <w:pPr>
                    <w:widowControl/>
                    <w:adjustRightInd w:val="0"/>
                    <w:snapToGrid w:val="0"/>
                    <w:jc w:val="center"/>
                    <w:rPr>
                      <w:kern w:val="0"/>
                      <w:szCs w:val="21"/>
                    </w:rPr>
                  </w:pPr>
                </w:p>
              </w:tc>
              <w:tc>
                <w:tcPr>
                  <w:tcW w:w="860" w:type="dxa"/>
                  <w:noWrap/>
                  <w:vAlign w:val="center"/>
                </w:tcPr>
                <w:p>
                  <w:pPr>
                    <w:widowControl/>
                    <w:adjustRightInd w:val="0"/>
                    <w:snapToGrid w:val="0"/>
                    <w:jc w:val="center"/>
                    <w:rPr>
                      <w:kern w:val="0"/>
                      <w:szCs w:val="21"/>
                    </w:rPr>
                  </w:pPr>
                  <w:r>
                    <w:rPr>
                      <w:kern w:val="0"/>
                      <w:szCs w:val="21"/>
                    </w:rPr>
                    <w:t>混凝土、浆砌石拆除</w:t>
                  </w:r>
                </w:p>
              </w:tc>
              <w:tc>
                <w:tcPr>
                  <w:tcW w:w="910" w:type="dxa"/>
                  <w:noWrap/>
                  <w:vAlign w:val="center"/>
                </w:tcPr>
                <w:p>
                  <w:pPr>
                    <w:widowControl/>
                    <w:adjustRightInd w:val="0"/>
                    <w:snapToGrid w:val="0"/>
                    <w:jc w:val="center"/>
                    <w:textAlignment w:val="center"/>
                    <w:rPr>
                      <w:kern w:val="0"/>
                      <w:szCs w:val="21"/>
                    </w:rPr>
                  </w:pPr>
                  <w:r>
                    <w:rPr>
                      <w:kern w:val="0"/>
                      <w:szCs w:val="21"/>
                    </w:rPr>
                    <w:t>63</w:t>
                  </w:r>
                </w:p>
              </w:tc>
              <w:tc>
                <w:tcPr>
                  <w:tcW w:w="1050" w:type="dxa"/>
                  <w:noWrap/>
                  <w:vAlign w:val="center"/>
                </w:tcPr>
                <w:p>
                  <w:pPr>
                    <w:widowControl/>
                    <w:adjustRightInd w:val="0"/>
                    <w:snapToGrid w:val="0"/>
                    <w:jc w:val="center"/>
                    <w:rPr>
                      <w:kern w:val="0"/>
                      <w:szCs w:val="21"/>
                    </w:rPr>
                  </w:pPr>
                  <w:r>
                    <w:rPr>
                      <w:kern w:val="0"/>
                      <w:szCs w:val="21"/>
                    </w:rPr>
                    <w:t>0</w:t>
                  </w:r>
                </w:p>
              </w:tc>
              <w:tc>
                <w:tcPr>
                  <w:tcW w:w="721" w:type="dxa"/>
                  <w:noWrap/>
                  <w:vAlign w:val="center"/>
                </w:tcPr>
                <w:p>
                  <w:pPr>
                    <w:widowControl/>
                    <w:adjustRightInd w:val="0"/>
                    <w:snapToGrid w:val="0"/>
                    <w:jc w:val="center"/>
                    <w:rPr>
                      <w:kern w:val="0"/>
                      <w:szCs w:val="21"/>
                    </w:rPr>
                  </w:pPr>
                  <w:r>
                    <w:rPr>
                      <w:kern w:val="0"/>
                      <w:szCs w:val="21"/>
                    </w:rPr>
                    <w:t>/</w:t>
                  </w:r>
                </w:p>
              </w:tc>
              <w:tc>
                <w:tcPr>
                  <w:tcW w:w="654" w:type="dxa"/>
                  <w:noWrap/>
                  <w:vAlign w:val="center"/>
                </w:tcPr>
                <w:p>
                  <w:pPr>
                    <w:widowControl/>
                    <w:adjustRightInd w:val="0"/>
                    <w:snapToGrid w:val="0"/>
                    <w:jc w:val="center"/>
                    <w:textAlignment w:val="center"/>
                    <w:rPr>
                      <w:kern w:val="0"/>
                      <w:szCs w:val="21"/>
                    </w:rPr>
                  </w:pPr>
                  <w:r>
                    <w:rPr>
                      <w:kern w:val="0"/>
                      <w:szCs w:val="21"/>
                    </w:rPr>
                    <w:t>0</w:t>
                  </w:r>
                </w:p>
              </w:tc>
              <w:tc>
                <w:tcPr>
                  <w:tcW w:w="875" w:type="dxa"/>
                  <w:noWrap/>
                  <w:vAlign w:val="center"/>
                </w:tcPr>
                <w:p>
                  <w:pPr>
                    <w:widowControl/>
                    <w:adjustRightInd w:val="0"/>
                    <w:snapToGrid w:val="0"/>
                    <w:jc w:val="center"/>
                    <w:textAlignment w:val="center"/>
                    <w:rPr>
                      <w:kern w:val="0"/>
                      <w:szCs w:val="21"/>
                    </w:rPr>
                  </w:pPr>
                  <w:r>
                    <w:rPr>
                      <w:kern w:val="0"/>
                      <w:szCs w:val="21"/>
                    </w:rPr>
                    <w:t>0</w:t>
                  </w:r>
                </w:p>
              </w:tc>
              <w:tc>
                <w:tcPr>
                  <w:tcW w:w="934" w:type="dxa"/>
                  <w:noWrap/>
                  <w:vAlign w:val="center"/>
                </w:tcPr>
                <w:p>
                  <w:pPr>
                    <w:widowControl/>
                    <w:adjustRightInd w:val="0"/>
                    <w:snapToGrid w:val="0"/>
                    <w:jc w:val="center"/>
                    <w:rPr>
                      <w:kern w:val="0"/>
                      <w:szCs w:val="21"/>
                    </w:rPr>
                  </w:pPr>
                  <w:r>
                    <w:rPr>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63</w:t>
                  </w:r>
                </w:p>
              </w:tc>
              <w:tc>
                <w:tcPr>
                  <w:tcW w:w="622" w:type="dxa"/>
                  <w:noWrap/>
                  <w:vAlign w:val="center"/>
                </w:tcPr>
                <w:p>
                  <w:pPr>
                    <w:widowControl/>
                    <w:adjustRightInd w:val="0"/>
                    <w:snapToGrid w:val="0"/>
                    <w:jc w:val="center"/>
                    <w:textAlignment w:val="center"/>
                    <w:rPr>
                      <w:kern w:val="0"/>
                      <w:szCs w:val="21"/>
                    </w:rPr>
                  </w:pPr>
                  <w:r>
                    <w:rPr>
                      <w:kern w:val="0"/>
                      <w:szCs w:val="21"/>
                    </w:rPr>
                    <w:t>填埋场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00" w:type="dxa"/>
                  <w:gridSpan w:val="3"/>
                  <w:noWrap/>
                  <w:vAlign w:val="center"/>
                </w:tcPr>
                <w:p>
                  <w:pPr>
                    <w:widowControl/>
                    <w:adjustRightInd w:val="0"/>
                    <w:snapToGrid w:val="0"/>
                    <w:jc w:val="center"/>
                    <w:rPr>
                      <w:kern w:val="0"/>
                      <w:szCs w:val="21"/>
                    </w:rPr>
                  </w:pPr>
                  <w:r>
                    <w:rPr>
                      <w:kern w:val="0"/>
                      <w:szCs w:val="21"/>
                    </w:rPr>
                    <w:t>合计</w:t>
                  </w:r>
                </w:p>
              </w:tc>
              <w:tc>
                <w:tcPr>
                  <w:tcW w:w="910" w:type="dxa"/>
                  <w:noWrap/>
                  <w:vAlign w:val="center"/>
                </w:tcPr>
                <w:p>
                  <w:pPr>
                    <w:widowControl/>
                    <w:adjustRightInd w:val="0"/>
                    <w:snapToGrid w:val="0"/>
                    <w:jc w:val="center"/>
                    <w:textAlignment w:val="center"/>
                    <w:rPr>
                      <w:kern w:val="0"/>
                      <w:szCs w:val="21"/>
                    </w:rPr>
                  </w:pPr>
                  <w:r>
                    <w:rPr>
                      <w:kern w:val="0"/>
                      <w:szCs w:val="21"/>
                    </w:rPr>
                    <w:t>231368.59</w:t>
                  </w:r>
                </w:p>
              </w:tc>
              <w:tc>
                <w:tcPr>
                  <w:tcW w:w="1050" w:type="dxa"/>
                  <w:noWrap/>
                  <w:vAlign w:val="center"/>
                </w:tcPr>
                <w:p>
                  <w:pPr>
                    <w:widowControl/>
                    <w:adjustRightInd w:val="0"/>
                    <w:snapToGrid w:val="0"/>
                    <w:jc w:val="center"/>
                    <w:textAlignment w:val="center"/>
                    <w:rPr>
                      <w:kern w:val="0"/>
                      <w:szCs w:val="21"/>
                    </w:rPr>
                  </w:pPr>
                  <w:r>
                    <w:rPr>
                      <w:kern w:val="0"/>
                      <w:szCs w:val="21"/>
                    </w:rPr>
                    <w:t>203599.98</w:t>
                  </w:r>
                </w:p>
              </w:tc>
              <w:tc>
                <w:tcPr>
                  <w:tcW w:w="721" w:type="dxa"/>
                  <w:noWrap/>
                  <w:vAlign w:val="center"/>
                </w:tcPr>
                <w:p>
                  <w:pPr>
                    <w:widowControl/>
                    <w:adjustRightInd w:val="0"/>
                    <w:snapToGrid w:val="0"/>
                    <w:jc w:val="center"/>
                    <w:textAlignment w:val="center"/>
                    <w:rPr>
                      <w:kern w:val="0"/>
                      <w:szCs w:val="21"/>
                    </w:rPr>
                  </w:pPr>
                  <w:r>
                    <w:rPr>
                      <w:kern w:val="0"/>
                      <w:szCs w:val="21"/>
                    </w:rPr>
                    <w:t>/</w:t>
                  </w:r>
                </w:p>
              </w:tc>
              <w:tc>
                <w:tcPr>
                  <w:tcW w:w="654" w:type="dxa"/>
                  <w:noWrap/>
                  <w:vAlign w:val="center"/>
                </w:tcPr>
                <w:p>
                  <w:pPr>
                    <w:widowControl/>
                    <w:adjustRightInd w:val="0"/>
                    <w:snapToGrid w:val="0"/>
                    <w:jc w:val="center"/>
                    <w:textAlignment w:val="center"/>
                    <w:rPr>
                      <w:kern w:val="0"/>
                      <w:szCs w:val="21"/>
                    </w:rPr>
                  </w:pPr>
                  <w:r>
                    <w:rPr>
                      <w:kern w:val="0"/>
                      <w:szCs w:val="21"/>
                    </w:rPr>
                    <w:t>213211.77</w:t>
                  </w:r>
                </w:p>
              </w:tc>
              <w:tc>
                <w:tcPr>
                  <w:tcW w:w="875" w:type="dxa"/>
                  <w:noWrap/>
                  <w:vAlign w:val="center"/>
                </w:tcPr>
                <w:p>
                  <w:pPr>
                    <w:widowControl/>
                    <w:adjustRightInd w:val="0"/>
                    <w:snapToGrid w:val="0"/>
                    <w:jc w:val="center"/>
                    <w:textAlignment w:val="center"/>
                    <w:rPr>
                      <w:kern w:val="0"/>
                      <w:szCs w:val="21"/>
                    </w:rPr>
                  </w:pPr>
                  <w:r>
                    <w:rPr>
                      <w:kern w:val="0"/>
                      <w:szCs w:val="21"/>
                    </w:rPr>
                    <w:t>17963.2</w:t>
                  </w:r>
                </w:p>
              </w:tc>
              <w:tc>
                <w:tcPr>
                  <w:tcW w:w="934" w:type="dxa"/>
                  <w:noWrap/>
                  <w:vAlign w:val="center"/>
                </w:tcPr>
                <w:p>
                  <w:pPr>
                    <w:widowControl/>
                    <w:adjustRightInd w:val="0"/>
                    <w:snapToGrid w:val="0"/>
                    <w:jc w:val="center"/>
                    <w:textAlignment w:val="center"/>
                    <w:rPr>
                      <w:kern w:val="0"/>
                      <w:szCs w:val="21"/>
                    </w:rPr>
                  </w:pPr>
                  <w:r>
                    <w:rPr>
                      <w:kern w:val="0"/>
                      <w:szCs w:val="21"/>
                    </w:rPr>
                    <w:t>/</w:t>
                  </w:r>
                </w:p>
              </w:tc>
              <w:tc>
                <w:tcPr>
                  <w:tcW w:w="750" w:type="dxa"/>
                  <w:noWrap/>
                  <w:vAlign w:val="center"/>
                </w:tcPr>
                <w:p>
                  <w:pPr>
                    <w:widowControl/>
                    <w:adjustRightInd w:val="0"/>
                    <w:snapToGrid w:val="0"/>
                    <w:jc w:val="center"/>
                    <w:textAlignment w:val="center"/>
                    <w:rPr>
                      <w:kern w:val="0"/>
                      <w:szCs w:val="21"/>
                    </w:rPr>
                  </w:pPr>
                  <w:r>
                    <w:rPr>
                      <w:kern w:val="0"/>
                      <w:szCs w:val="21"/>
                    </w:rPr>
                    <w:t>193.62</w:t>
                  </w:r>
                </w:p>
              </w:tc>
              <w:tc>
                <w:tcPr>
                  <w:tcW w:w="622" w:type="dxa"/>
                  <w:noWrap/>
                  <w:vAlign w:val="center"/>
                </w:tcPr>
                <w:p>
                  <w:pPr>
                    <w:widowControl/>
                    <w:adjustRightInd w:val="0"/>
                    <w:snapToGrid w:val="0"/>
                    <w:jc w:val="center"/>
                    <w:textAlignment w:val="center"/>
                    <w:rPr>
                      <w:kern w:val="0"/>
                      <w:szCs w:val="21"/>
                    </w:rPr>
                  </w:pPr>
                  <w:r>
                    <w:rPr>
                      <w:kern w:val="0"/>
                      <w:szCs w:val="21"/>
                    </w:rPr>
                    <w:t>/</w:t>
                  </w:r>
                </w:p>
              </w:tc>
            </w:tr>
          </w:tbl>
          <w:p>
            <w:pPr>
              <w:pStyle w:val="46"/>
              <w:rPr>
                <w:kern w:val="0"/>
                <w:szCs w:val="21"/>
              </w:rPr>
            </w:pPr>
            <w:r>
              <w:rPr>
                <w:kern w:val="0"/>
                <w:szCs w:val="21"/>
              </w:rPr>
              <w:drawing>
                <wp:inline distT="0" distB="0" distL="114300" distR="114300">
                  <wp:extent cx="5289550" cy="2696845"/>
                  <wp:effectExtent l="0" t="0" r="0" b="0"/>
                  <wp:docPr id="33" name="ECB019B1-382A-4266-B25C-5B523AA43C14-1" descr="C:/Users/H/AppData/Local/Temp/wps.YsXVj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B019B1-382A-4266-B25C-5B523AA43C14-1" descr="C:/Users/H/AppData/Local/Temp/wps.YsXVjswps"/>
                          <pic:cNvPicPr>
                            <a:picLocks noChangeAspect="1"/>
                          </pic:cNvPicPr>
                        </pic:nvPicPr>
                        <pic:blipFill>
                          <a:blip r:embed="rId29"/>
                          <a:stretch>
                            <a:fillRect/>
                          </a:stretch>
                        </pic:blipFill>
                        <pic:spPr>
                          <a:xfrm>
                            <a:off x="0" y="0"/>
                            <a:ext cx="5289550" cy="2696845"/>
                          </a:xfrm>
                          <a:prstGeom prst="rect">
                            <a:avLst/>
                          </a:prstGeom>
                          <a:noFill/>
                          <a:ln>
                            <a:noFill/>
                          </a:ln>
                        </pic:spPr>
                      </pic:pic>
                    </a:graphicData>
                  </a:graphic>
                </wp:inline>
              </w:drawing>
            </w:r>
          </w:p>
          <w:p>
            <w:pPr>
              <w:pStyle w:val="23"/>
              <w:adjustRightInd w:val="0"/>
              <w:snapToGrid w:val="0"/>
              <w:spacing w:after="0" w:line="240" w:lineRule="auto"/>
              <w:jc w:val="center"/>
              <w:rPr>
                <w:kern w:val="0"/>
                <w:szCs w:val="21"/>
              </w:rPr>
            </w:pPr>
            <w:r>
              <w:rPr>
                <w:rFonts w:eastAsia="黑体"/>
                <w:spacing w:val="11"/>
                <w:sz w:val="24"/>
              </w:rPr>
              <w:t xml:space="preserve">图2-7  </w:t>
            </w:r>
            <w:r>
              <w:rPr>
                <w:rFonts w:eastAsia="黑体"/>
                <w:sz w:val="24"/>
              </w:rPr>
              <w:t>土石方平衡图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tcBorders>
              <w:tl2br w:val="nil"/>
              <w:tr2bl w:val="nil"/>
            </w:tcBorders>
            <w:noWrap/>
            <w:vAlign w:val="center"/>
          </w:tcPr>
          <w:p>
            <w:pPr>
              <w:adjustRightInd w:val="0"/>
              <w:snapToGrid w:val="0"/>
              <w:jc w:val="center"/>
              <w:rPr>
                <w:kern w:val="0"/>
                <w:sz w:val="24"/>
              </w:rPr>
            </w:pPr>
            <w:r>
              <w:rPr>
                <w:b/>
                <w:bCs/>
                <w:kern w:val="0"/>
                <w:sz w:val="24"/>
              </w:rPr>
              <w:t>总平面及现场布置</w:t>
            </w:r>
          </w:p>
        </w:tc>
        <w:tc>
          <w:tcPr>
            <w:tcW w:w="8380" w:type="dxa"/>
            <w:tcBorders>
              <w:tl2br w:val="nil"/>
              <w:tr2bl w:val="nil"/>
            </w:tcBorders>
            <w:noWrap/>
            <w:vAlign w:val="center"/>
          </w:tcPr>
          <w:p>
            <w:pPr>
              <w:widowControl/>
              <w:spacing w:before="240" w:after="60"/>
              <w:rPr>
                <w:rFonts w:eastAsia="黑体"/>
                <w:kern w:val="0"/>
                <w:sz w:val="24"/>
              </w:rPr>
            </w:pPr>
            <w:r>
              <w:rPr>
                <w:rFonts w:eastAsia="黑体"/>
                <w:kern w:val="0"/>
                <w:sz w:val="24"/>
              </w:rPr>
              <w:t>1、施工布置原则及分区</w:t>
            </w:r>
          </w:p>
          <w:p>
            <w:pPr>
              <w:ind w:firstLine="510" w:firstLineChars="200"/>
              <w:rPr>
                <w:sz w:val="24"/>
              </w:rPr>
            </w:pPr>
            <w:r>
              <w:rPr>
                <w:sz w:val="24"/>
              </w:rPr>
              <w:t>项目区交通运输方便，施工临建设施集中布置在右坝肩下游较为空旷区域，本工程设置1个施工分区，不设临时道路。工区内布置有生产生活设施及办公设施、物资仓库、机电设备仓库、木工厂、钢筋厂、机械停放场、堆料场等，施工结束后进行生态恢复。</w:t>
            </w:r>
          </w:p>
          <w:p>
            <w:pPr>
              <w:widowControl/>
              <w:spacing w:before="240" w:after="60"/>
              <w:rPr>
                <w:rFonts w:eastAsia="黑体"/>
                <w:kern w:val="0"/>
                <w:sz w:val="24"/>
              </w:rPr>
            </w:pPr>
            <w:r>
              <w:rPr>
                <w:rFonts w:eastAsia="黑体"/>
                <w:kern w:val="0"/>
                <w:sz w:val="24"/>
              </w:rPr>
              <w:t>2、施工总体布置</w:t>
            </w:r>
          </w:p>
          <w:p>
            <w:pPr>
              <w:ind w:firstLine="510" w:firstLineChars="200"/>
              <w:textAlignment w:val="center"/>
              <w:rPr>
                <w:sz w:val="24"/>
              </w:rPr>
            </w:pPr>
            <w:r>
              <w:rPr>
                <w:sz w:val="24"/>
              </w:rPr>
              <w:t>本工程项目区内交通条件方便，各种机动车辆均可通行，完全能够满足施工所需要的建筑材料和机械设备运输到施工现场，施工场区布置在右坝肩下游较为空旷区域，工区内布置有生产生活设施及办公设施、物资仓库、机电设备仓库、木工厂、钢筋厂、机械停放场、堆料场等。</w:t>
            </w:r>
          </w:p>
          <w:p>
            <w:pPr>
              <w:ind w:firstLine="510" w:firstLineChars="200"/>
              <w:textAlignment w:val="center"/>
              <w:rPr>
                <w:sz w:val="24"/>
              </w:rPr>
            </w:pPr>
            <w:r>
              <w:rPr>
                <w:sz w:val="24"/>
              </w:rPr>
              <w:t>本项目施工布置图见附图13。</w:t>
            </w:r>
          </w:p>
          <w:p>
            <w:pPr>
              <w:ind w:firstLine="510" w:firstLineChars="200"/>
              <w:textAlignment w:val="center"/>
              <w:rPr>
                <w:sz w:val="24"/>
              </w:rPr>
            </w:pPr>
            <w:r>
              <w:rPr>
                <w:sz w:val="24"/>
              </w:rPr>
              <w:t>（1）施工人员</w:t>
            </w:r>
          </w:p>
          <w:p>
            <w:pPr>
              <w:ind w:firstLine="510" w:firstLineChars="200"/>
              <w:textAlignment w:val="center"/>
            </w:pPr>
            <w:r>
              <w:rPr>
                <w:sz w:val="24"/>
              </w:rPr>
              <w:t>施工人员120人，大多来自当地，施工结束后全部撤出施工现场。</w:t>
            </w:r>
          </w:p>
          <w:p>
            <w:pPr>
              <w:tabs>
                <w:tab w:val="left" w:pos="0"/>
              </w:tabs>
              <w:ind w:firstLine="510" w:firstLineChars="200"/>
              <w:rPr>
                <w:sz w:val="24"/>
              </w:rPr>
            </w:pPr>
            <w:bookmarkStart w:id="7" w:name="_Toc528857984"/>
            <w:bookmarkStart w:id="8" w:name="_Toc123219320"/>
            <w:r>
              <w:rPr>
                <w:sz w:val="24"/>
              </w:rPr>
              <w:t>（2）施工生产生活区</w:t>
            </w:r>
          </w:p>
          <w:p>
            <w:pPr>
              <w:tabs>
                <w:tab w:val="left" w:pos="0"/>
              </w:tabs>
              <w:ind w:firstLine="510" w:firstLineChars="200"/>
              <w:rPr>
                <w:sz w:val="24"/>
              </w:rPr>
            </w:pPr>
            <w:r>
              <w:rPr>
                <w:sz w:val="24"/>
              </w:rPr>
              <w:t>本项目工区内布置有生产生活设施及办公设施、物资仓库、机电设备仓库、木工厂、钢筋厂、机械停放场、堆料场。项目施工生产生活区不设置沥青混凝土搅拌装置，施工机械维修保养全部依托项目周边维修厂，不在施工生产区内维修和保养。</w:t>
            </w:r>
          </w:p>
          <w:bookmarkEnd w:id="7"/>
          <w:bookmarkEnd w:id="8"/>
          <w:p>
            <w:pPr>
              <w:jc w:val="center"/>
              <w:rPr>
                <w:rFonts w:eastAsia="黑体"/>
                <w:sz w:val="24"/>
              </w:rPr>
            </w:pPr>
            <w:r>
              <w:rPr>
                <w:rFonts w:eastAsia="黑体"/>
                <w:bCs/>
                <w:sz w:val="24"/>
              </w:rPr>
              <w:t>表2-5  项目施工生产生活区规划布置情况</w:t>
            </w: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23"/>
              <w:gridCol w:w="1646"/>
              <w:gridCol w:w="1723"/>
              <w:gridCol w:w="1143"/>
              <w:gridCol w:w="1385"/>
              <w:gridCol w:w="11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ign w:val="center"/>
                </w:tcPr>
                <w:p>
                  <w:pPr>
                    <w:widowControl/>
                    <w:adjustRightInd w:val="0"/>
                    <w:snapToGrid w:val="0"/>
                    <w:jc w:val="center"/>
                    <w:rPr>
                      <w:b/>
                      <w:bCs/>
                      <w:kern w:val="0"/>
                      <w:szCs w:val="21"/>
                    </w:rPr>
                  </w:pPr>
                  <w:r>
                    <w:rPr>
                      <w:b/>
                      <w:bCs/>
                      <w:kern w:val="0"/>
                      <w:szCs w:val="21"/>
                    </w:rPr>
                    <w:t>类别</w:t>
                  </w:r>
                </w:p>
              </w:tc>
              <w:tc>
                <w:tcPr>
                  <w:tcW w:w="2025" w:type="pct"/>
                  <w:gridSpan w:val="2"/>
                  <w:vMerge w:val="restart"/>
                  <w:tcBorders>
                    <w:tl2br w:val="nil"/>
                    <w:tr2bl w:val="nil"/>
                  </w:tcBorders>
                  <w:noWrap/>
                  <w:vAlign w:val="center"/>
                </w:tcPr>
                <w:p>
                  <w:pPr>
                    <w:widowControl/>
                    <w:adjustRightInd w:val="0"/>
                    <w:snapToGrid w:val="0"/>
                    <w:jc w:val="center"/>
                    <w:rPr>
                      <w:b/>
                      <w:bCs/>
                      <w:kern w:val="0"/>
                      <w:szCs w:val="21"/>
                    </w:rPr>
                  </w:pPr>
                  <w:r>
                    <w:rPr>
                      <w:b/>
                      <w:bCs/>
                      <w:kern w:val="0"/>
                      <w:szCs w:val="21"/>
                    </w:rPr>
                    <w:t>项目</w:t>
                  </w:r>
                </w:p>
              </w:tc>
              <w:tc>
                <w:tcPr>
                  <w:tcW w:w="687" w:type="pct"/>
                  <w:vMerge w:val="restart"/>
                  <w:tcBorders>
                    <w:tl2br w:val="nil"/>
                    <w:tr2bl w:val="nil"/>
                  </w:tcBorders>
                  <w:noWrap/>
                  <w:vAlign w:val="center"/>
                </w:tcPr>
                <w:p>
                  <w:pPr>
                    <w:widowControl/>
                    <w:adjustRightInd w:val="0"/>
                    <w:snapToGrid w:val="0"/>
                    <w:jc w:val="center"/>
                    <w:rPr>
                      <w:b/>
                      <w:bCs/>
                      <w:kern w:val="0"/>
                      <w:szCs w:val="21"/>
                    </w:rPr>
                  </w:pPr>
                  <w:r>
                    <w:rPr>
                      <w:b/>
                      <w:bCs/>
                      <w:kern w:val="0"/>
                      <w:szCs w:val="21"/>
                    </w:rPr>
                    <w:t>建筑面积（㎡）</w:t>
                  </w:r>
                </w:p>
              </w:tc>
              <w:tc>
                <w:tcPr>
                  <w:tcW w:w="1552" w:type="pct"/>
                  <w:gridSpan w:val="2"/>
                  <w:tcBorders>
                    <w:tl2br w:val="nil"/>
                    <w:tr2bl w:val="nil"/>
                  </w:tcBorders>
                  <w:noWrap/>
                  <w:vAlign w:val="center"/>
                </w:tcPr>
                <w:p>
                  <w:pPr>
                    <w:widowControl/>
                    <w:adjustRightInd w:val="0"/>
                    <w:snapToGrid w:val="0"/>
                    <w:jc w:val="center"/>
                    <w:rPr>
                      <w:b/>
                      <w:bCs/>
                      <w:kern w:val="0"/>
                      <w:szCs w:val="21"/>
                    </w:rPr>
                  </w:pPr>
                  <w:r>
                    <w:rPr>
                      <w:b/>
                      <w:bCs/>
                      <w:kern w:val="0"/>
                      <w:szCs w:val="21"/>
                    </w:rPr>
                    <w:t>占地面积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ign w:val="center"/>
                </w:tcPr>
                <w:p>
                  <w:pPr>
                    <w:adjustRightInd w:val="0"/>
                    <w:snapToGrid w:val="0"/>
                    <w:jc w:val="center"/>
                    <w:rPr>
                      <w:b/>
                      <w:bCs/>
                      <w:kern w:val="0"/>
                      <w:szCs w:val="21"/>
                    </w:rPr>
                  </w:pPr>
                </w:p>
              </w:tc>
              <w:tc>
                <w:tcPr>
                  <w:tcW w:w="2025" w:type="pct"/>
                  <w:gridSpan w:val="2"/>
                  <w:vMerge w:val="continue"/>
                  <w:tcBorders>
                    <w:tl2br w:val="nil"/>
                    <w:tr2bl w:val="nil"/>
                  </w:tcBorders>
                  <w:noWrap/>
                  <w:vAlign w:val="center"/>
                </w:tcPr>
                <w:p>
                  <w:pPr>
                    <w:adjustRightInd w:val="0"/>
                    <w:snapToGrid w:val="0"/>
                    <w:jc w:val="center"/>
                    <w:rPr>
                      <w:b/>
                      <w:bCs/>
                      <w:kern w:val="0"/>
                      <w:szCs w:val="21"/>
                    </w:rPr>
                  </w:pPr>
                </w:p>
              </w:tc>
              <w:tc>
                <w:tcPr>
                  <w:tcW w:w="687" w:type="pct"/>
                  <w:vMerge w:val="continue"/>
                  <w:tcBorders>
                    <w:tl2br w:val="nil"/>
                    <w:tr2bl w:val="nil"/>
                  </w:tcBorders>
                  <w:noWrap/>
                  <w:vAlign w:val="center"/>
                </w:tcPr>
                <w:p>
                  <w:pPr>
                    <w:adjustRightInd w:val="0"/>
                    <w:snapToGrid w:val="0"/>
                    <w:jc w:val="center"/>
                    <w:rPr>
                      <w:b/>
                      <w:bCs/>
                      <w:kern w:val="0"/>
                      <w:szCs w:val="21"/>
                    </w:rPr>
                  </w:pPr>
                </w:p>
              </w:tc>
              <w:tc>
                <w:tcPr>
                  <w:tcW w:w="833" w:type="pct"/>
                  <w:tcBorders>
                    <w:tl2br w:val="nil"/>
                    <w:tr2bl w:val="nil"/>
                  </w:tcBorders>
                  <w:noWrap/>
                  <w:vAlign w:val="center"/>
                </w:tcPr>
                <w:p>
                  <w:pPr>
                    <w:widowControl/>
                    <w:adjustRightInd w:val="0"/>
                    <w:snapToGrid w:val="0"/>
                    <w:jc w:val="center"/>
                    <w:rPr>
                      <w:b/>
                      <w:bCs/>
                      <w:kern w:val="0"/>
                      <w:szCs w:val="21"/>
                    </w:rPr>
                  </w:pPr>
                  <w:r>
                    <w:rPr>
                      <w:b/>
                      <w:bCs/>
                      <w:kern w:val="0"/>
                      <w:szCs w:val="21"/>
                    </w:rPr>
                    <w:t>（㎡）</w:t>
                  </w:r>
                </w:p>
              </w:tc>
              <w:tc>
                <w:tcPr>
                  <w:tcW w:w="718" w:type="pct"/>
                  <w:tcBorders>
                    <w:tl2br w:val="nil"/>
                    <w:tr2bl w:val="nil"/>
                  </w:tcBorders>
                  <w:noWrap/>
                  <w:vAlign w:val="center"/>
                </w:tcPr>
                <w:p>
                  <w:pPr>
                    <w:widowControl/>
                    <w:adjustRightInd w:val="0"/>
                    <w:snapToGrid w:val="0"/>
                    <w:jc w:val="center"/>
                    <w:rPr>
                      <w:b/>
                      <w:bCs/>
                      <w:kern w:val="0"/>
                      <w:szCs w:val="21"/>
                    </w:rPr>
                  </w:pPr>
                  <w:r>
                    <w:rPr>
                      <w:b/>
                      <w:bCs/>
                      <w:kern w:val="0"/>
                      <w:szCs w:val="21"/>
                    </w:rPr>
                    <w:t>(亩)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restart"/>
                  <w:tcBorders>
                    <w:tl2br w:val="nil"/>
                    <w:tr2bl w:val="nil"/>
                  </w:tcBorders>
                  <w:noWrap/>
                  <w:vAlign w:val="center"/>
                </w:tcPr>
                <w:p>
                  <w:pPr>
                    <w:widowControl/>
                    <w:adjustRightInd w:val="0"/>
                    <w:snapToGrid w:val="0"/>
                    <w:jc w:val="center"/>
                    <w:rPr>
                      <w:kern w:val="0"/>
                      <w:szCs w:val="21"/>
                    </w:rPr>
                  </w:pPr>
                  <w:r>
                    <w:rPr>
                      <w:kern w:val="0"/>
                      <w:szCs w:val="21"/>
                    </w:rPr>
                    <w:t>施工生产生活区</w:t>
                  </w:r>
                </w:p>
              </w:tc>
              <w:tc>
                <w:tcPr>
                  <w:tcW w:w="989" w:type="pct"/>
                  <w:vMerge w:val="restart"/>
                  <w:tcBorders>
                    <w:tl2br w:val="nil"/>
                    <w:tr2bl w:val="nil"/>
                  </w:tcBorders>
                  <w:noWrap/>
                  <w:vAlign w:val="center"/>
                </w:tcPr>
                <w:p>
                  <w:pPr>
                    <w:widowControl/>
                    <w:adjustRightInd w:val="0"/>
                    <w:snapToGrid w:val="0"/>
                    <w:jc w:val="center"/>
                    <w:rPr>
                      <w:kern w:val="0"/>
                      <w:szCs w:val="21"/>
                    </w:rPr>
                  </w:pPr>
                  <w:r>
                    <w:rPr>
                      <w:kern w:val="0"/>
                      <w:szCs w:val="21"/>
                    </w:rPr>
                    <w:t>综合加工厂</w:t>
                  </w:r>
                </w:p>
              </w:tc>
              <w:tc>
                <w:tcPr>
                  <w:tcW w:w="1035" w:type="pct"/>
                  <w:tcBorders>
                    <w:tl2br w:val="nil"/>
                    <w:tr2bl w:val="nil"/>
                  </w:tcBorders>
                  <w:noWrap/>
                  <w:vAlign w:val="center"/>
                </w:tcPr>
                <w:p>
                  <w:pPr>
                    <w:widowControl/>
                    <w:adjustRightInd w:val="0"/>
                    <w:snapToGrid w:val="0"/>
                    <w:jc w:val="center"/>
                    <w:rPr>
                      <w:kern w:val="0"/>
                      <w:szCs w:val="21"/>
                    </w:rPr>
                  </w:pPr>
                  <w:r>
                    <w:rPr>
                      <w:kern w:val="0"/>
                      <w:szCs w:val="21"/>
                    </w:rPr>
                    <w:t>钢筋加工厂</w:t>
                  </w:r>
                </w:p>
              </w:tc>
              <w:tc>
                <w:tcPr>
                  <w:tcW w:w="687" w:type="pct"/>
                  <w:vMerge w:val="restart"/>
                  <w:tcBorders>
                    <w:tl2br w:val="nil"/>
                    <w:tr2bl w:val="nil"/>
                  </w:tcBorders>
                  <w:noWrap/>
                  <w:vAlign w:val="center"/>
                </w:tcPr>
                <w:p>
                  <w:pPr>
                    <w:widowControl/>
                    <w:adjustRightInd w:val="0"/>
                    <w:snapToGrid w:val="0"/>
                    <w:jc w:val="center"/>
                    <w:rPr>
                      <w:kern w:val="0"/>
                      <w:szCs w:val="21"/>
                    </w:rPr>
                  </w:pPr>
                  <w:r>
                    <w:rPr>
                      <w:kern w:val="0"/>
                      <w:szCs w:val="21"/>
                    </w:rPr>
                    <w:t>150</w:t>
                  </w:r>
                </w:p>
              </w:tc>
              <w:tc>
                <w:tcPr>
                  <w:tcW w:w="833" w:type="pct"/>
                  <w:vMerge w:val="restart"/>
                  <w:tcBorders>
                    <w:tl2br w:val="nil"/>
                    <w:tr2bl w:val="nil"/>
                  </w:tcBorders>
                  <w:noWrap/>
                  <w:vAlign w:val="center"/>
                </w:tcPr>
                <w:p>
                  <w:pPr>
                    <w:widowControl/>
                    <w:adjustRightInd w:val="0"/>
                    <w:snapToGrid w:val="0"/>
                    <w:jc w:val="center"/>
                    <w:rPr>
                      <w:kern w:val="0"/>
                      <w:szCs w:val="21"/>
                    </w:rPr>
                  </w:pPr>
                  <w:r>
                    <w:rPr>
                      <w:kern w:val="0"/>
                      <w:szCs w:val="21"/>
                    </w:rPr>
                    <w:t>200</w:t>
                  </w:r>
                </w:p>
              </w:tc>
              <w:tc>
                <w:tcPr>
                  <w:tcW w:w="718" w:type="pct"/>
                  <w:vMerge w:val="restart"/>
                  <w:tcBorders>
                    <w:tl2br w:val="nil"/>
                    <w:tr2bl w:val="nil"/>
                  </w:tcBorders>
                  <w:noWrap/>
                  <w:vAlign w:val="center"/>
                </w:tcPr>
                <w:p>
                  <w:pPr>
                    <w:widowControl/>
                    <w:adjustRightInd w:val="0"/>
                    <w:snapToGrid w:val="0"/>
                    <w:jc w:val="center"/>
                    <w:rPr>
                      <w:kern w:val="0"/>
                      <w:szCs w:val="21"/>
                    </w:rPr>
                  </w:pPr>
                  <w:r>
                    <w:rPr>
                      <w:kern w:val="0"/>
                      <w:szCs w:val="21"/>
                    </w:rPr>
                    <w:t xml:space="preserve">0.30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ign w:val="center"/>
                </w:tcPr>
                <w:p>
                  <w:pPr>
                    <w:adjustRightInd w:val="0"/>
                    <w:snapToGrid w:val="0"/>
                    <w:jc w:val="center"/>
                    <w:rPr>
                      <w:kern w:val="0"/>
                      <w:szCs w:val="21"/>
                    </w:rPr>
                  </w:pPr>
                </w:p>
              </w:tc>
              <w:tc>
                <w:tcPr>
                  <w:tcW w:w="989" w:type="pct"/>
                  <w:vMerge w:val="continue"/>
                  <w:tcBorders>
                    <w:tl2br w:val="nil"/>
                    <w:tr2bl w:val="nil"/>
                  </w:tcBorders>
                  <w:noWrap/>
                  <w:vAlign w:val="center"/>
                </w:tcPr>
                <w:p>
                  <w:pPr>
                    <w:adjustRightInd w:val="0"/>
                    <w:snapToGrid w:val="0"/>
                    <w:jc w:val="center"/>
                    <w:rPr>
                      <w:kern w:val="0"/>
                      <w:szCs w:val="21"/>
                    </w:rPr>
                  </w:pPr>
                </w:p>
              </w:tc>
              <w:tc>
                <w:tcPr>
                  <w:tcW w:w="1035" w:type="pct"/>
                  <w:tcBorders>
                    <w:tl2br w:val="nil"/>
                    <w:tr2bl w:val="nil"/>
                  </w:tcBorders>
                  <w:noWrap/>
                  <w:vAlign w:val="center"/>
                </w:tcPr>
                <w:p>
                  <w:pPr>
                    <w:widowControl/>
                    <w:adjustRightInd w:val="0"/>
                    <w:snapToGrid w:val="0"/>
                    <w:jc w:val="center"/>
                    <w:rPr>
                      <w:kern w:val="0"/>
                      <w:szCs w:val="21"/>
                    </w:rPr>
                  </w:pPr>
                  <w:r>
                    <w:rPr>
                      <w:kern w:val="0"/>
                      <w:szCs w:val="21"/>
                    </w:rPr>
                    <w:t>木材加工厂</w:t>
                  </w:r>
                </w:p>
              </w:tc>
              <w:tc>
                <w:tcPr>
                  <w:tcW w:w="687" w:type="pct"/>
                  <w:vMerge w:val="continue"/>
                  <w:tcBorders>
                    <w:tl2br w:val="nil"/>
                    <w:tr2bl w:val="nil"/>
                  </w:tcBorders>
                  <w:noWrap/>
                  <w:vAlign w:val="center"/>
                </w:tcPr>
                <w:p>
                  <w:pPr>
                    <w:adjustRightInd w:val="0"/>
                    <w:snapToGrid w:val="0"/>
                    <w:jc w:val="center"/>
                    <w:rPr>
                      <w:kern w:val="0"/>
                      <w:szCs w:val="21"/>
                    </w:rPr>
                  </w:pPr>
                </w:p>
              </w:tc>
              <w:tc>
                <w:tcPr>
                  <w:tcW w:w="833" w:type="pct"/>
                  <w:vMerge w:val="continue"/>
                  <w:tcBorders>
                    <w:tl2br w:val="nil"/>
                    <w:tr2bl w:val="nil"/>
                  </w:tcBorders>
                  <w:noWrap/>
                  <w:vAlign w:val="center"/>
                </w:tcPr>
                <w:p>
                  <w:pPr>
                    <w:adjustRightInd w:val="0"/>
                    <w:snapToGrid w:val="0"/>
                    <w:jc w:val="center"/>
                    <w:rPr>
                      <w:kern w:val="0"/>
                      <w:szCs w:val="21"/>
                    </w:rPr>
                  </w:pPr>
                </w:p>
              </w:tc>
              <w:tc>
                <w:tcPr>
                  <w:tcW w:w="718" w:type="pct"/>
                  <w:vMerge w:val="continue"/>
                  <w:tcBorders>
                    <w:tl2br w:val="nil"/>
                    <w:tr2bl w:val="nil"/>
                  </w:tcBorders>
                  <w:noWrap/>
                  <w:vAlign w:val="center"/>
                </w:tcPr>
                <w:p>
                  <w:pPr>
                    <w:adjustRightInd w:val="0"/>
                    <w:snapToGrid w:val="0"/>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ign w:val="center"/>
                </w:tcPr>
                <w:p>
                  <w:pPr>
                    <w:adjustRightInd w:val="0"/>
                    <w:snapToGrid w:val="0"/>
                    <w:jc w:val="center"/>
                    <w:rPr>
                      <w:kern w:val="0"/>
                      <w:szCs w:val="21"/>
                    </w:rPr>
                  </w:pPr>
                </w:p>
              </w:tc>
              <w:tc>
                <w:tcPr>
                  <w:tcW w:w="989" w:type="pct"/>
                  <w:vMerge w:val="restart"/>
                  <w:tcBorders>
                    <w:tl2br w:val="nil"/>
                    <w:tr2bl w:val="nil"/>
                  </w:tcBorders>
                  <w:noWrap/>
                  <w:vAlign w:val="center"/>
                </w:tcPr>
                <w:p>
                  <w:pPr>
                    <w:widowControl/>
                    <w:adjustRightInd w:val="0"/>
                    <w:snapToGrid w:val="0"/>
                    <w:jc w:val="center"/>
                    <w:rPr>
                      <w:kern w:val="0"/>
                      <w:szCs w:val="21"/>
                    </w:rPr>
                  </w:pPr>
                  <w:r>
                    <w:rPr>
                      <w:kern w:val="0"/>
                      <w:szCs w:val="21"/>
                    </w:rPr>
                    <w:t>机械停放场</w:t>
                  </w:r>
                </w:p>
              </w:tc>
              <w:tc>
                <w:tcPr>
                  <w:tcW w:w="1035" w:type="pct"/>
                  <w:tcBorders>
                    <w:tl2br w:val="nil"/>
                    <w:tr2bl w:val="nil"/>
                  </w:tcBorders>
                  <w:noWrap/>
                  <w:vAlign w:val="center"/>
                </w:tcPr>
                <w:p>
                  <w:pPr>
                    <w:widowControl/>
                    <w:adjustRightInd w:val="0"/>
                    <w:snapToGrid w:val="0"/>
                    <w:jc w:val="center"/>
                    <w:rPr>
                      <w:kern w:val="0"/>
                      <w:szCs w:val="21"/>
                    </w:rPr>
                  </w:pPr>
                  <w:r>
                    <w:rPr>
                      <w:kern w:val="0"/>
                      <w:szCs w:val="21"/>
                    </w:rPr>
                    <w:t>汽车停放</w:t>
                  </w:r>
                </w:p>
              </w:tc>
              <w:tc>
                <w:tcPr>
                  <w:tcW w:w="687" w:type="pct"/>
                  <w:vMerge w:val="restart"/>
                  <w:tcBorders>
                    <w:tl2br w:val="nil"/>
                    <w:tr2bl w:val="nil"/>
                  </w:tcBorders>
                  <w:noWrap/>
                  <w:vAlign w:val="center"/>
                </w:tcPr>
                <w:p>
                  <w:pPr>
                    <w:widowControl/>
                    <w:adjustRightInd w:val="0"/>
                    <w:snapToGrid w:val="0"/>
                    <w:jc w:val="center"/>
                    <w:rPr>
                      <w:kern w:val="0"/>
                      <w:szCs w:val="21"/>
                    </w:rPr>
                  </w:pPr>
                  <w:r>
                    <w:rPr>
                      <w:kern w:val="0"/>
                      <w:szCs w:val="21"/>
                    </w:rPr>
                    <w:t>500</w:t>
                  </w:r>
                </w:p>
              </w:tc>
              <w:tc>
                <w:tcPr>
                  <w:tcW w:w="833" w:type="pct"/>
                  <w:vMerge w:val="restart"/>
                  <w:tcBorders>
                    <w:tl2br w:val="nil"/>
                    <w:tr2bl w:val="nil"/>
                  </w:tcBorders>
                  <w:noWrap/>
                  <w:vAlign w:val="center"/>
                </w:tcPr>
                <w:p>
                  <w:pPr>
                    <w:widowControl/>
                    <w:adjustRightInd w:val="0"/>
                    <w:snapToGrid w:val="0"/>
                    <w:jc w:val="center"/>
                    <w:rPr>
                      <w:kern w:val="0"/>
                      <w:szCs w:val="21"/>
                    </w:rPr>
                  </w:pPr>
                  <w:r>
                    <w:rPr>
                      <w:kern w:val="0"/>
                      <w:szCs w:val="21"/>
                    </w:rPr>
                    <w:t>800</w:t>
                  </w:r>
                </w:p>
              </w:tc>
              <w:tc>
                <w:tcPr>
                  <w:tcW w:w="718" w:type="pct"/>
                  <w:vMerge w:val="restart"/>
                  <w:tcBorders>
                    <w:tl2br w:val="nil"/>
                    <w:tr2bl w:val="nil"/>
                  </w:tcBorders>
                  <w:noWrap/>
                  <w:vAlign w:val="center"/>
                </w:tcPr>
                <w:p>
                  <w:pPr>
                    <w:widowControl/>
                    <w:adjustRightInd w:val="0"/>
                    <w:snapToGrid w:val="0"/>
                    <w:jc w:val="center"/>
                    <w:rPr>
                      <w:kern w:val="0"/>
                      <w:szCs w:val="21"/>
                    </w:rPr>
                  </w:pPr>
                  <w:r>
                    <w:rPr>
                      <w:kern w:val="0"/>
                      <w:szCs w:val="21"/>
                    </w:rPr>
                    <w:t xml:space="preserve">1.20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ign w:val="center"/>
                </w:tcPr>
                <w:p>
                  <w:pPr>
                    <w:adjustRightInd w:val="0"/>
                    <w:snapToGrid w:val="0"/>
                    <w:jc w:val="center"/>
                    <w:rPr>
                      <w:kern w:val="0"/>
                      <w:szCs w:val="21"/>
                    </w:rPr>
                  </w:pPr>
                </w:p>
              </w:tc>
              <w:tc>
                <w:tcPr>
                  <w:tcW w:w="989" w:type="pct"/>
                  <w:vMerge w:val="continue"/>
                  <w:tcBorders>
                    <w:tl2br w:val="nil"/>
                    <w:tr2bl w:val="nil"/>
                  </w:tcBorders>
                  <w:noWrap/>
                  <w:vAlign w:val="center"/>
                </w:tcPr>
                <w:p>
                  <w:pPr>
                    <w:adjustRightInd w:val="0"/>
                    <w:snapToGrid w:val="0"/>
                    <w:jc w:val="center"/>
                    <w:rPr>
                      <w:kern w:val="0"/>
                      <w:szCs w:val="21"/>
                    </w:rPr>
                  </w:pPr>
                </w:p>
              </w:tc>
              <w:tc>
                <w:tcPr>
                  <w:tcW w:w="1035" w:type="pct"/>
                  <w:tcBorders>
                    <w:tl2br w:val="nil"/>
                    <w:tr2bl w:val="nil"/>
                  </w:tcBorders>
                  <w:noWrap/>
                  <w:vAlign w:val="center"/>
                </w:tcPr>
                <w:p>
                  <w:pPr>
                    <w:widowControl/>
                    <w:adjustRightInd w:val="0"/>
                    <w:snapToGrid w:val="0"/>
                    <w:jc w:val="center"/>
                    <w:rPr>
                      <w:kern w:val="0"/>
                      <w:szCs w:val="21"/>
                    </w:rPr>
                  </w:pPr>
                  <w:r>
                    <w:rPr>
                      <w:kern w:val="0"/>
                      <w:szCs w:val="21"/>
                    </w:rPr>
                    <w:t>机械维修站</w:t>
                  </w:r>
                </w:p>
              </w:tc>
              <w:tc>
                <w:tcPr>
                  <w:tcW w:w="687" w:type="pct"/>
                  <w:vMerge w:val="continue"/>
                  <w:tcBorders>
                    <w:tl2br w:val="nil"/>
                    <w:tr2bl w:val="nil"/>
                  </w:tcBorders>
                  <w:noWrap/>
                  <w:vAlign w:val="center"/>
                </w:tcPr>
                <w:p>
                  <w:pPr>
                    <w:adjustRightInd w:val="0"/>
                    <w:snapToGrid w:val="0"/>
                    <w:jc w:val="center"/>
                    <w:rPr>
                      <w:kern w:val="0"/>
                      <w:szCs w:val="21"/>
                    </w:rPr>
                  </w:pPr>
                </w:p>
              </w:tc>
              <w:tc>
                <w:tcPr>
                  <w:tcW w:w="833" w:type="pct"/>
                  <w:vMerge w:val="continue"/>
                  <w:tcBorders>
                    <w:tl2br w:val="nil"/>
                    <w:tr2bl w:val="nil"/>
                  </w:tcBorders>
                  <w:noWrap/>
                  <w:vAlign w:val="center"/>
                </w:tcPr>
                <w:p>
                  <w:pPr>
                    <w:adjustRightInd w:val="0"/>
                    <w:snapToGrid w:val="0"/>
                    <w:jc w:val="center"/>
                    <w:rPr>
                      <w:kern w:val="0"/>
                      <w:szCs w:val="21"/>
                    </w:rPr>
                  </w:pPr>
                </w:p>
              </w:tc>
              <w:tc>
                <w:tcPr>
                  <w:tcW w:w="718" w:type="pct"/>
                  <w:vMerge w:val="continue"/>
                  <w:tcBorders>
                    <w:tl2br w:val="nil"/>
                    <w:tr2bl w:val="nil"/>
                  </w:tcBorders>
                  <w:noWrap/>
                  <w:vAlign w:val="center"/>
                </w:tcPr>
                <w:p>
                  <w:pPr>
                    <w:adjustRightInd w:val="0"/>
                    <w:snapToGrid w:val="0"/>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ign w:val="center"/>
                </w:tcPr>
                <w:p>
                  <w:pPr>
                    <w:adjustRightInd w:val="0"/>
                    <w:snapToGrid w:val="0"/>
                    <w:jc w:val="center"/>
                    <w:rPr>
                      <w:kern w:val="0"/>
                      <w:szCs w:val="21"/>
                    </w:rPr>
                  </w:pPr>
                </w:p>
              </w:tc>
              <w:tc>
                <w:tcPr>
                  <w:tcW w:w="989" w:type="pct"/>
                  <w:tcBorders>
                    <w:tl2br w:val="nil"/>
                    <w:tr2bl w:val="nil"/>
                  </w:tcBorders>
                  <w:noWrap/>
                  <w:vAlign w:val="center"/>
                </w:tcPr>
                <w:p>
                  <w:pPr>
                    <w:widowControl/>
                    <w:adjustRightInd w:val="0"/>
                    <w:snapToGrid w:val="0"/>
                    <w:jc w:val="center"/>
                    <w:rPr>
                      <w:kern w:val="0"/>
                      <w:szCs w:val="21"/>
                    </w:rPr>
                  </w:pPr>
                  <w:r>
                    <w:rPr>
                      <w:kern w:val="0"/>
                      <w:szCs w:val="21"/>
                    </w:rPr>
                    <w:t>仓库</w:t>
                  </w:r>
                </w:p>
              </w:tc>
              <w:tc>
                <w:tcPr>
                  <w:tcW w:w="1035" w:type="pct"/>
                  <w:tcBorders>
                    <w:tl2br w:val="nil"/>
                    <w:tr2bl w:val="nil"/>
                  </w:tcBorders>
                  <w:noWrap/>
                  <w:vAlign w:val="center"/>
                </w:tcPr>
                <w:p>
                  <w:pPr>
                    <w:widowControl/>
                    <w:adjustRightInd w:val="0"/>
                    <w:snapToGrid w:val="0"/>
                    <w:jc w:val="center"/>
                    <w:rPr>
                      <w:kern w:val="0"/>
                      <w:szCs w:val="21"/>
                    </w:rPr>
                  </w:pPr>
                  <w:r>
                    <w:rPr>
                      <w:kern w:val="0"/>
                      <w:szCs w:val="21"/>
                    </w:rPr>
                    <w:t>物资仓库</w:t>
                  </w:r>
                </w:p>
              </w:tc>
              <w:tc>
                <w:tcPr>
                  <w:tcW w:w="687" w:type="pct"/>
                  <w:tcBorders>
                    <w:tl2br w:val="nil"/>
                    <w:tr2bl w:val="nil"/>
                  </w:tcBorders>
                  <w:noWrap/>
                  <w:vAlign w:val="center"/>
                </w:tcPr>
                <w:p>
                  <w:pPr>
                    <w:widowControl/>
                    <w:adjustRightInd w:val="0"/>
                    <w:snapToGrid w:val="0"/>
                    <w:jc w:val="center"/>
                    <w:rPr>
                      <w:kern w:val="0"/>
                      <w:szCs w:val="21"/>
                    </w:rPr>
                  </w:pPr>
                  <w:r>
                    <w:rPr>
                      <w:kern w:val="0"/>
                      <w:szCs w:val="21"/>
                    </w:rPr>
                    <w:t>150</w:t>
                  </w:r>
                </w:p>
              </w:tc>
              <w:tc>
                <w:tcPr>
                  <w:tcW w:w="833" w:type="pct"/>
                  <w:tcBorders>
                    <w:tl2br w:val="nil"/>
                    <w:tr2bl w:val="nil"/>
                  </w:tcBorders>
                  <w:noWrap/>
                  <w:vAlign w:val="center"/>
                </w:tcPr>
                <w:p>
                  <w:pPr>
                    <w:widowControl/>
                    <w:adjustRightInd w:val="0"/>
                    <w:snapToGrid w:val="0"/>
                    <w:jc w:val="center"/>
                    <w:rPr>
                      <w:kern w:val="0"/>
                      <w:szCs w:val="21"/>
                    </w:rPr>
                  </w:pPr>
                  <w:r>
                    <w:rPr>
                      <w:kern w:val="0"/>
                      <w:szCs w:val="21"/>
                    </w:rPr>
                    <w:t>200</w:t>
                  </w:r>
                </w:p>
              </w:tc>
              <w:tc>
                <w:tcPr>
                  <w:tcW w:w="718" w:type="pct"/>
                  <w:tcBorders>
                    <w:tl2br w:val="nil"/>
                    <w:tr2bl w:val="nil"/>
                  </w:tcBorders>
                  <w:noWrap/>
                  <w:vAlign w:val="center"/>
                </w:tcPr>
                <w:p>
                  <w:pPr>
                    <w:widowControl/>
                    <w:adjustRightInd w:val="0"/>
                    <w:snapToGrid w:val="0"/>
                    <w:jc w:val="center"/>
                    <w:rPr>
                      <w:kern w:val="0"/>
                      <w:szCs w:val="21"/>
                    </w:rPr>
                  </w:pPr>
                  <w:r>
                    <w:rPr>
                      <w:kern w:val="0"/>
                      <w:szCs w:val="21"/>
                    </w:rPr>
                    <w:t xml:space="preserve">0.30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ign w:val="center"/>
                </w:tcPr>
                <w:p>
                  <w:pPr>
                    <w:adjustRightInd w:val="0"/>
                    <w:snapToGrid w:val="0"/>
                    <w:jc w:val="center"/>
                    <w:rPr>
                      <w:kern w:val="0"/>
                      <w:szCs w:val="21"/>
                    </w:rPr>
                  </w:pPr>
                </w:p>
              </w:tc>
              <w:tc>
                <w:tcPr>
                  <w:tcW w:w="2025" w:type="pct"/>
                  <w:gridSpan w:val="2"/>
                  <w:vMerge w:val="restart"/>
                  <w:tcBorders>
                    <w:tl2br w:val="nil"/>
                    <w:tr2bl w:val="nil"/>
                  </w:tcBorders>
                  <w:noWrap/>
                  <w:vAlign w:val="center"/>
                </w:tcPr>
                <w:p>
                  <w:pPr>
                    <w:widowControl/>
                    <w:adjustRightInd w:val="0"/>
                    <w:snapToGrid w:val="0"/>
                    <w:jc w:val="center"/>
                    <w:rPr>
                      <w:kern w:val="0"/>
                      <w:szCs w:val="21"/>
                    </w:rPr>
                  </w:pPr>
                  <w:r>
                    <w:rPr>
                      <w:kern w:val="0"/>
                      <w:szCs w:val="21"/>
                    </w:rPr>
                    <w:t>生活办公设施</w:t>
                  </w:r>
                </w:p>
              </w:tc>
              <w:tc>
                <w:tcPr>
                  <w:tcW w:w="687" w:type="pct"/>
                  <w:vMerge w:val="restart"/>
                  <w:tcBorders>
                    <w:tl2br w:val="nil"/>
                    <w:tr2bl w:val="nil"/>
                  </w:tcBorders>
                  <w:noWrap/>
                  <w:vAlign w:val="center"/>
                </w:tcPr>
                <w:p>
                  <w:pPr>
                    <w:widowControl/>
                    <w:adjustRightInd w:val="0"/>
                    <w:snapToGrid w:val="0"/>
                    <w:jc w:val="center"/>
                    <w:rPr>
                      <w:kern w:val="0"/>
                      <w:szCs w:val="21"/>
                    </w:rPr>
                  </w:pPr>
                  <w:r>
                    <w:rPr>
                      <w:kern w:val="0"/>
                      <w:szCs w:val="21"/>
                    </w:rPr>
                    <w:t>1800</w:t>
                  </w:r>
                </w:p>
              </w:tc>
              <w:tc>
                <w:tcPr>
                  <w:tcW w:w="833" w:type="pct"/>
                  <w:vMerge w:val="restart"/>
                  <w:tcBorders>
                    <w:tl2br w:val="nil"/>
                    <w:tr2bl w:val="nil"/>
                  </w:tcBorders>
                  <w:noWrap/>
                  <w:vAlign w:val="center"/>
                </w:tcPr>
                <w:p>
                  <w:pPr>
                    <w:widowControl/>
                    <w:adjustRightInd w:val="0"/>
                    <w:snapToGrid w:val="0"/>
                    <w:jc w:val="center"/>
                    <w:rPr>
                      <w:kern w:val="0"/>
                      <w:szCs w:val="21"/>
                    </w:rPr>
                  </w:pPr>
                  <w:r>
                    <w:rPr>
                      <w:kern w:val="0"/>
                      <w:szCs w:val="21"/>
                    </w:rPr>
                    <w:t>2000</w:t>
                  </w:r>
                </w:p>
              </w:tc>
              <w:tc>
                <w:tcPr>
                  <w:tcW w:w="718" w:type="pct"/>
                  <w:vMerge w:val="restart"/>
                  <w:tcBorders>
                    <w:tl2br w:val="nil"/>
                    <w:tr2bl w:val="nil"/>
                  </w:tcBorders>
                  <w:noWrap/>
                  <w:vAlign w:val="center"/>
                </w:tcPr>
                <w:p>
                  <w:pPr>
                    <w:widowControl/>
                    <w:adjustRightInd w:val="0"/>
                    <w:snapToGrid w:val="0"/>
                    <w:jc w:val="center"/>
                    <w:rPr>
                      <w:kern w:val="0"/>
                      <w:szCs w:val="21"/>
                    </w:rPr>
                  </w:pPr>
                  <w:r>
                    <w:rPr>
                      <w:kern w:val="0"/>
                      <w:szCs w:val="21"/>
                    </w:rPr>
                    <w:t xml:space="preserve">3.00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35" w:type="pct"/>
                  <w:vMerge w:val="continue"/>
                  <w:tcBorders>
                    <w:tl2br w:val="nil"/>
                    <w:tr2bl w:val="nil"/>
                  </w:tcBorders>
                  <w:noWrap/>
                  <w:vAlign w:val="center"/>
                </w:tcPr>
                <w:p>
                  <w:pPr>
                    <w:adjustRightInd w:val="0"/>
                    <w:snapToGrid w:val="0"/>
                    <w:jc w:val="center"/>
                    <w:rPr>
                      <w:kern w:val="0"/>
                      <w:szCs w:val="21"/>
                    </w:rPr>
                  </w:pPr>
                </w:p>
              </w:tc>
              <w:tc>
                <w:tcPr>
                  <w:tcW w:w="2025" w:type="pct"/>
                  <w:gridSpan w:val="2"/>
                  <w:vMerge w:val="continue"/>
                  <w:tcBorders>
                    <w:tl2br w:val="nil"/>
                    <w:tr2bl w:val="nil"/>
                  </w:tcBorders>
                  <w:noWrap/>
                  <w:vAlign w:val="center"/>
                </w:tcPr>
                <w:p>
                  <w:pPr>
                    <w:adjustRightInd w:val="0"/>
                    <w:snapToGrid w:val="0"/>
                    <w:jc w:val="center"/>
                    <w:rPr>
                      <w:kern w:val="0"/>
                      <w:szCs w:val="21"/>
                    </w:rPr>
                  </w:pPr>
                </w:p>
              </w:tc>
              <w:tc>
                <w:tcPr>
                  <w:tcW w:w="687" w:type="pct"/>
                  <w:vMerge w:val="continue"/>
                  <w:tcBorders>
                    <w:tl2br w:val="nil"/>
                    <w:tr2bl w:val="nil"/>
                  </w:tcBorders>
                  <w:noWrap/>
                  <w:vAlign w:val="center"/>
                </w:tcPr>
                <w:p>
                  <w:pPr>
                    <w:adjustRightInd w:val="0"/>
                    <w:snapToGrid w:val="0"/>
                    <w:jc w:val="center"/>
                    <w:rPr>
                      <w:kern w:val="0"/>
                      <w:szCs w:val="21"/>
                    </w:rPr>
                  </w:pPr>
                </w:p>
              </w:tc>
              <w:tc>
                <w:tcPr>
                  <w:tcW w:w="833" w:type="pct"/>
                  <w:vMerge w:val="continue"/>
                  <w:tcBorders>
                    <w:tl2br w:val="nil"/>
                    <w:tr2bl w:val="nil"/>
                  </w:tcBorders>
                  <w:noWrap/>
                  <w:vAlign w:val="center"/>
                </w:tcPr>
                <w:p>
                  <w:pPr>
                    <w:adjustRightInd w:val="0"/>
                    <w:snapToGrid w:val="0"/>
                    <w:jc w:val="center"/>
                    <w:rPr>
                      <w:kern w:val="0"/>
                      <w:szCs w:val="21"/>
                    </w:rPr>
                  </w:pPr>
                </w:p>
              </w:tc>
              <w:tc>
                <w:tcPr>
                  <w:tcW w:w="718" w:type="pct"/>
                  <w:vMerge w:val="continue"/>
                  <w:tcBorders>
                    <w:tl2br w:val="nil"/>
                    <w:tr2bl w:val="nil"/>
                  </w:tcBorders>
                  <w:noWrap/>
                  <w:vAlign w:val="center"/>
                </w:tcPr>
                <w:p>
                  <w:pPr>
                    <w:adjustRightInd w:val="0"/>
                    <w:snapToGrid w:val="0"/>
                    <w:jc w:val="center"/>
                    <w:rPr>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760" w:type="pct"/>
                  <w:gridSpan w:val="3"/>
                  <w:tcBorders>
                    <w:tl2br w:val="nil"/>
                    <w:tr2bl w:val="nil"/>
                  </w:tcBorders>
                  <w:noWrap/>
                  <w:vAlign w:val="center"/>
                </w:tcPr>
                <w:p>
                  <w:pPr>
                    <w:widowControl/>
                    <w:adjustRightInd w:val="0"/>
                    <w:snapToGrid w:val="0"/>
                    <w:jc w:val="center"/>
                    <w:rPr>
                      <w:kern w:val="0"/>
                      <w:szCs w:val="21"/>
                    </w:rPr>
                  </w:pPr>
                  <w:r>
                    <w:rPr>
                      <w:kern w:val="0"/>
                      <w:szCs w:val="21"/>
                    </w:rPr>
                    <w:t>小计</w:t>
                  </w:r>
                </w:p>
              </w:tc>
              <w:tc>
                <w:tcPr>
                  <w:tcW w:w="687" w:type="pct"/>
                  <w:tcBorders>
                    <w:tl2br w:val="nil"/>
                    <w:tr2bl w:val="nil"/>
                  </w:tcBorders>
                  <w:noWrap/>
                  <w:vAlign w:val="center"/>
                </w:tcPr>
                <w:p>
                  <w:pPr>
                    <w:widowControl/>
                    <w:adjustRightInd w:val="0"/>
                    <w:snapToGrid w:val="0"/>
                    <w:jc w:val="center"/>
                    <w:rPr>
                      <w:kern w:val="0"/>
                      <w:szCs w:val="21"/>
                    </w:rPr>
                  </w:pPr>
                  <w:r>
                    <w:rPr>
                      <w:kern w:val="0"/>
                      <w:szCs w:val="21"/>
                    </w:rPr>
                    <w:t>2600</w:t>
                  </w:r>
                </w:p>
              </w:tc>
              <w:tc>
                <w:tcPr>
                  <w:tcW w:w="833" w:type="pct"/>
                  <w:tcBorders>
                    <w:tl2br w:val="nil"/>
                    <w:tr2bl w:val="nil"/>
                  </w:tcBorders>
                  <w:noWrap/>
                  <w:vAlign w:val="center"/>
                </w:tcPr>
                <w:p>
                  <w:pPr>
                    <w:widowControl/>
                    <w:adjustRightInd w:val="0"/>
                    <w:snapToGrid w:val="0"/>
                    <w:jc w:val="center"/>
                    <w:rPr>
                      <w:kern w:val="0"/>
                      <w:szCs w:val="21"/>
                    </w:rPr>
                  </w:pPr>
                  <w:r>
                    <w:rPr>
                      <w:kern w:val="0"/>
                      <w:szCs w:val="21"/>
                    </w:rPr>
                    <w:t>3200</w:t>
                  </w:r>
                </w:p>
              </w:tc>
              <w:tc>
                <w:tcPr>
                  <w:tcW w:w="718" w:type="pct"/>
                  <w:tcBorders>
                    <w:tl2br w:val="nil"/>
                    <w:tr2bl w:val="nil"/>
                  </w:tcBorders>
                  <w:noWrap/>
                  <w:vAlign w:val="center"/>
                </w:tcPr>
                <w:p>
                  <w:pPr>
                    <w:widowControl/>
                    <w:adjustRightInd w:val="0"/>
                    <w:snapToGrid w:val="0"/>
                    <w:jc w:val="center"/>
                    <w:rPr>
                      <w:kern w:val="0"/>
                      <w:szCs w:val="21"/>
                    </w:rPr>
                  </w:pPr>
                  <w:r>
                    <w:rPr>
                      <w:kern w:val="0"/>
                      <w:szCs w:val="21"/>
                    </w:rPr>
                    <w:t xml:space="preserve">4.80 </w:t>
                  </w:r>
                </w:p>
              </w:tc>
            </w:tr>
          </w:tbl>
          <w:p>
            <w:pPr>
              <w:ind w:firstLine="510" w:firstLineChars="200"/>
              <w:rPr>
                <w:sz w:val="24"/>
              </w:rPr>
            </w:pPr>
            <w:r>
              <w:rPr>
                <w:sz w:val="24"/>
              </w:rPr>
              <w:t>（4）水、电</w:t>
            </w:r>
          </w:p>
          <w:p>
            <w:pPr>
              <w:ind w:firstLine="510" w:firstLineChars="200"/>
            </w:pPr>
            <w:r>
              <w:rPr>
                <w:sz w:val="24"/>
              </w:rPr>
              <w:t>施工用电就近从村庄接入，柴油发电机作为备用电源，施工用水来自河道长流水，生活用水来自附近村庄居民用水。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tcBorders>
              <w:tl2br w:val="nil"/>
              <w:tr2bl w:val="nil"/>
            </w:tcBorders>
            <w:noWrap/>
            <w:vAlign w:val="center"/>
          </w:tcPr>
          <w:p>
            <w:pPr>
              <w:adjustRightInd w:val="0"/>
              <w:snapToGrid w:val="0"/>
              <w:jc w:val="center"/>
              <w:rPr>
                <w:kern w:val="0"/>
                <w:sz w:val="24"/>
              </w:rPr>
            </w:pPr>
            <w:r>
              <w:rPr>
                <w:b/>
                <w:bCs/>
                <w:kern w:val="0"/>
                <w:sz w:val="24"/>
              </w:rPr>
              <w:t>施工方案</w:t>
            </w:r>
          </w:p>
        </w:tc>
        <w:tc>
          <w:tcPr>
            <w:tcW w:w="8380" w:type="dxa"/>
            <w:tcBorders>
              <w:tl2br w:val="nil"/>
              <w:tr2bl w:val="nil"/>
            </w:tcBorders>
            <w:noWrap/>
            <w:vAlign w:val="center"/>
          </w:tcPr>
          <w:p>
            <w:pPr>
              <w:widowControl/>
              <w:spacing w:before="240" w:after="60"/>
              <w:rPr>
                <w:rFonts w:eastAsia="黑体"/>
                <w:kern w:val="0"/>
                <w:sz w:val="24"/>
              </w:rPr>
            </w:pPr>
            <w:r>
              <w:rPr>
                <w:rFonts w:eastAsia="黑体"/>
                <w:kern w:val="0"/>
                <w:sz w:val="24"/>
              </w:rPr>
              <w:t>1、施工工艺</w:t>
            </w:r>
          </w:p>
          <w:p>
            <w:pPr>
              <w:ind w:left="450" w:leftChars="200"/>
              <w:rPr>
                <w:sz w:val="24"/>
              </w:rPr>
            </w:pPr>
            <w:bookmarkStart w:id="9" w:name="OLE_LINK2"/>
            <w:r>
              <w:rPr>
                <w:sz w:val="24"/>
              </w:rPr>
              <w:t>（1）</w:t>
            </w:r>
            <w:bookmarkEnd w:id="9"/>
            <w:r>
              <w:rPr>
                <w:sz w:val="24"/>
              </w:rPr>
              <w:t>施工准备</w:t>
            </w:r>
          </w:p>
          <w:p>
            <w:pPr>
              <w:ind w:firstLine="510" w:firstLineChars="200"/>
              <w:rPr>
                <w:sz w:val="24"/>
              </w:rPr>
            </w:pPr>
            <w:r>
              <w:rPr>
                <w:sz w:val="24"/>
              </w:rPr>
              <w:t>施工队伍及机械设备进场：投入本工程的机械设备都是常规设备，重要的水工建筑物必须由具备水利相应施工资质的专业施工队伍施工。</w:t>
            </w:r>
          </w:p>
          <w:p>
            <w:pPr>
              <w:ind w:firstLine="510" w:firstLineChars="200"/>
              <w:rPr>
                <w:sz w:val="24"/>
              </w:rPr>
            </w:pPr>
            <w:r>
              <w:rPr>
                <w:sz w:val="24"/>
              </w:rPr>
              <w:t>施工现场准备：重点做好场地平整，施工场内的便道，生产生活设施，以及供电、供水等设施的修建，确保施工现场“三通一平”和临时设施等满足要求。</w:t>
            </w:r>
          </w:p>
          <w:p>
            <w:pPr>
              <w:ind w:left="450" w:leftChars="200"/>
              <w:rPr>
                <w:sz w:val="24"/>
              </w:rPr>
            </w:pPr>
            <w:r>
              <w:rPr>
                <w:sz w:val="24"/>
              </w:rPr>
              <w:t>（2）主体施工</w:t>
            </w:r>
          </w:p>
          <w:p>
            <w:pPr>
              <w:ind w:firstLine="510" w:firstLineChars="200"/>
              <w:rPr>
                <w:sz w:val="24"/>
              </w:rPr>
            </w:pPr>
            <w:r>
              <w:rPr>
                <w:b/>
                <w:bCs/>
                <w:sz w:val="24"/>
              </w:rPr>
              <w:t>基面清基及弃土堆放</w:t>
            </w:r>
            <w:r>
              <w:rPr>
                <w:sz w:val="24"/>
              </w:rPr>
              <w:t>：</w:t>
            </w:r>
          </w:p>
          <w:p>
            <w:pPr>
              <w:pStyle w:val="6"/>
              <w:spacing w:line="240" w:lineRule="auto"/>
              <w:ind w:firstLine="512"/>
              <w:rPr>
                <w:rFonts w:ascii="Times New Roman" w:hAnsi="Times New Roman"/>
              </w:rPr>
            </w:pPr>
            <w:r>
              <w:rPr>
                <w:rFonts w:ascii="Times New Roman" w:hAnsi="Times New Roman"/>
              </w:rPr>
              <w:t>后坝坡加宽培厚应先进行建基面清基处理，主要包括坝顶现状碎石路面清理、后坝坡植被层清理、坝坡脚块石清理、坝前坡砼预制板及砂砾石垫层清理等，清基以挖掘机、推土机为主，配合人工清理，自卸汽车出渣，清基至新鲜原装土基面，厚度约为0.5m。坝基清基范围应超出堤坡脚线以外0.5m，并将堤基平整压实后，再实施回填。</w:t>
            </w:r>
          </w:p>
          <w:p>
            <w:pPr>
              <w:pStyle w:val="6"/>
              <w:spacing w:line="240" w:lineRule="auto"/>
              <w:ind w:firstLine="512"/>
              <w:rPr>
                <w:rFonts w:ascii="Times New Roman" w:hAnsi="Times New Roman"/>
              </w:rPr>
            </w:pPr>
            <w:r>
              <w:rPr>
                <w:rFonts w:ascii="Times New Roman" w:hAnsi="Times New Roman"/>
              </w:rPr>
              <w:t>库区内合适位置设置临时堆放场，用于堆放后坝坡腐殖土清基土方、坝顶砂砾石及后坝坡脚块石。待坝体加高培厚完成后，坝后坡为植草护坡，清基腐殖土可用于坝后覆土，利于植被生长；部分块石及砂砾石用于坝顶道路和坝后坡脚防护使用。</w:t>
            </w:r>
          </w:p>
          <w:p>
            <w:pPr>
              <w:ind w:firstLine="510" w:firstLineChars="200"/>
              <w:rPr>
                <w:sz w:val="24"/>
              </w:rPr>
            </w:pPr>
            <w:r>
              <w:rPr>
                <w:b/>
                <w:bCs/>
                <w:sz w:val="24"/>
              </w:rPr>
              <w:t>土方开挖</w:t>
            </w:r>
            <w:r>
              <w:rPr>
                <w:sz w:val="24"/>
              </w:rPr>
              <w:t>：</w:t>
            </w:r>
          </w:p>
          <w:p>
            <w:pPr>
              <w:pStyle w:val="6"/>
              <w:spacing w:line="240" w:lineRule="auto"/>
              <w:ind w:firstLine="512"/>
              <w:rPr>
                <w:rFonts w:ascii="Times New Roman" w:hAnsi="Times New Roman"/>
              </w:rPr>
            </w:pPr>
            <w:r>
              <w:rPr>
                <w:rFonts w:ascii="Times New Roman" w:hAnsi="Times New Roman"/>
              </w:rPr>
              <w:t>土方开挖采用1.0~1.5m</w:t>
            </w:r>
            <w:r>
              <w:rPr>
                <w:rFonts w:ascii="Times New Roman" w:hAnsi="Times New Roman"/>
                <w:vertAlign w:val="superscript"/>
              </w:rPr>
              <w:t>3</w:t>
            </w:r>
            <w:r>
              <w:rPr>
                <w:rFonts w:ascii="Times New Roman" w:hAnsi="Times New Roman"/>
              </w:rPr>
              <w:t>挖掘机开挖，15t自卸车拉运。岸坡开挖时按设计的坡度进行，且岸边削成平整斜面，以利排水，不可削成台阶形，更不能削成反坡，也不允许出现突出的折坡点。岸坡和基础易分化崩解的土层，开挖后不能及时回填的，应保留保护层。</w:t>
            </w:r>
          </w:p>
          <w:p>
            <w:pPr>
              <w:pStyle w:val="6"/>
              <w:spacing w:line="240" w:lineRule="auto"/>
              <w:ind w:firstLine="512"/>
              <w:rPr>
                <w:rFonts w:ascii="Times New Roman" w:hAnsi="Times New Roman"/>
              </w:rPr>
            </w:pPr>
            <w:r>
              <w:rPr>
                <w:rFonts w:ascii="Times New Roman" w:hAnsi="Times New Roman"/>
              </w:rPr>
              <w:t>使用机械开挖土方时，实际施工的边坡坡度应适当留有修坡余量，再用人工修整，应满足施工图纸要求的坡度和平整度。在土方开挖边坡上遇有地下水渗流时，应在修整和加固前，采取有效的疏导和保护措施。</w:t>
            </w:r>
          </w:p>
          <w:p>
            <w:pPr>
              <w:ind w:firstLine="510" w:firstLineChars="200"/>
              <w:rPr>
                <w:sz w:val="24"/>
              </w:rPr>
            </w:pPr>
            <w:r>
              <w:rPr>
                <w:b/>
                <w:bCs/>
                <w:sz w:val="24"/>
              </w:rPr>
              <w:t>土方回填</w:t>
            </w:r>
            <w:r>
              <w:rPr>
                <w:sz w:val="24"/>
              </w:rPr>
              <w:t>：</w:t>
            </w:r>
          </w:p>
          <w:p>
            <w:pPr>
              <w:ind w:firstLine="510" w:firstLineChars="200"/>
              <w:rPr>
                <w:sz w:val="24"/>
              </w:rPr>
            </w:pPr>
            <w:r>
              <w:rPr>
                <w:sz w:val="24"/>
              </w:rPr>
              <w:t>拦洪库坝体根据不同地形地貌、现状建筑物和坝段，主要采用加高培厚方式。</w:t>
            </w:r>
          </w:p>
          <w:p>
            <w:pPr>
              <w:ind w:firstLine="510" w:firstLineChars="200"/>
              <w:rPr>
                <w:sz w:val="24"/>
              </w:rPr>
            </w:pPr>
            <w:r>
              <w:rPr>
                <w:sz w:val="24"/>
              </w:rPr>
              <w:t>坝体填筑利用库区料场取筑坝土料，采用反铲挖掘机开采，自卸汽车运输上坝。自卸汽车配推土机铺料，采用凸块振动碾采用进退错距法压实。填筑时，须分层填筑碾压，每层铺设厚度不大于0.3m。为了保证填筑质量，坝体填筑不安排冬季施工。</w:t>
            </w:r>
          </w:p>
          <w:p>
            <w:pPr>
              <w:ind w:firstLine="510" w:firstLineChars="200"/>
              <w:rPr>
                <w:sz w:val="24"/>
              </w:rPr>
            </w:pPr>
            <w:bookmarkStart w:id="10" w:name="_Toc100393168"/>
            <w:bookmarkStart w:id="11" w:name="_Toc91528154"/>
            <w:r>
              <w:rPr>
                <w:b/>
                <w:bCs/>
                <w:sz w:val="24"/>
              </w:rPr>
              <w:t>下游坝坡工程施工</w:t>
            </w:r>
            <w:r>
              <w:rPr>
                <w:sz w:val="24"/>
              </w:rPr>
              <w:t>：</w:t>
            </w:r>
          </w:p>
          <w:p>
            <w:pPr>
              <w:ind w:firstLine="510" w:firstLineChars="200"/>
              <w:rPr>
                <w:sz w:val="24"/>
              </w:rPr>
            </w:pPr>
            <w:r>
              <w:rPr>
                <w:sz w:val="24"/>
              </w:rPr>
              <w:t>下游坝坡采用混凝土网格植草坪护坡，施工前人工对局部被破坏的砂壳坝面进行修整，合格后即可开始草皮护坡施工。施工时，将混凝土预制网格做好，顺坡将腐殖土卸下，然后撒上草籽，搅拌均匀，及时洒水。</w:t>
            </w:r>
          </w:p>
          <w:bookmarkEnd w:id="10"/>
          <w:bookmarkEnd w:id="11"/>
          <w:p>
            <w:pPr>
              <w:ind w:firstLine="510" w:firstLineChars="200"/>
              <w:rPr>
                <w:sz w:val="24"/>
              </w:rPr>
            </w:pPr>
            <w:r>
              <w:rPr>
                <w:b/>
                <w:bCs/>
                <w:sz w:val="24"/>
              </w:rPr>
              <w:t>坡面挖方施工</w:t>
            </w:r>
            <w:r>
              <w:rPr>
                <w:sz w:val="24"/>
              </w:rPr>
              <w:t>：</w:t>
            </w:r>
          </w:p>
          <w:p>
            <w:pPr>
              <w:ind w:firstLine="494" w:firstLineChars="200"/>
              <w:rPr>
                <w:spacing w:val="-4"/>
                <w:sz w:val="24"/>
              </w:rPr>
            </w:pPr>
            <w:r>
              <w:rPr>
                <w:spacing w:val="-4"/>
                <w:sz w:val="24"/>
              </w:rPr>
              <w:t>施工前先清刷坡面浮土，填补坑凹，使坡面大体平整。对相邻级边坡间的平台要做整平夯实处理，同时要保证一定的单向纵坡，以保证平台水沟的稳定性及排水顺畅性。根据放样后的横、竖梁位置，采用小型机具配合人工挖方。对不稳定的挖方槽底及坡面要做换填夯实处理。同一级边坡挖方顺序是：由上至下，一步到位，槽底密实平顺，禁止超挖。</w:t>
            </w:r>
          </w:p>
          <w:p>
            <w:pPr>
              <w:ind w:firstLine="510" w:firstLineChars="200"/>
              <w:rPr>
                <w:sz w:val="24"/>
              </w:rPr>
            </w:pPr>
            <w:r>
              <w:rPr>
                <w:b/>
                <w:bCs/>
                <w:sz w:val="24"/>
              </w:rPr>
              <w:t>混凝土施工</w:t>
            </w:r>
            <w:r>
              <w:rPr>
                <w:sz w:val="24"/>
              </w:rPr>
              <w:t>：</w:t>
            </w:r>
          </w:p>
          <w:p>
            <w:pPr>
              <w:ind w:firstLine="510" w:firstLineChars="200"/>
              <w:rPr>
                <w:sz w:val="24"/>
              </w:rPr>
            </w:pPr>
            <w:r>
              <w:rPr>
                <w:sz w:val="24"/>
              </w:rPr>
              <w:t>本项目采用商品混凝土，不设拌和站。混凝土格条浇筑顺序为：由底级到上级，先脚墙后竖梁再平台。</w:t>
            </w:r>
          </w:p>
          <w:p>
            <w:pPr>
              <w:ind w:firstLine="510" w:firstLineChars="200"/>
              <w:rPr>
                <w:sz w:val="24"/>
              </w:rPr>
            </w:pPr>
            <w:r>
              <w:rPr>
                <w:sz w:val="24"/>
              </w:rPr>
              <w:t>混凝土的浇筑运输采用车载+滑槽形式。为保证混凝土的搅拌质量，在混凝土搅拌过程中严格控制混凝土的和易性及坍落度。混凝土浇筑时，严格控制振捣质量，以混凝土停止下沉，不再冒出气泡，表面呈现平坦、泛浆现象为振捣标准。浇筑后的混凝土，根据实际天气情况，做好必要的洒水养护工作。</w:t>
            </w:r>
          </w:p>
          <w:p>
            <w:pPr>
              <w:ind w:firstLine="510" w:firstLineChars="200"/>
              <w:rPr>
                <w:sz w:val="24"/>
              </w:rPr>
            </w:pPr>
            <w:r>
              <w:rPr>
                <w:b/>
                <w:bCs/>
                <w:sz w:val="24"/>
              </w:rPr>
              <w:t>溢洪道施工</w:t>
            </w:r>
            <w:r>
              <w:rPr>
                <w:sz w:val="24"/>
              </w:rPr>
              <w:t>：</w:t>
            </w:r>
          </w:p>
          <w:p>
            <w:pPr>
              <w:ind w:firstLine="510" w:firstLineChars="200"/>
              <w:rPr>
                <w:sz w:val="24"/>
              </w:rPr>
            </w:pPr>
            <w:r>
              <w:rPr>
                <w:sz w:val="24"/>
              </w:rPr>
              <w:t>主要对现状溢洪道下游一级消力池消力坎拆除后重新增设消力坎。</w:t>
            </w:r>
          </w:p>
          <w:p>
            <w:pPr>
              <w:ind w:firstLine="510" w:firstLineChars="200"/>
              <w:rPr>
                <w:sz w:val="24"/>
              </w:rPr>
            </w:pPr>
            <w:r>
              <w:rPr>
                <w:sz w:val="24"/>
              </w:rPr>
              <w:t>消力坎工程选用的水泥必须符合现行国家标准的规定，水泥强度等级应与混凝土设计强度等级相适应，有抗冻要求较高的部位宜使用较高强度等级的水泥。由于拟建场地土地环境类别为Ⅲ类环境，溢洪道基础的土壤对混凝土结构具弱腐蚀性，对钢筋混凝土结构中钢筋具微腐蚀性，对钢结构具微腐蚀性。因此，溢洪道出口陡坡及消力池等均采用抗硫酸盐水泥。</w:t>
            </w:r>
          </w:p>
          <w:p>
            <w:pPr>
              <w:ind w:firstLine="510" w:firstLineChars="200"/>
              <w:rPr>
                <w:sz w:val="24"/>
              </w:rPr>
            </w:pPr>
            <w:r>
              <w:rPr>
                <w:sz w:val="24"/>
              </w:rPr>
              <w:t>浇筑混凝土时，应指派专人负责检查模板和支架，发现变形迹象，应及时加固纠正，发现模板漏浆或仓内积水应进行堵浆和处理。混凝土浇筑避开冬季施工，当混凝土浇筑时室外气温较高时，应对构件洒水养护，防止构件产生裂缝。</w:t>
            </w:r>
          </w:p>
          <w:p>
            <w:pPr>
              <w:ind w:firstLine="510" w:firstLineChars="200"/>
              <w:rPr>
                <w:sz w:val="24"/>
              </w:rPr>
            </w:pPr>
            <w:r>
              <w:rPr>
                <w:sz w:val="24"/>
              </w:rPr>
              <w:t>细骨料应质地坚硬、清洁、级配良好，天然砂的细度模数宜在2.2～3.0范围内。细骨料在开采过程中应定期或按一定开采数量进行碱活性检验，有潜在危害时，应采取相应措施，并经专门试验论证。细骨料的含水率应保持稳定，人工砂饱和面干的含水率不宜超过6％，必要时应采取加速脱水措施。</w:t>
            </w:r>
          </w:p>
          <w:p>
            <w:pPr>
              <w:ind w:firstLine="510" w:firstLineChars="200"/>
              <w:rPr>
                <w:sz w:val="24"/>
              </w:rPr>
            </w:pPr>
            <w:r>
              <w:rPr>
                <w:b/>
                <w:bCs/>
                <w:sz w:val="24"/>
              </w:rPr>
              <w:t>坝顶巡护道路沥青路面施工</w:t>
            </w:r>
            <w:r>
              <w:rPr>
                <w:sz w:val="24"/>
              </w:rPr>
              <w:t>：</w:t>
            </w:r>
          </w:p>
          <w:p>
            <w:pPr>
              <w:ind w:firstLine="510" w:firstLineChars="200"/>
              <w:rPr>
                <w:sz w:val="24"/>
              </w:rPr>
            </w:pPr>
            <w:r>
              <w:rPr>
                <w:sz w:val="24"/>
              </w:rPr>
              <w:t>沥青混合料采用沥青拌和设备由生产厂家集中拌和，运输采用自卸车运输，从拌和设备向自卸车放料时，为减少粗细集料的离析现象，每卸一斗混合料挪动一下汽车位置，运料时，自卸车用篷布覆盖。沥青混合料在运输过程中，如果气温较低或等候时间过长，应采取保温措施，以免温度降低太快，影响沥青混合料的摊铺和压实。</w:t>
            </w:r>
          </w:p>
          <w:p>
            <w:pPr>
              <w:ind w:firstLine="510" w:firstLineChars="200"/>
              <w:rPr>
                <w:sz w:val="24"/>
              </w:rPr>
            </w:pPr>
            <w:r>
              <w:rPr>
                <w:sz w:val="24"/>
              </w:rPr>
              <w:t>摊铺时，沥青混合料必须缓慢、均匀、连续不间断地摊铺，不得随意变换速度或中途停顿。摊铺机螺旋送料器中的混合料的高度保持不低于送料器高度的2/3，并保证在摊铺机全宽度断面上不发生离析。</w:t>
            </w:r>
          </w:p>
          <w:p>
            <w:pPr>
              <w:ind w:firstLine="510" w:firstLineChars="200"/>
              <w:rPr>
                <w:sz w:val="24"/>
              </w:rPr>
            </w:pPr>
            <w:r>
              <w:rPr>
                <w:sz w:val="24"/>
              </w:rPr>
              <w:t>混合料的摊铺应以摊铺机的参考线控制铺筑层标高，上下两层之间的横向接缝应错开50cm以上，在机械不能摊铺及整修的地方，在征得监理工程师同意后可用人工摊铺和整修。气温低于10℃时不得进行沥青混合料摊铺作业。</w:t>
            </w:r>
          </w:p>
          <w:p>
            <w:pPr>
              <w:ind w:firstLine="510" w:firstLineChars="200"/>
              <w:rPr>
                <w:sz w:val="24"/>
              </w:rPr>
            </w:pPr>
            <w:r>
              <w:rPr>
                <w:sz w:val="24"/>
              </w:rPr>
              <w:t>沥青混合料摊铺整平并对不规则的表面修整后，立即对其进行全面均匀的压实。初压应紧跟在摊铺机后碾压，并保持较短的初压区长度，以使表面尽快压实，减少热量散失。初压通常采用钢轮压路机静压1～2遍。碾压时应将压路机的驱动轮面向摊铺机，从外侧向中心碾压，在超高路段则由低向高碾压，在坡道上应将驱动轮从低处向高处碾压。初压后应检查平整度、路拱，有严重缺陷时进行修整乃至返工。</w:t>
            </w:r>
          </w:p>
          <w:p>
            <w:pPr>
              <w:ind w:firstLine="510" w:firstLineChars="200"/>
              <w:rPr>
                <w:sz w:val="24"/>
              </w:rPr>
            </w:pPr>
            <w:r>
              <w:rPr>
                <w:sz w:val="24"/>
              </w:rPr>
              <w:t>复压应紧跟在初压后进行，且不得随意停顿。压路机碾压段的总长度应尽量缩短，通常不超过60～80m。采用不同型号的压路机组合碾压时宜安排每一台压路机做全幅碾压，防止不同部位的压实度不均匀。</w:t>
            </w:r>
          </w:p>
          <w:p>
            <w:pPr>
              <w:ind w:firstLine="510" w:firstLineChars="200"/>
              <w:rPr>
                <w:sz w:val="24"/>
              </w:rPr>
            </w:pPr>
            <w:r>
              <w:rPr>
                <w:sz w:val="24"/>
              </w:rPr>
              <w:t>终压应紧接在复压后进行，如经复压后已无明显轮迹时可免去终压。终压可选用双轮钢筒式压路机或关闭振动的振动压路机碾压不宜少于2遍，至无明显痕迹为止。</w:t>
            </w:r>
          </w:p>
          <w:p>
            <w:pPr>
              <w:ind w:firstLine="510" w:firstLineChars="200"/>
              <w:rPr>
                <w:sz w:val="24"/>
              </w:rPr>
            </w:pPr>
            <w:r>
              <w:rPr>
                <w:sz w:val="24"/>
              </w:rPr>
              <w:t>沥青路面纵向接缝宜用平接缝，接缝的搭接长度与厚度有关，宜为40～80cm。搭接处应清扫干净并洒粘层沥青，接缝应充分压实并搭接平整。纵向接缝不得重合，热接缝错开量不少于15cm，冷接缝错开量不少于30cm。沥横向接缝施工必须做到紧密粘结、充分压实、连接平顺，不得产生明显的接缝离析。接缝处应清扫干净，压实后在缝口涂粘层沥青，撒石粉封口，以防渗水。</w:t>
            </w:r>
          </w:p>
          <w:p>
            <w:pPr>
              <w:widowControl/>
              <w:spacing w:before="240" w:after="60"/>
              <w:rPr>
                <w:rFonts w:eastAsia="黑体"/>
                <w:kern w:val="0"/>
                <w:sz w:val="24"/>
              </w:rPr>
            </w:pPr>
            <w:r>
              <w:rPr>
                <w:rFonts w:eastAsia="黑体"/>
                <w:kern w:val="0"/>
                <w:sz w:val="24"/>
              </w:rPr>
              <w:t>2、施工劳动定员与工期</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本工程施工总工期12个月，高峰期劳动力人数约120人。</w:t>
            </w:r>
          </w:p>
          <w:p>
            <w:pPr>
              <w:widowControl/>
              <w:spacing w:before="240" w:after="60"/>
              <w:rPr>
                <w:rFonts w:eastAsia="黑体"/>
                <w:kern w:val="0"/>
                <w:sz w:val="24"/>
              </w:rPr>
            </w:pPr>
            <w:r>
              <w:rPr>
                <w:rFonts w:eastAsia="黑体"/>
                <w:kern w:val="0"/>
                <w:sz w:val="24"/>
              </w:rPr>
              <w:t>3、施工时序</w:t>
            </w:r>
          </w:p>
          <w:p>
            <w:pPr>
              <w:widowControl/>
              <w:ind w:firstLine="510" w:firstLineChars="200"/>
              <w:rPr>
                <w:sz w:val="24"/>
              </w:rPr>
            </w:pPr>
            <w:r>
              <w:rPr>
                <w:sz w:val="24"/>
              </w:rPr>
              <w:t>2024年07月至2024年08月底完成工程规划、报批等筹建工作。本阶段不计入总工期；</w:t>
            </w:r>
          </w:p>
          <w:p>
            <w:pPr>
              <w:widowControl/>
              <w:ind w:firstLine="510" w:firstLineChars="200"/>
              <w:rPr>
                <w:sz w:val="24"/>
              </w:rPr>
            </w:pPr>
            <w:r>
              <w:rPr>
                <w:sz w:val="24"/>
              </w:rPr>
              <w:t>2024年09月完成工程准备工作，需接通供电、供水及通讯线路，综合加工厂、场地平整及临时房屋的租建等，计划工期共计1个月；</w:t>
            </w:r>
          </w:p>
          <w:p>
            <w:pPr>
              <w:widowControl/>
              <w:ind w:firstLine="510" w:firstLineChars="200"/>
              <w:rPr>
                <w:sz w:val="24"/>
              </w:rPr>
            </w:pPr>
            <w:r>
              <w:rPr>
                <w:sz w:val="24"/>
                <w:highlight w:val="yellow"/>
              </w:rPr>
              <w:t>2025年0</w:t>
            </w:r>
            <w:r>
              <w:rPr>
                <w:rFonts w:hint="eastAsia"/>
                <w:sz w:val="24"/>
                <w:highlight w:val="yellow"/>
              </w:rPr>
              <w:t>9</w:t>
            </w:r>
            <w:r>
              <w:rPr>
                <w:sz w:val="24"/>
                <w:highlight w:val="yellow"/>
              </w:rPr>
              <w:t>月初</w:t>
            </w:r>
            <w:r>
              <w:rPr>
                <w:sz w:val="24"/>
              </w:rPr>
              <w:t>～2026年03月底，进行主体工程包括：主要包括坝体加宽培厚、下游坝坡砌护、溢洪道施工、坝顶路面施工、信息化监测施工等，并按照工程特性分批次对已完成项目进行竣工验收。计划工期共计8个月；</w:t>
            </w:r>
          </w:p>
          <w:p>
            <w:pPr>
              <w:widowControl/>
              <w:ind w:firstLine="510" w:firstLineChars="200"/>
            </w:pPr>
            <w:r>
              <w:rPr>
                <w:sz w:val="24"/>
              </w:rPr>
              <w:t>2026年04月初～2026年05月底，完成全部工程扫尾工作和竣工验收工作，计划工期共计2个月。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97" w:hRule="atLeast"/>
          <w:jc w:val="center"/>
        </w:trPr>
        <w:tc>
          <w:tcPr>
            <w:tcW w:w="710" w:type="dxa"/>
            <w:tcBorders>
              <w:tl2br w:val="nil"/>
              <w:tr2bl w:val="nil"/>
            </w:tcBorders>
            <w:noWrap/>
            <w:vAlign w:val="center"/>
          </w:tcPr>
          <w:p>
            <w:pPr>
              <w:adjustRightInd w:val="0"/>
              <w:snapToGrid w:val="0"/>
              <w:jc w:val="center"/>
              <w:rPr>
                <w:kern w:val="0"/>
                <w:sz w:val="24"/>
              </w:rPr>
            </w:pPr>
            <w:r>
              <w:rPr>
                <w:b/>
                <w:bCs/>
                <w:kern w:val="0"/>
                <w:sz w:val="24"/>
              </w:rPr>
              <w:t>其他</w:t>
            </w:r>
          </w:p>
        </w:tc>
        <w:tc>
          <w:tcPr>
            <w:tcW w:w="8380" w:type="dxa"/>
            <w:tcBorders>
              <w:tl2br w:val="nil"/>
              <w:tr2bl w:val="nil"/>
            </w:tcBorders>
            <w:noWrap/>
            <w:vAlign w:val="center"/>
          </w:tcPr>
          <w:p>
            <w:pPr>
              <w:adjustRightInd w:val="0"/>
              <w:snapToGrid w:val="0"/>
              <w:ind w:firstLine="510" w:firstLineChars="200"/>
              <w:rPr>
                <w:sz w:val="24"/>
              </w:rPr>
            </w:pPr>
            <w:r>
              <w:rPr>
                <w:sz w:val="24"/>
              </w:rPr>
              <w:t>本项目为水库除险加固工程，本工程在现状水库原址进行加固，选址具有唯一性，无其他选址选线比选方案。</w:t>
            </w:r>
          </w:p>
        </w:tc>
      </w:tr>
    </w:tbl>
    <w:p>
      <w:pPr>
        <w:pStyle w:val="25"/>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仿宋_GB2312"/>
          <w:b/>
          <w:bCs/>
        </w:rPr>
        <w:br w:type="page"/>
      </w:r>
      <w:bookmarkStart w:id="12" w:name="_Toc11867"/>
      <w:bookmarkStart w:id="13" w:name="_Toc1707"/>
      <w:r>
        <w:rPr>
          <w:rFonts w:ascii="Times New Roman" w:hAnsi="Times New Roman" w:eastAsia="黑体"/>
          <w:snapToGrid w:val="0"/>
          <w:sz w:val="30"/>
          <w:szCs w:val="30"/>
        </w:rPr>
        <w:t>三、生态环境现状、保护目标及评价标准</w:t>
      </w:r>
      <w:bookmarkEnd w:id="12"/>
      <w:bookmarkEnd w:id="13"/>
    </w:p>
    <w:tbl>
      <w:tblPr>
        <w:tblStyle w:val="28"/>
        <w:tblW w:w="92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5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tcBorders>
              <w:tl2br w:val="nil"/>
              <w:tr2bl w:val="nil"/>
            </w:tcBorders>
            <w:noWrap/>
            <w:vAlign w:val="center"/>
          </w:tcPr>
          <w:p>
            <w:pPr>
              <w:adjustRightInd w:val="0"/>
              <w:snapToGrid w:val="0"/>
              <w:jc w:val="center"/>
              <w:rPr>
                <w:kern w:val="0"/>
                <w:szCs w:val="21"/>
              </w:rPr>
            </w:pPr>
            <w:r>
              <w:rPr>
                <w:b/>
                <w:bCs/>
                <w:kern w:val="0"/>
                <w:sz w:val="24"/>
              </w:rPr>
              <w:t>生态环境现状</w:t>
            </w:r>
          </w:p>
        </w:tc>
        <w:tc>
          <w:tcPr>
            <w:tcW w:w="8561" w:type="dxa"/>
            <w:tcBorders>
              <w:tl2br w:val="nil"/>
              <w:tr2bl w:val="nil"/>
            </w:tcBorders>
            <w:noWrap/>
            <w:vAlign w:val="center"/>
          </w:tcPr>
          <w:p>
            <w:pPr>
              <w:autoSpaceDE w:val="0"/>
              <w:autoSpaceDN w:val="0"/>
              <w:spacing w:before="240" w:after="60"/>
              <w:jc w:val="left"/>
              <w:rPr>
                <w:rFonts w:eastAsia="黑体"/>
                <w:kern w:val="0"/>
                <w:sz w:val="24"/>
              </w:rPr>
            </w:pPr>
            <w:r>
              <w:rPr>
                <w:rFonts w:eastAsia="黑体"/>
                <w:kern w:val="0"/>
                <w:sz w:val="24"/>
              </w:rPr>
              <w:t>1、宁夏回族自治区主体功能区规划</w:t>
            </w:r>
          </w:p>
          <w:p>
            <w:pPr>
              <w:autoSpaceDE w:val="0"/>
              <w:autoSpaceDN w:val="0"/>
              <w:ind w:firstLine="510" w:firstLineChars="200"/>
              <w:rPr>
                <w:bCs/>
                <w:kern w:val="16"/>
                <w:sz w:val="24"/>
                <w:szCs w:val="22"/>
                <w:lang w:bidi="zh-CN"/>
              </w:rPr>
            </w:pPr>
            <w:r>
              <w:rPr>
                <w:bCs/>
                <w:kern w:val="16"/>
                <w:sz w:val="24"/>
                <w:szCs w:val="22"/>
                <w:lang w:bidi="zh-CN"/>
              </w:rPr>
              <w:t>宁夏回族自治区国土空间分为以下主体功能区：按开发方式，分为优先开发区域、重点开发区域、限制开发区域和禁止开发区域；按开发内容分为城市化地区、农产品主产区和重点生态功能区。</w:t>
            </w:r>
          </w:p>
          <w:p>
            <w:pPr>
              <w:autoSpaceDE w:val="0"/>
              <w:autoSpaceDN w:val="0"/>
              <w:ind w:firstLine="510" w:firstLineChars="200"/>
              <w:rPr>
                <w:bCs/>
                <w:kern w:val="16"/>
                <w:sz w:val="24"/>
                <w:szCs w:val="22"/>
                <w:lang w:bidi="zh-CN"/>
              </w:rPr>
            </w:pPr>
            <w:r>
              <w:rPr>
                <w:bCs/>
                <w:kern w:val="16"/>
                <w:sz w:val="24"/>
                <w:szCs w:val="22"/>
                <w:lang w:bidi="zh-CN"/>
              </w:rPr>
              <w:t>限制开发区域分为两类：一类是农产品主产区，即耕地较多、农业发展条件较好，尽管也适宜工业化、城镇化开发，但从保障国家农产品安全以及中华民族永续发展的需要出发，必须把增强农业综合生产能力作为发展的首要任务，从而应该限制进行大规模高强度工业化、城镇化发展的地区；一类是重点生态功能区即生态系统脆弱或生态功能重要资源环境承载能力较低不具备大规模高强度工业化城镇化开发的条件，必须把增强生态产品生产能力作为首要任务，应该限制进行大规模高强度工业化、城镇化开发的地区。</w:t>
            </w:r>
          </w:p>
          <w:p>
            <w:pPr>
              <w:autoSpaceDE w:val="0"/>
              <w:autoSpaceDN w:val="0"/>
              <w:ind w:firstLine="510" w:firstLineChars="200"/>
              <w:rPr>
                <w:bCs/>
                <w:kern w:val="16"/>
                <w:sz w:val="24"/>
                <w:szCs w:val="22"/>
                <w:lang w:bidi="zh-CN"/>
              </w:rPr>
            </w:pPr>
            <w:r>
              <w:rPr>
                <w:bCs/>
                <w:kern w:val="16"/>
                <w:sz w:val="24"/>
                <w:szCs w:val="22"/>
                <w:lang w:bidi="zh-CN"/>
              </w:rPr>
              <w:t>本项目位于彭阳县草庙乡崾岘村，根据《宁夏回族自治区主体功能区规划》，</w:t>
            </w:r>
            <w:r>
              <w:rPr>
                <w:snapToGrid w:val="0"/>
                <w:kern w:val="0"/>
                <w:sz w:val="24"/>
                <w:szCs w:val="22"/>
              </w:rPr>
              <w:t>本项目位于国家重点生态功能区</w:t>
            </w:r>
            <w:r>
              <w:rPr>
                <w:bCs/>
                <w:kern w:val="16"/>
                <w:sz w:val="24"/>
                <w:szCs w:val="22"/>
                <w:lang w:bidi="zh-CN"/>
              </w:rPr>
              <w:t>，功能定位为：保障国家生态安全的重要区域，西北重要的生态功能区，人与自然和谐相处的示范区。</w:t>
            </w:r>
          </w:p>
          <w:p>
            <w:pPr>
              <w:autoSpaceDE w:val="0"/>
              <w:autoSpaceDN w:val="0"/>
              <w:ind w:firstLine="510" w:firstLineChars="200"/>
              <w:rPr>
                <w:bCs/>
                <w:kern w:val="16"/>
                <w:sz w:val="24"/>
                <w:szCs w:val="22"/>
                <w:lang w:bidi="zh-CN"/>
              </w:rPr>
            </w:pPr>
            <w:r>
              <w:rPr>
                <w:bCs/>
                <w:kern w:val="16"/>
                <w:sz w:val="24"/>
                <w:szCs w:val="22"/>
                <w:lang w:bidi="zh-CN"/>
              </w:rPr>
              <w:t>本项目属于中型水库加固除险工程，不属于大规模高强度工业化、城镇化开发项目，本项目施工期较短，施工期对周围环境造成的影响较小，不会对土壤、水质、大气造成严重污染，本项目实施后，能够有效保障水库安全运行，其建设符合《宁夏回族自治区主体功能区规划》的要求。</w:t>
            </w:r>
          </w:p>
          <w:p>
            <w:pPr>
              <w:autoSpaceDE w:val="0"/>
              <w:autoSpaceDN w:val="0"/>
              <w:spacing w:before="240" w:after="60"/>
              <w:jc w:val="left"/>
              <w:rPr>
                <w:rFonts w:eastAsia="黑体"/>
                <w:kern w:val="0"/>
                <w:sz w:val="24"/>
              </w:rPr>
            </w:pPr>
            <w:r>
              <w:rPr>
                <w:rFonts w:eastAsia="黑体"/>
                <w:kern w:val="0"/>
                <w:sz w:val="24"/>
              </w:rPr>
              <w:t>2、生态功能区划</w:t>
            </w:r>
          </w:p>
          <w:p>
            <w:pPr>
              <w:ind w:firstLine="510" w:firstLineChars="200"/>
              <w:rPr>
                <w:sz w:val="24"/>
              </w:rPr>
            </w:pPr>
            <w:r>
              <w:rPr>
                <w:kern w:val="0"/>
                <w:sz w:val="24"/>
                <w:lang w:bidi="zh-CN"/>
              </w:rPr>
              <w:t>根据《宁夏生态功能区划》，宁夏生态功能区划共划分3个一级区，10个二级区，37个三级区。</w:t>
            </w:r>
            <w:r>
              <w:rPr>
                <w:sz w:val="24"/>
              </w:rPr>
              <w:t>本项目属于南部黄土丘陵水土流失生态区，原彭黄土丘陵牧林农生态亚区。</w:t>
            </w:r>
          </w:p>
          <w:p>
            <w:pPr>
              <w:ind w:firstLine="510" w:firstLineChars="200"/>
              <w:rPr>
                <w:sz w:val="24"/>
              </w:rPr>
            </w:pPr>
            <w:r>
              <w:rPr>
                <w:sz w:val="24"/>
              </w:rPr>
              <w:t>本项目为水库除险加固工程，工程实施不改变现状水库设计运行参数，项目施工期较短，施工过程中严格控制临时占地，对临时占地进行表土剥离并妥善保存，施工场地定期洒水减少扬尘，施工结束后对临时占地进行迹地恢复，播撒草种，恢复植被，对生态环境影响较小，不会加重水土流失，且项目实施可彻底消除雅石沟水库大坝、输泄水建筑物存在的安全隐患，保证水库安全，确保下游居民及水利设施的安全，符合生态功能亚区的要求。</w:t>
            </w:r>
          </w:p>
          <w:p>
            <w:pPr>
              <w:adjustRightInd w:val="0"/>
              <w:snapToGrid w:val="0"/>
              <w:jc w:val="center"/>
              <w:rPr>
                <w:sz w:val="24"/>
              </w:rPr>
            </w:pPr>
            <w:r>
              <w:rPr>
                <w:rFonts w:eastAsia="黑体"/>
                <w:sz w:val="24"/>
              </w:rPr>
              <w:t>表3-1生态功能区特征表</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2"/>
              <w:gridCol w:w="930"/>
              <w:gridCol w:w="1151"/>
              <w:gridCol w:w="5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tcBorders>
                    <w:tl2br w:val="nil"/>
                    <w:tr2bl w:val="nil"/>
                  </w:tcBorders>
                  <w:noWrap/>
                  <w:vAlign w:val="center"/>
                </w:tcPr>
                <w:p>
                  <w:pPr>
                    <w:adjustRightInd w:val="0"/>
                    <w:snapToGrid w:val="0"/>
                    <w:jc w:val="center"/>
                    <w:rPr>
                      <w:b/>
                      <w:bCs/>
                      <w:szCs w:val="21"/>
                    </w:rPr>
                  </w:pPr>
                  <w:r>
                    <w:rPr>
                      <w:b/>
                      <w:bCs/>
                      <w:szCs w:val="21"/>
                    </w:rPr>
                    <w:t>一级区</w:t>
                  </w:r>
                </w:p>
              </w:tc>
              <w:tc>
                <w:tcPr>
                  <w:tcW w:w="938" w:type="dxa"/>
                  <w:tcBorders>
                    <w:tl2br w:val="nil"/>
                    <w:tr2bl w:val="nil"/>
                  </w:tcBorders>
                  <w:noWrap/>
                  <w:vAlign w:val="center"/>
                </w:tcPr>
                <w:p>
                  <w:pPr>
                    <w:adjustRightInd w:val="0"/>
                    <w:snapToGrid w:val="0"/>
                    <w:jc w:val="center"/>
                    <w:rPr>
                      <w:b/>
                      <w:bCs/>
                      <w:szCs w:val="21"/>
                    </w:rPr>
                  </w:pPr>
                  <w:r>
                    <w:rPr>
                      <w:b/>
                      <w:bCs/>
                      <w:szCs w:val="21"/>
                    </w:rPr>
                    <w:t>二级区</w:t>
                  </w:r>
                </w:p>
              </w:tc>
              <w:tc>
                <w:tcPr>
                  <w:tcW w:w="1162" w:type="dxa"/>
                  <w:tcBorders>
                    <w:tl2br w:val="nil"/>
                    <w:tr2bl w:val="nil"/>
                  </w:tcBorders>
                  <w:noWrap/>
                  <w:vAlign w:val="center"/>
                </w:tcPr>
                <w:p>
                  <w:pPr>
                    <w:adjustRightInd w:val="0"/>
                    <w:snapToGrid w:val="0"/>
                    <w:jc w:val="center"/>
                    <w:rPr>
                      <w:b/>
                      <w:bCs/>
                      <w:szCs w:val="21"/>
                    </w:rPr>
                  </w:pPr>
                  <w:r>
                    <w:rPr>
                      <w:b/>
                      <w:bCs/>
                      <w:szCs w:val="21"/>
                    </w:rPr>
                    <w:t>功能区代号及名称</w:t>
                  </w:r>
                </w:p>
              </w:tc>
              <w:tc>
                <w:tcPr>
                  <w:tcW w:w="5393" w:type="dxa"/>
                  <w:tcBorders>
                    <w:tl2br w:val="nil"/>
                    <w:tr2bl w:val="nil"/>
                  </w:tcBorders>
                  <w:noWrap/>
                  <w:vAlign w:val="center"/>
                </w:tcPr>
                <w:p>
                  <w:pPr>
                    <w:adjustRightInd w:val="0"/>
                    <w:snapToGrid w:val="0"/>
                    <w:jc w:val="center"/>
                    <w:rPr>
                      <w:b/>
                      <w:bCs/>
                      <w:szCs w:val="21"/>
                    </w:rPr>
                  </w:pPr>
                  <w:r>
                    <w:rPr>
                      <w:b/>
                      <w:bCs/>
                      <w:szCs w:val="21"/>
                    </w:rPr>
                    <w:t>主要生态特点、问题及措施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0" w:type="dxa"/>
                  <w:tcBorders>
                    <w:tl2br w:val="nil"/>
                    <w:tr2bl w:val="nil"/>
                  </w:tcBorders>
                  <w:noWrap/>
                  <w:vAlign w:val="center"/>
                </w:tcPr>
                <w:p>
                  <w:pPr>
                    <w:adjustRightInd w:val="0"/>
                    <w:snapToGrid w:val="0"/>
                    <w:jc w:val="center"/>
                    <w:rPr>
                      <w:szCs w:val="21"/>
                    </w:rPr>
                  </w:pPr>
                  <w:r>
                    <w:rPr>
                      <w:szCs w:val="21"/>
                    </w:rPr>
                    <w:t>南部黄土丘陵水土流失生态区</w:t>
                  </w:r>
                </w:p>
              </w:tc>
              <w:tc>
                <w:tcPr>
                  <w:tcW w:w="938" w:type="dxa"/>
                  <w:tcBorders>
                    <w:tl2br w:val="nil"/>
                    <w:tr2bl w:val="nil"/>
                  </w:tcBorders>
                  <w:noWrap/>
                  <w:vAlign w:val="center"/>
                </w:tcPr>
                <w:p>
                  <w:pPr>
                    <w:adjustRightInd w:val="0"/>
                    <w:snapToGrid w:val="0"/>
                    <w:jc w:val="center"/>
                    <w:rPr>
                      <w:szCs w:val="21"/>
                    </w:rPr>
                  </w:pPr>
                  <w:r>
                    <w:rPr>
                      <w:szCs w:val="21"/>
                    </w:rPr>
                    <w:t>原彭黄土丘陵牧林农生态亚区</w:t>
                  </w:r>
                </w:p>
              </w:tc>
              <w:tc>
                <w:tcPr>
                  <w:tcW w:w="1162" w:type="dxa"/>
                  <w:tcBorders>
                    <w:tl2br w:val="nil"/>
                    <w:tr2bl w:val="nil"/>
                  </w:tcBorders>
                  <w:noWrap/>
                  <w:vAlign w:val="center"/>
                </w:tcPr>
                <w:p>
                  <w:pPr>
                    <w:adjustRightInd w:val="0"/>
                    <w:snapToGrid w:val="0"/>
                    <w:jc w:val="center"/>
                    <w:rPr>
                      <w:szCs w:val="21"/>
                    </w:rPr>
                  </w:pPr>
                  <w:r>
                    <w:rPr>
                      <w:szCs w:val="21"/>
                    </w:rPr>
                    <w:t>Ⅰ3-3茹河、洪河河谷及残塬中度水土流失治理生态功能区</w:t>
                  </w:r>
                </w:p>
              </w:tc>
              <w:tc>
                <w:tcPr>
                  <w:tcW w:w="5393" w:type="dxa"/>
                  <w:tcBorders>
                    <w:tl2br w:val="nil"/>
                    <w:tr2bl w:val="nil"/>
                  </w:tcBorders>
                  <w:noWrap/>
                  <w:vAlign w:val="center"/>
                </w:tcPr>
                <w:p>
                  <w:pPr>
                    <w:adjustRightInd w:val="0"/>
                    <w:snapToGrid w:val="0"/>
                    <w:ind w:firstLine="450" w:firstLineChars="200"/>
                    <w:rPr>
                      <w:szCs w:val="21"/>
                    </w:rPr>
                  </w:pPr>
                  <w:r>
                    <w:rPr>
                      <w:szCs w:val="21"/>
                    </w:rPr>
                    <w:t>本生态功能区除黄土丘陵外，河谷川地、塬地面积相对较大，本区是彭阳县粮作、经果林和经作作物产区，旱作农业比较稳定。最敏感的生态问题是水土流失，导致泥沙淤积水库，库容减小，农田有效灌溉保障率下降。其措施是：在黄土丘陵区，开展小流域综合治理，山顶种草，山腰栽植灌木，山沟栽植乔木林和经果林，工程措施与生物措施结合，层层拦截水土。</w:t>
                  </w:r>
                </w:p>
              </w:tc>
            </w:tr>
          </w:tbl>
          <w:p>
            <w:pPr>
              <w:autoSpaceDE w:val="0"/>
              <w:autoSpaceDN w:val="0"/>
              <w:spacing w:before="240" w:after="60"/>
              <w:jc w:val="left"/>
              <w:rPr>
                <w:rFonts w:eastAsia="黑体"/>
                <w:kern w:val="0"/>
                <w:sz w:val="24"/>
              </w:rPr>
            </w:pPr>
            <w:r>
              <w:rPr>
                <w:rFonts w:eastAsia="黑体"/>
                <w:kern w:val="0"/>
                <w:sz w:val="24"/>
              </w:rPr>
              <w:t>3、生态环境现状</w:t>
            </w:r>
          </w:p>
          <w:p>
            <w:pPr>
              <w:ind w:firstLine="510" w:firstLineChars="200"/>
              <w:rPr>
                <w:kern w:val="0"/>
                <w:sz w:val="24"/>
                <w:lang w:val="zh-CN"/>
              </w:rPr>
            </w:pPr>
            <w:r>
              <w:rPr>
                <w:kern w:val="0"/>
                <w:sz w:val="24"/>
                <w:lang w:val="zh-CN"/>
              </w:rPr>
              <w:t>（</w:t>
            </w:r>
            <w:r>
              <w:rPr>
                <w:kern w:val="0"/>
                <w:sz w:val="24"/>
              </w:rPr>
              <w:t>1</w:t>
            </w:r>
            <w:r>
              <w:rPr>
                <w:kern w:val="0"/>
                <w:sz w:val="24"/>
                <w:lang w:val="zh-CN"/>
              </w:rPr>
              <w:t>）土地利用现状</w:t>
            </w:r>
          </w:p>
          <w:p>
            <w:pPr>
              <w:ind w:firstLine="510" w:firstLineChars="200"/>
              <w:rPr>
                <w:kern w:val="0"/>
                <w:sz w:val="24"/>
                <w:lang w:val="zh-CN"/>
              </w:rPr>
            </w:pPr>
            <w:r>
              <w:rPr>
                <w:kern w:val="0"/>
                <w:sz w:val="24"/>
              </w:rPr>
              <w:t>本项目不新增永久占地，在现状水库原址上进行除险加固。</w:t>
            </w:r>
            <w:r>
              <w:rPr>
                <w:kern w:val="0"/>
                <w:sz w:val="24"/>
                <w:lang w:val="zh-CN"/>
              </w:rPr>
              <w:t>根据《土地利用现状分类》（GB/T21010-20</w:t>
            </w:r>
            <w:r>
              <w:rPr>
                <w:kern w:val="0"/>
                <w:sz w:val="24"/>
              </w:rPr>
              <w:t>17</w:t>
            </w:r>
            <w:r>
              <w:rPr>
                <w:kern w:val="0"/>
                <w:sz w:val="24"/>
                <w:lang w:val="zh-CN"/>
              </w:rPr>
              <w:t>），项目</w:t>
            </w:r>
            <w:r>
              <w:rPr>
                <w:kern w:val="0"/>
                <w:sz w:val="24"/>
              </w:rPr>
              <w:t>临时占地</w:t>
            </w:r>
            <w:r>
              <w:rPr>
                <w:kern w:val="0"/>
                <w:sz w:val="24"/>
                <w:lang w:val="zh-CN"/>
              </w:rPr>
              <w:t>土地利用现状以</w:t>
            </w:r>
            <w:r>
              <w:rPr>
                <w:kern w:val="0"/>
                <w:sz w:val="24"/>
              </w:rPr>
              <w:t>其他草地、水工建筑用地</w:t>
            </w:r>
            <w:r>
              <w:rPr>
                <w:kern w:val="0"/>
                <w:sz w:val="24"/>
                <w:lang w:val="zh-CN"/>
              </w:rPr>
              <w:t>为主。</w:t>
            </w:r>
            <w:r>
              <w:rPr>
                <w:kern w:val="0"/>
                <w:sz w:val="24"/>
              </w:rPr>
              <w:t>现状如下图所示</w:t>
            </w:r>
            <w:r>
              <w:rPr>
                <w:kern w:val="0"/>
                <w:sz w:val="24"/>
                <w:lang w:val="zh-CN"/>
              </w:rPr>
              <w:t>。</w:t>
            </w:r>
          </w:p>
          <w:tbl>
            <w:tblPr>
              <w:tblStyle w:val="2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4"/>
              <w:gridCol w:w="4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4" w:type="dxa"/>
                  <w:tcBorders>
                    <w:top w:val="nil"/>
                    <w:left w:val="nil"/>
                    <w:bottom w:val="nil"/>
                    <w:right w:val="nil"/>
                  </w:tcBorders>
                  <w:noWrap/>
                </w:tcPr>
                <w:p>
                  <w:pPr>
                    <w:adjustRightInd w:val="0"/>
                    <w:snapToGrid w:val="0"/>
                    <w:rPr>
                      <w:kern w:val="0"/>
                      <w:sz w:val="24"/>
                      <w:lang w:val="zh-CN"/>
                    </w:rPr>
                  </w:pPr>
                  <w:r>
                    <w:rPr>
                      <w:b/>
                    </w:rPr>
                    <w:drawing>
                      <wp:inline distT="0" distB="0" distL="114300" distR="114300">
                        <wp:extent cx="2597150" cy="1660525"/>
                        <wp:effectExtent l="0" t="0" r="12700" b="15875"/>
                        <wp:docPr id="21" name="图片 140" descr="微信图片_202304041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0" descr="微信图片_20230404112921"/>
                                <pic:cNvPicPr>
                                  <a:picLocks noChangeAspect="1"/>
                                </pic:cNvPicPr>
                              </pic:nvPicPr>
                              <pic:blipFill>
                                <a:blip r:embed="rId30"/>
                                <a:srcRect b="12384"/>
                                <a:stretch>
                                  <a:fillRect/>
                                </a:stretch>
                              </pic:blipFill>
                              <pic:spPr>
                                <a:xfrm>
                                  <a:off x="0" y="0"/>
                                  <a:ext cx="2597150" cy="1660525"/>
                                </a:xfrm>
                                <a:prstGeom prst="rect">
                                  <a:avLst/>
                                </a:prstGeom>
                                <a:noFill/>
                                <a:ln>
                                  <a:noFill/>
                                </a:ln>
                              </pic:spPr>
                            </pic:pic>
                          </a:graphicData>
                        </a:graphic>
                      </wp:inline>
                    </w:drawing>
                  </w:r>
                  <w:r>
                    <w:drawing>
                      <wp:inline distT="0" distB="0" distL="114300" distR="114300">
                        <wp:extent cx="3068320" cy="1786255"/>
                        <wp:effectExtent l="0" t="0" r="17780" b="4445"/>
                        <wp:docPr id="22" name="图片 138" descr="微信图片_2023040411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8" descr="微信图片_20230404112432"/>
                                <pic:cNvPicPr>
                                  <a:picLocks noChangeAspect="1"/>
                                </pic:cNvPicPr>
                              </pic:nvPicPr>
                              <pic:blipFill>
                                <a:blip r:embed="rId31"/>
                                <a:srcRect t="9393" b="13020"/>
                                <a:stretch>
                                  <a:fillRect/>
                                </a:stretch>
                              </pic:blipFill>
                              <pic:spPr>
                                <a:xfrm>
                                  <a:off x="0" y="0"/>
                                  <a:ext cx="3068320" cy="1786255"/>
                                </a:xfrm>
                                <a:prstGeom prst="rect">
                                  <a:avLst/>
                                </a:prstGeom>
                                <a:noFill/>
                                <a:ln>
                                  <a:noFill/>
                                </a:ln>
                              </pic:spPr>
                            </pic:pic>
                          </a:graphicData>
                        </a:graphic>
                      </wp:inline>
                    </w:drawing>
                  </w:r>
                </w:p>
              </w:tc>
              <w:tc>
                <w:tcPr>
                  <w:tcW w:w="4135" w:type="dxa"/>
                  <w:tcBorders>
                    <w:top w:val="nil"/>
                    <w:left w:val="nil"/>
                    <w:bottom w:val="nil"/>
                    <w:right w:val="nil"/>
                  </w:tcBorders>
                  <w:noWrap/>
                </w:tcPr>
                <w:p>
                  <w:pPr>
                    <w:adjustRightInd w:val="0"/>
                    <w:snapToGrid w:val="0"/>
                    <w:rPr>
                      <w:kern w:val="0"/>
                      <w:sz w:val="24"/>
                      <w:lang w:val="zh-CN"/>
                    </w:rPr>
                  </w:pPr>
                  <w:r>
                    <w:rPr>
                      <w:b/>
                    </w:rPr>
                    <w:drawing>
                      <wp:inline distT="0" distB="0" distL="114300" distR="114300">
                        <wp:extent cx="2435225" cy="1666240"/>
                        <wp:effectExtent l="0" t="0" r="3175" b="10160"/>
                        <wp:docPr id="23" name="图片 135" descr="微信图片_202304041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5" descr="微信图片_20230404112336"/>
                                <pic:cNvPicPr>
                                  <a:picLocks noChangeAspect="1"/>
                                </pic:cNvPicPr>
                              </pic:nvPicPr>
                              <pic:blipFill>
                                <a:blip r:embed="rId22"/>
                                <a:srcRect t="8519" b="15538"/>
                                <a:stretch>
                                  <a:fillRect/>
                                </a:stretch>
                              </pic:blipFill>
                              <pic:spPr>
                                <a:xfrm>
                                  <a:off x="0" y="0"/>
                                  <a:ext cx="2435225" cy="1666240"/>
                                </a:xfrm>
                                <a:prstGeom prst="rect">
                                  <a:avLst/>
                                </a:prstGeom>
                                <a:noFill/>
                                <a:ln>
                                  <a:noFill/>
                                </a:ln>
                              </pic:spPr>
                            </pic:pic>
                          </a:graphicData>
                        </a:graphic>
                      </wp:inline>
                    </w:drawing>
                  </w:r>
                </w:p>
                <w:p>
                  <w:pPr>
                    <w:pStyle w:val="2"/>
                    <w:adjustRightInd w:val="0"/>
                    <w:spacing w:before="0" w:after="0" w:line="240" w:lineRule="auto"/>
                    <w:ind w:left="431" w:hanging="431"/>
                    <w:outlineLvl w:val="0"/>
                    <w:rPr>
                      <w:color w:val="auto"/>
                      <w:lang w:val="zh-CN"/>
                    </w:rPr>
                  </w:pPr>
                  <w:r>
                    <w:rPr>
                      <w:color w:val="auto"/>
                    </w:rPr>
                    <w:drawing>
                      <wp:inline distT="0" distB="0" distL="114300" distR="114300">
                        <wp:extent cx="2441575" cy="1799590"/>
                        <wp:effectExtent l="0" t="0" r="15875" b="10160"/>
                        <wp:docPr id="24" name="图片 136" descr="微信图片_202010271524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6" descr="微信图片_2020102715245615"/>
                                <pic:cNvPicPr>
                                  <a:picLocks noChangeAspect="1"/>
                                </pic:cNvPicPr>
                              </pic:nvPicPr>
                              <pic:blipFill>
                                <a:blip r:embed="rId32"/>
                                <a:stretch>
                                  <a:fillRect/>
                                </a:stretch>
                              </pic:blipFill>
                              <pic:spPr>
                                <a:xfrm>
                                  <a:off x="0" y="0"/>
                                  <a:ext cx="2441575" cy="17995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4" w:type="dxa"/>
                  <w:tcBorders>
                    <w:top w:val="nil"/>
                    <w:left w:val="nil"/>
                    <w:bottom w:val="nil"/>
                    <w:right w:val="nil"/>
                  </w:tcBorders>
                  <w:noWrap/>
                </w:tcPr>
                <w:p>
                  <w:pPr>
                    <w:adjustRightInd w:val="0"/>
                    <w:snapToGrid w:val="0"/>
                    <w:rPr>
                      <w:kern w:val="0"/>
                      <w:sz w:val="24"/>
                      <w:lang w:val="zh-CN"/>
                    </w:rPr>
                  </w:pPr>
                  <w:r>
                    <w:rPr>
                      <w:b/>
                      <w:sz w:val="30"/>
                      <w:szCs w:val="30"/>
                    </w:rPr>
                    <w:drawing>
                      <wp:inline distT="0" distB="0" distL="114300" distR="114300">
                        <wp:extent cx="2544445" cy="1799590"/>
                        <wp:effectExtent l="0" t="0" r="8255" b="10160"/>
                        <wp:docPr id="25" name="图片 27" descr="微信图片_20201027152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微信图片_202010271524565"/>
                                <pic:cNvPicPr>
                                  <a:picLocks noChangeAspect="1"/>
                                </pic:cNvPicPr>
                              </pic:nvPicPr>
                              <pic:blipFill>
                                <a:blip r:embed="rId33"/>
                                <a:srcRect b="4706"/>
                                <a:stretch>
                                  <a:fillRect/>
                                </a:stretch>
                              </pic:blipFill>
                              <pic:spPr>
                                <a:xfrm>
                                  <a:off x="0" y="0"/>
                                  <a:ext cx="2544445" cy="1799590"/>
                                </a:xfrm>
                                <a:prstGeom prst="rect">
                                  <a:avLst/>
                                </a:prstGeom>
                                <a:noFill/>
                                <a:ln>
                                  <a:noFill/>
                                </a:ln>
                              </pic:spPr>
                            </pic:pic>
                          </a:graphicData>
                        </a:graphic>
                      </wp:inline>
                    </w:drawing>
                  </w:r>
                </w:p>
              </w:tc>
              <w:tc>
                <w:tcPr>
                  <w:tcW w:w="4135" w:type="dxa"/>
                  <w:tcBorders>
                    <w:top w:val="nil"/>
                    <w:left w:val="nil"/>
                    <w:bottom w:val="nil"/>
                    <w:right w:val="nil"/>
                  </w:tcBorders>
                  <w:noWrap/>
                </w:tcPr>
                <w:p>
                  <w:pPr>
                    <w:adjustRightInd w:val="0"/>
                    <w:snapToGrid w:val="0"/>
                    <w:rPr>
                      <w:kern w:val="0"/>
                      <w:sz w:val="24"/>
                      <w:lang w:val="zh-CN"/>
                    </w:rPr>
                  </w:pPr>
                  <w:r>
                    <w:rPr>
                      <w:b/>
                      <w:sz w:val="30"/>
                      <w:szCs w:val="30"/>
                    </w:rPr>
                    <w:drawing>
                      <wp:inline distT="0" distB="0" distL="114300" distR="114300">
                        <wp:extent cx="2444750" cy="1796415"/>
                        <wp:effectExtent l="0" t="0" r="12700" b="13335"/>
                        <wp:docPr id="26" name="图片 139" descr="微信图片_20201028164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9" descr="微信图片_202010281648341"/>
                                <pic:cNvPicPr>
                                  <a:picLocks noChangeAspect="1"/>
                                </pic:cNvPicPr>
                              </pic:nvPicPr>
                              <pic:blipFill>
                                <a:blip r:embed="rId34"/>
                                <a:srcRect r="11859"/>
                                <a:stretch>
                                  <a:fillRect/>
                                </a:stretch>
                              </pic:blipFill>
                              <pic:spPr>
                                <a:xfrm>
                                  <a:off x="0" y="0"/>
                                  <a:ext cx="2444750" cy="1796415"/>
                                </a:xfrm>
                                <a:prstGeom prst="rect">
                                  <a:avLst/>
                                </a:prstGeom>
                                <a:noFill/>
                                <a:ln>
                                  <a:noFill/>
                                </a:ln>
                              </pic:spPr>
                            </pic:pic>
                          </a:graphicData>
                        </a:graphic>
                      </wp:inline>
                    </w:drawing>
                  </w:r>
                </w:p>
              </w:tc>
            </w:tr>
          </w:tbl>
          <w:p>
            <w:pPr>
              <w:adjustRightInd w:val="0"/>
              <w:snapToGrid w:val="0"/>
              <w:jc w:val="center"/>
              <w:rPr>
                <w:kern w:val="0"/>
                <w:sz w:val="24"/>
              </w:rPr>
            </w:pPr>
            <w:r>
              <w:rPr>
                <w:rFonts w:eastAsia="黑体"/>
                <w:kern w:val="0"/>
                <w:sz w:val="24"/>
              </w:rPr>
              <w:t>图3-1  项目现状照片</w:t>
            </w:r>
          </w:p>
          <w:p>
            <w:pPr>
              <w:ind w:firstLine="510" w:firstLineChars="200"/>
              <w:rPr>
                <w:kern w:val="0"/>
                <w:sz w:val="24"/>
                <w:lang w:val="zh-CN"/>
              </w:rPr>
            </w:pPr>
            <w:r>
              <w:rPr>
                <w:sz w:val="24"/>
              </w:rPr>
              <w:t>（2）占地类型</w:t>
            </w:r>
          </w:p>
          <w:p>
            <w:pPr>
              <w:keepNext/>
              <w:overflowPunct w:val="0"/>
              <w:ind w:firstLine="510" w:firstLineChars="200"/>
              <w:rPr>
                <w:sz w:val="24"/>
              </w:rPr>
            </w:pPr>
            <w:r>
              <w:rPr>
                <w:sz w:val="24"/>
              </w:rPr>
              <w:t>本次新增临时占地面积为145381.98m²，包括取土场、施工生产生活区及施工作业面，具体占地类型见表2-3。</w:t>
            </w:r>
          </w:p>
          <w:p>
            <w:pPr>
              <w:keepNext/>
              <w:overflowPunct w:val="0"/>
              <w:ind w:firstLine="510" w:firstLineChars="200"/>
              <w:rPr>
                <w:sz w:val="24"/>
              </w:rPr>
            </w:pPr>
            <w:r>
              <w:rPr>
                <w:sz w:val="24"/>
              </w:rPr>
              <w:t>针对占用其他草地区域，施工完毕后对剥离的表土区域进行相应的表土回覆及土地整治，播撒草种，加强后期养护，恢复其原有植被形态。项目的实施不会改变原有土地类型。</w:t>
            </w:r>
          </w:p>
          <w:p>
            <w:pPr>
              <w:ind w:firstLine="510" w:firstLineChars="200"/>
              <w:rPr>
                <w:kern w:val="0"/>
                <w:sz w:val="24"/>
                <w:lang w:val="zh-CN"/>
              </w:rPr>
            </w:pPr>
            <w:r>
              <w:rPr>
                <w:kern w:val="0"/>
                <w:sz w:val="24"/>
                <w:lang w:val="zh-CN"/>
              </w:rPr>
              <w:t>（</w:t>
            </w:r>
            <w:r>
              <w:rPr>
                <w:kern w:val="0"/>
                <w:sz w:val="24"/>
              </w:rPr>
              <w:t>3</w:t>
            </w:r>
            <w:r>
              <w:rPr>
                <w:kern w:val="0"/>
                <w:sz w:val="24"/>
                <w:lang w:val="zh-CN"/>
              </w:rPr>
              <w:t>）植被类型</w:t>
            </w:r>
          </w:p>
          <w:p>
            <w:pPr>
              <w:ind w:firstLine="510" w:firstLineChars="200"/>
              <w:rPr>
                <w:kern w:val="0"/>
                <w:sz w:val="24"/>
                <w:lang w:val="zh-CN"/>
              </w:rPr>
            </w:pPr>
            <w:r>
              <w:rPr>
                <w:kern w:val="0"/>
                <w:sz w:val="24"/>
                <w:lang w:val="zh-CN"/>
              </w:rPr>
              <w:t>雅石沟水库所在流域区间地形以浅山丘陵区为主，西</w:t>
            </w:r>
            <w:r>
              <w:rPr>
                <w:kern w:val="0"/>
                <w:sz w:val="24"/>
              </w:rPr>
              <w:t>北石堡梁</w:t>
            </w:r>
            <w:r>
              <w:rPr>
                <w:kern w:val="0"/>
                <w:sz w:val="24"/>
                <w:lang w:val="zh-CN"/>
              </w:rPr>
              <w:t>和</w:t>
            </w:r>
            <w:r>
              <w:rPr>
                <w:kern w:val="0"/>
                <w:sz w:val="24"/>
              </w:rPr>
              <w:t>南部拉拉山梁</w:t>
            </w:r>
            <w:r>
              <w:rPr>
                <w:kern w:val="0"/>
                <w:sz w:val="24"/>
                <w:lang w:val="zh-CN"/>
              </w:rPr>
              <w:t>任山河上游系土石山区，植被较好，水库中下游</w:t>
            </w:r>
            <w:r>
              <w:rPr>
                <w:kern w:val="0"/>
                <w:sz w:val="24"/>
              </w:rPr>
              <w:t>东南</w:t>
            </w:r>
            <w:r>
              <w:rPr>
                <w:kern w:val="0"/>
                <w:sz w:val="24"/>
                <w:lang w:val="zh-CN"/>
              </w:rPr>
              <w:t>为黄土丘陵区，植被较差。</w:t>
            </w:r>
          </w:p>
          <w:p>
            <w:pPr>
              <w:ind w:firstLine="510" w:firstLineChars="200"/>
              <w:rPr>
                <w:kern w:val="0"/>
                <w:sz w:val="24"/>
                <w:lang w:val="zh-CN"/>
              </w:rPr>
            </w:pPr>
            <w:r>
              <w:rPr>
                <w:sz w:val="24"/>
                <w:szCs w:val="32"/>
              </w:rPr>
              <w:t>根据宁夏植被类型图，治理区属于宁南黄土高原南部森林草原化森林草原及栽培植被小区，其中植被以春、冬小麦为主，含洋芋、糜谷、莜麦、云芥三年两熟作物。</w:t>
            </w:r>
          </w:p>
          <w:p>
            <w:pPr>
              <w:pStyle w:val="6"/>
              <w:spacing w:line="240" w:lineRule="auto"/>
              <w:ind w:firstLine="512"/>
              <w:rPr>
                <w:rFonts w:ascii="Times New Roman" w:hAnsi="Times New Roman"/>
                <w:kern w:val="0"/>
                <w:lang w:val="zh-CN"/>
              </w:rPr>
            </w:pPr>
            <w:r>
              <w:rPr>
                <w:rFonts w:ascii="Times New Roman" w:hAnsi="Times New Roman"/>
                <w:kern w:val="0"/>
              </w:rPr>
              <w:t>项目区坝侧主要分布</w:t>
            </w:r>
            <w:r>
              <w:rPr>
                <w:rFonts w:ascii="Times New Roman" w:hAnsi="Times New Roman"/>
                <w:kern w:val="0"/>
                <w:lang w:val="zh-CN"/>
              </w:rPr>
              <w:t>落叶灌木林包括冷蒿和柠条，草本植被有短花针茅、牛枝子、耆状亚菊、漠蒿。</w:t>
            </w:r>
          </w:p>
          <w:p>
            <w:pPr>
              <w:pStyle w:val="6"/>
              <w:spacing w:line="240" w:lineRule="auto"/>
              <w:ind w:firstLine="512"/>
              <w:rPr>
                <w:rFonts w:ascii="Times New Roman" w:hAnsi="Times New Roman"/>
              </w:rPr>
            </w:pPr>
            <w:r>
              <w:rPr>
                <w:rFonts w:ascii="Times New Roman" w:hAnsi="Times New Roman"/>
                <w:kern w:val="0"/>
              </w:rPr>
              <w:t>目前取土场占用其他草地，主要为</w:t>
            </w:r>
            <w:r>
              <w:rPr>
                <w:rFonts w:ascii="Times New Roman" w:hAnsi="Times New Roman"/>
                <w:kern w:val="0"/>
                <w:lang w:val="zh-CN"/>
              </w:rPr>
              <w:t>冷蒿和柠条</w:t>
            </w:r>
            <w:r>
              <w:rPr>
                <w:rFonts w:ascii="Times New Roman" w:hAnsi="Times New Roman"/>
                <w:kern w:val="0"/>
              </w:rPr>
              <w:t>，占地范围内无林木，施工生产生活区及部分施工作业面占用其他草地，主要为灌木草地，因为天气干旱，植被长势较差，场区占有河滩地，植被稀疏，项目施工期间，应严格控制施工作业面、取土场等临时占地，加强施工期管理，尽量减少对植被的破坏</w:t>
            </w:r>
            <w:r>
              <w:rPr>
                <w:rFonts w:ascii="Times New Roman" w:hAnsi="Times New Roman"/>
              </w:rPr>
              <w:t>。</w:t>
            </w:r>
          </w:p>
          <w:p>
            <w:pPr>
              <w:ind w:firstLine="510" w:firstLineChars="200"/>
              <w:rPr>
                <w:kern w:val="0"/>
                <w:sz w:val="24"/>
                <w:lang w:val="zh-CN"/>
              </w:rPr>
            </w:pPr>
            <w:r>
              <w:rPr>
                <w:kern w:val="0"/>
                <w:sz w:val="24"/>
                <w:lang w:val="zh-CN"/>
              </w:rPr>
              <w:t>（</w:t>
            </w:r>
            <w:r>
              <w:rPr>
                <w:kern w:val="0"/>
                <w:sz w:val="24"/>
              </w:rPr>
              <w:t>4</w:t>
            </w:r>
            <w:r>
              <w:rPr>
                <w:kern w:val="0"/>
                <w:sz w:val="24"/>
                <w:lang w:val="zh-CN"/>
              </w:rPr>
              <w:t>）动物分布情况</w:t>
            </w:r>
          </w:p>
          <w:p>
            <w:pPr>
              <w:ind w:firstLine="510" w:firstLineChars="200"/>
              <w:rPr>
                <w:sz w:val="24"/>
              </w:rPr>
            </w:pPr>
            <w:r>
              <w:rPr>
                <w:sz w:val="24"/>
              </w:rPr>
              <w:t>项目占地及周边，植被以农田为主，人类干扰强烈，因此野生动物较少，没有国家重点保护野生动物栖息，但可能有受保护的鸟类来此觅食。根据资料调研及现场踏勘情况，由于人类活动频繁加上水资源缺乏，导致项目评价区范围内野生动物较少，以常见鸟类、爬行类、两栖类和鼠兔类为主。</w:t>
            </w:r>
          </w:p>
          <w:p>
            <w:pPr>
              <w:ind w:firstLine="510" w:firstLineChars="200"/>
              <w:rPr>
                <w:kern w:val="0"/>
                <w:sz w:val="24"/>
              </w:rPr>
            </w:pPr>
            <w:r>
              <w:rPr>
                <w:sz w:val="24"/>
              </w:rPr>
              <w:t>项目区为传统农耕区，区内受人类活动影响野生动物以常见种类为主，区域野生动物已趋于稳定，水库运行对区域野生动物多样性未产生根本性影响，水库现状区域无外来物种入侵。</w:t>
            </w:r>
          </w:p>
          <w:p>
            <w:pPr>
              <w:ind w:firstLine="510" w:firstLineChars="200"/>
              <w:rPr>
                <w:kern w:val="0"/>
                <w:sz w:val="24"/>
              </w:rPr>
            </w:pPr>
            <w:r>
              <w:rPr>
                <w:kern w:val="0"/>
                <w:sz w:val="24"/>
              </w:rPr>
              <w:t>（5）水生生态</w:t>
            </w:r>
          </w:p>
          <w:p>
            <w:pPr>
              <w:pStyle w:val="6"/>
              <w:spacing w:line="240" w:lineRule="auto"/>
              <w:ind w:firstLine="512"/>
              <w:rPr>
                <w:rFonts w:ascii="Times New Roman" w:hAnsi="Times New Roman"/>
              </w:rPr>
            </w:pPr>
            <w:r>
              <w:rPr>
                <w:rFonts w:ascii="Times New Roman" w:hAnsi="Times New Roman"/>
              </w:rPr>
              <w:t>对水库环境而言，水库除险加固蓄水后，因水流状态、水体水温、流速较水库建设前无变化。对浮游植物、浮游动物的生长繁殖无影响。水库经多年运行，区域水生生物种群结构已趋于稳定。水库主要为人工投养鱼类，鱼类种类比较单一，</w:t>
            </w:r>
            <w:r>
              <w:rPr>
                <w:rFonts w:ascii="Times New Roman" w:hAnsi="Times New Roman"/>
                <w:bCs/>
                <w:szCs w:val="21"/>
              </w:rPr>
              <w:t>主要为人工投养的鲫鱼、鲤鱼</w:t>
            </w:r>
            <w:r>
              <w:rPr>
                <w:rFonts w:ascii="Times New Roman" w:hAnsi="Times New Roman"/>
              </w:rPr>
              <w:t>，无重点保护与珍稀水生生物栖息地、重要水生生物自然产卵场、索饵场、越冬场及洄游通道，无其他重点保护与珍稀水生生物。</w:t>
            </w:r>
          </w:p>
          <w:p>
            <w:pPr>
              <w:ind w:firstLine="510" w:firstLineChars="200"/>
              <w:rPr>
                <w:kern w:val="0"/>
                <w:sz w:val="24"/>
                <w:lang w:val="zh-CN"/>
              </w:rPr>
            </w:pPr>
            <w:r>
              <w:rPr>
                <w:sz w:val="24"/>
              </w:rPr>
              <w:t>（6）土壤类型</w:t>
            </w:r>
          </w:p>
          <w:p>
            <w:pPr>
              <w:widowControl/>
              <w:ind w:firstLine="510" w:firstLineChars="200"/>
            </w:pPr>
            <w:r>
              <w:rPr>
                <w:kern w:val="0"/>
                <w:sz w:val="24"/>
              </w:rPr>
              <w:t>本项目所在区域土壤类型主要为黄绵土。黄绵土是由黄土母质经直接耕种而形成的一种幼年土壤。因土体疏松、软绵，土色浅淡，故名。实质为土质初育土。其主要特征是剖面发育不明显，仅有A层及C层，且二者之间无明显界限；土壤侵蚀严重，广泛分布于中国黄土高原水土流失较严重的地区。项目土壤类型见附图</w:t>
            </w:r>
            <w:r>
              <w:rPr>
                <w:bCs/>
                <w:sz w:val="24"/>
                <w:szCs w:val="21"/>
              </w:rPr>
              <w:t>。</w:t>
            </w:r>
          </w:p>
          <w:p>
            <w:pPr>
              <w:autoSpaceDE w:val="0"/>
              <w:autoSpaceDN w:val="0"/>
              <w:spacing w:before="240" w:after="60"/>
              <w:jc w:val="left"/>
              <w:rPr>
                <w:rFonts w:eastAsia="黑体"/>
                <w:kern w:val="0"/>
                <w:sz w:val="24"/>
              </w:rPr>
            </w:pPr>
            <w:r>
              <w:rPr>
                <w:rFonts w:eastAsia="黑体"/>
                <w:kern w:val="0"/>
                <w:sz w:val="24"/>
              </w:rPr>
              <w:t>4、环境空气质量现状</w:t>
            </w:r>
          </w:p>
          <w:p>
            <w:pPr>
              <w:ind w:firstLine="510" w:firstLineChars="200"/>
            </w:pPr>
            <w:r>
              <w:rPr>
                <w:kern w:val="0"/>
                <w:sz w:val="24"/>
              </w:rPr>
              <w:t>本项目位于固原市彭阳县，所在环境空气质量执行《环境空气质量标准》(GB3095-2012）及其修改单中二级标准，本次环境空气质量现状中六项基本大气污染因子SO</w:t>
            </w:r>
            <w:r>
              <w:rPr>
                <w:kern w:val="0"/>
                <w:sz w:val="24"/>
                <w:vertAlign w:val="subscript"/>
              </w:rPr>
              <w:t>2</w:t>
            </w:r>
            <w:r>
              <w:rPr>
                <w:kern w:val="0"/>
                <w:sz w:val="24"/>
              </w:rPr>
              <w:t>、NO</w:t>
            </w:r>
            <w:r>
              <w:rPr>
                <w:kern w:val="0"/>
                <w:sz w:val="24"/>
                <w:vertAlign w:val="subscript"/>
              </w:rPr>
              <w:t>2</w:t>
            </w:r>
            <w:r>
              <w:rPr>
                <w:kern w:val="0"/>
                <w:sz w:val="24"/>
              </w:rPr>
              <w:t>、PM</w:t>
            </w:r>
            <w:r>
              <w:rPr>
                <w:kern w:val="0"/>
                <w:sz w:val="24"/>
                <w:vertAlign w:val="subscript"/>
              </w:rPr>
              <w:t>10</w:t>
            </w:r>
            <w:r>
              <w:rPr>
                <w:kern w:val="0"/>
                <w:sz w:val="24"/>
              </w:rPr>
              <w:t>、PM</w:t>
            </w:r>
            <w:r>
              <w:rPr>
                <w:kern w:val="0"/>
                <w:sz w:val="24"/>
                <w:vertAlign w:val="subscript"/>
              </w:rPr>
              <w:t>2.5</w:t>
            </w:r>
            <w:r>
              <w:rPr>
                <w:kern w:val="0"/>
                <w:sz w:val="24"/>
              </w:rPr>
              <w:t>、O</w:t>
            </w:r>
            <w:r>
              <w:rPr>
                <w:kern w:val="0"/>
                <w:sz w:val="24"/>
                <w:vertAlign w:val="subscript"/>
              </w:rPr>
              <w:t>3</w:t>
            </w:r>
            <w:r>
              <w:rPr>
                <w:kern w:val="0"/>
                <w:sz w:val="24"/>
              </w:rPr>
              <w:t>、CO引用</w:t>
            </w:r>
            <w:r>
              <w:rPr>
                <w:sz w:val="24"/>
              </w:rPr>
              <w:t>《2023年宁夏生态环境质量报告》中彭阳县</w:t>
            </w:r>
            <w:r>
              <w:rPr>
                <w:kern w:val="0"/>
                <w:sz w:val="24"/>
              </w:rPr>
              <w:t>的监测数据，作为本次区域达标判定依据，评价基准年为2023年，具体区域环境空气质量见下表。</w:t>
            </w:r>
          </w:p>
          <w:p>
            <w:pPr>
              <w:adjustRightInd w:val="0"/>
              <w:snapToGrid w:val="0"/>
              <w:jc w:val="center"/>
              <w:rPr>
                <w:rFonts w:eastAsia="黑体"/>
                <w:sz w:val="24"/>
              </w:rPr>
            </w:pPr>
            <w:r>
              <w:rPr>
                <w:rFonts w:eastAsia="黑体"/>
                <w:sz w:val="24"/>
              </w:rPr>
              <w:t>表3-3  彭阳县空气质量现状评价表（2023年）</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460"/>
              <w:gridCol w:w="1229"/>
              <w:gridCol w:w="1124"/>
              <w:gridCol w:w="989"/>
              <w:gridCol w:w="10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noWrap/>
                  <w:vAlign w:val="center"/>
                </w:tcPr>
                <w:p>
                  <w:pPr>
                    <w:widowControl/>
                    <w:adjustRightInd w:val="0"/>
                    <w:snapToGrid w:val="0"/>
                    <w:jc w:val="center"/>
                    <w:rPr>
                      <w:b/>
                      <w:szCs w:val="21"/>
                    </w:rPr>
                  </w:pPr>
                  <w:r>
                    <w:rPr>
                      <w:b/>
                      <w:szCs w:val="21"/>
                    </w:rPr>
                    <w:t>污染物</w:t>
                  </w:r>
                </w:p>
              </w:tc>
              <w:tc>
                <w:tcPr>
                  <w:tcW w:w="1479" w:type="pct"/>
                  <w:noWrap/>
                  <w:vAlign w:val="center"/>
                </w:tcPr>
                <w:p>
                  <w:pPr>
                    <w:widowControl/>
                    <w:adjustRightInd w:val="0"/>
                    <w:snapToGrid w:val="0"/>
                    <w:jc w:val="center"/>
                    <w:rPr>
                      <w:b/>
                      <w:szCs w:val="21"/>
                    </w:rPr>
                  </w:pPr>
                  <w:r>
                    <w:rPr>
                      <w:b/>
                      <w:szCs w:val="21"/>
                    </w:rPr>
                    <w:t>年评价指标</w:t>
                  </w:r>
                </w:p>
              </w:tc>
              <w:tc>
                <w:tcPr>
                  <w:tcW w:w="739" w:type="pct"/>
                  <w:noWrap/>
                  <w:vAlign w:val="center"/>
                </w:tcPr>
                <w:p>
                  <w:pPr>
                    <w:widowControl/>
                    <w:adjustRightInd w:val="0"/>
                    <w:snapToGrid w:val="0"/>
                    <w:jc w:val="center"/>
                    <w:rPr>
                      <w:b/>
                      <w:szCs w:val="21"/>
                    </w:rPr>
                  </w:pPr>
                  <w:r>
                    <w:rPr>
                      <w:b/>
                      <w:szCs w:val="21"/>
                    </w:rPr>
                    <w:t>现状浓度μg/m</w:t>
                  </w:r>
                  <w:r>
                    <w:rPr>
                      <w:b/>
                      <w:szCs w:val="21"/>
                      <w:vertAlign w:val="superscript"/>
                    </w:rPr>
                    <w:t>3</w:t>
                  </w:r>
                </w:p>
              </w:tc>
              <w:tc>
                <w:tcPr>
                  <w:tcW w:w="676" w:type="pct"/>
                  <w:noWrap/>
                  <w:vAlign w:val="center"/>
                </w:tcPr>
                <w:p>
                  <w:pPr>
                    <w:widowControl/>
                    <w:adjustRightInd w:val="0"/>
                    <w:snapToGrid w:val="0"/>
                    <w:jc w:val="center"/>
                    <w:rPr>
                      <w:b/>
                      <w:szCs w:val="21"/>
                    </w:rPr>
                  </w:pPr>
                  <w:r>
                    <w:rPr>
                      <w:b/>
                      <w:szCs w:val="21"/>
                    </w:rPr>
                    <w:t>标准值μg/m</w:t>
                  </w:r>
                  <w:r>
                    <w:rPr>
                      <w:b/>
                      <w:szCs w:val="21"/>
                      <w:vertAlign w:val="superscript"/>
                    </w:rPr>
                    <w:t>3</w:t>
                  </w:r>
                </w:p>
              </w:tc>
              <w:tc>
                <w:tcPr>
                  <w:tcW w:w="595" w:type="pct"/>
                  <w:noWrap/>
                  <w:vAlign w:val="center"/>
                </w:tcPr>
                <w:p>
                  <w:pPr>
                    <w:widowControl/>
                    <w:adjustRightInd w:val="0"/>
                    <w:snapToGrid w:val="0"/>
                    <w:jc w:val="center"/>
                    <w:rPr>
                      <w:b/>
                      <w:szCs w:val="21"/>
                    </w:rPr>
                  </w:pPr>
                  <w:r>
                    <w:rPr>
                      <w:b/>
                      <w:szCs w:val="21"/>
                    </w:rPr>
                    <w:t>占标率%</w:t>
                  </w:r>
                </w:p>
              </w:tc>
              <w:tc>
                <w:tcPr>
                  <w:tcW w:w="655" w:type="pct"/>
                  <w:noWrap/>
                  <w:vAlign w:val="center"/>
                </w:tcPr>
                <w:p>
                  <w:pPr>
                    <w:widowControl/>
                    <w:adjustRightInd w:val="0"/>
                    <w:snapToGrid w:val="0"/>
                    <w:jc w:val="center"/>
                    <w:rPr>
                      <w:b/>
                      <w:szCs w:val="21"/>
                    </w:rPr>
                  </w:pPr>
                  <w:r>
                    <w:rPr>
                      <w:b/>
                      <w:szCs w:val="21"/>
                    </w:rPr>
                    <w:t>达标</w:t>
                  </w:r>
                </w:p>
                <w:p>
                  <w:pPr>
                    <w:widowControl/>
                    <w:adjustRightInd w:val="0"/>
                    <w:snapToGrid w:val="0"/>
                    <w:jc w:val="center"/>
                    <w:rPr>
                      <w:b/>
                      <w:szCs w:val="21"/>
                    </w:rPr>
                  </w:pPr>
                  <w:r>
                    <w:rPr>
                      <w:b/>
                      <w:szCs w:val="21"/>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noWrap/>
                  <w:vAlign w:val="center"/>
                </w:tcPr>
                <w:p>
                  <w:pPr>
                    <w:widowControl/>
                    <w:adjustRightInd w:val="0"/>
                    <w:snapToGrid w:val="0"/>
                    <w:jc w:val="center"/>
                    <w:rPr>
                      <w:szCs w:val="21"/>
                    </w:rPr>
                  </w:pPr>
                  <w:r>
                    <w:rPr>
                      <w:szCs w:val="21"/>
                    </w:rPr>
                    <w:t>SO</w:t>
                  </w:r>
                  <w:r>
                    <w:rPr>
                      <w:szCs w:val="21"/>
                      <w:vertAlign w:val="subscript"/>
                    </w:rPr>
                    <w:t>2</w:t>
                  </w:r>
                </w:p>
              </w:tc>
              <w:tc>
                <w:tcPr>
                  <w:tcW w:w="1479" w:type="pct"/>
                  <w:noWrap/>
                  <w:vAlign w:val="center"/>
                </w:tcPr>
                <w:p>
                  <w:pPr>
                    <w:widowControl/>
                    <w:adjustRightInd w:val="0"/>
                    <w:snapToGrid w:val="0"/>
                    <w:jc w:val="center"/>
                    <w:rPr>
                      <w:szCs w:val="21"/>
                    </w:rPr>
                  </w:pPr>
                  <w:r>
                    <w:rPr>
                      <w:szCs w:val="21"/>
                    </w:rPr>
                    <w:t>年平均质量浓度</w:t>
                  </w:r>
                </w:p>
              </w:tc>
              <w:tc>
                <w:tcPr>
                  <w:tcW w:w="739" w:type="pct"/>
                  <w:noWrap/>
                  <w:vAlign w:val="center"/>
                </w:tcPr>
                <w:p>
                  <w:pPr>
                    <w:widowControl/>
                    <w:adjustRightInd w:val="0"/>
                    <w:snapToGrid w:val="0"/>
                    <w:jc w:val="center"/>
                    <w:rPr>
                      <w:szCs w:val="21"/>
                    </w:rPr>
                  </w:pPr>
                  <w:r>
                    <w:rPr>
                      <w:szCs w:val="21"/>
                    </w:rPr>
                    <w:t>5</w:t>
                  </w:r>
                </w:p>
              </w:tc>
              <w:tc>
                <w:tcPr>
                  <w:tcW w:w="676" w:type="pct"/>
                  <w:noWrap/>
                  <w:vAlign w:val="center"/>
                </w:tcPr>
                <w:p>
                  <w:pPr>
                    <w:widowControl/>
                    <w:adjustRightInd w:val="0"/>
                    <w:snapToGrid w:val="0"/>
                    <w:jc w:val="center"/>
                    <w:rPr>
                      <w:szCs w:val="21"/>
                    </w:rPr>
                  </w:pPr>
                  <w:r>
                    <w:rPr>
                      <w:szCs w:val="21"/>
                    </w:rPr>
                    <w:t>60</w:t>
                  </w:r>
                </w:p>
              </w:tc>
              <w:tc>
                <w:tcPr>
                  <w:tcW w:w="595" w:type="pct"/>
                  <w:noWrap/>
                  <w:vAlign w:val="center"/>
                </w:tcPr>
                <w:p>
                  <w:pPr>
                    <w:widowControl/>
                    <w:adjustRightInd w:val="0"/>
                    <w:snapToGrid w:val="0"/>
                    <w:jc w:val="center"/>
                    <w:rPr>
                      <w:szCs w:val="21"/>
                    </w:rPr>
                  </w:pPr>
                  <w:r>
                    <w:rPr>
                      <w:szCs w:val="21"/>
                    </w:rPr>
                    <w:t>8.3</w:t>
                  </w:r>
                </w:p>
              </w:tc>
              <w:tc>
                <w:tcPr>
                  <w:tcW w:w="655" w:type="pct"/>
                  <w:noWrap/>
                  <w:vAlign w:val="center"/>
                </w:tcPr>
                <w:p>
                  <w:pPr>
                    <w:widowControl/>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noWrap/>
                  <w:vAlign w:val="center"/>
                </w:tcPr>
                <w:p>
                  <w:pPr>
                    <w:widowControl/>
                    <w:adjustRightInd w:val="0"/>
                    <w:snapToGrid w:val="0"/>
                    <w:jc w:val="center"/>
                    <w:rPr>
                      <w:szCs w:val="21"/>
                    </w:rPr>
                  </w:pPr>
                  <w:r>
                    <w:rPr>
                      <w:szCs w:val="21"/>
                    </w:rPr>
                    <w:t>NO</w:t>
                  </w:r>
                  <w:r>
                    <w:rPr>
                      <w:szCs w:val="21"/>
                      <w:vertAlign w:val="subscript"/>
                    </w:rPr>
                    <w:t>2</w:t>
                  </w:r>
                </w:p>
              </w:tc>
              <w:tc>
                <w:tcPr>
                  <w:tcW w:w="1479" w:type="pct"/>
                  <w:noWrap/>
                  <w:vAlign w:val="center"/>
                </w:tcPr>
                <w:p>
                  <w:pPr>
                    <w:widowControl/>
                    <w:adjustRightInd w:val="0"/>
                    <w:snapToGrid w:val="0"/>
                    <w:jc w:val="center"/>
                    <w:rPr>
                      <w:szCs w:val="21"/>
                    </w:rPr>
                  </w:pPr>
                  <w:r>
                    <w:rPr>
                      <w:szCs w:val="21"/>
                    </w:rPr>
                    <w:t>年平均质量浓度</w:t>
                  </w:r>
                </w:p>
              </w:tc>
              <w:tc>
                <w:tcPr>
                  <w:tcW w:w="739" w:type="pct"/>
                  <w:noWrap/>
                  <w:vAlign w:val="center"/>
                </w:tcPr>
                <w:p>
                  <w:pPr>
                    <w:widowControl/>
                    <w:adjustRightInd w:val="0"/>
                    <w:snapToGrid w:val="0"/>
                    <w:jc w:val="center"/>
                    <w:rPr>
                      <w:szCs w:val="21"/>
                    </w:rPr>
                  </w:pPr>
                  <w:r>
                    <w:rPr>
                      <w:szCs w:val="21"/>
                    </w:rPr>
                    <w:t>12</w:t>
                  </w:r>
                </w:p>
              </w:tc>
              <w:tc>
                <w:tcPr>
                  <w:tcW w:w="676" w:type="pct"/>
                  <w:noWrap/>
                  <w:vAlign w:val="center"/>
                </w:tcPr>
                <w:p>
                  <w:pPr>
                    <w:widowControl/>
                    <w:adjustRightInd w:val="0"/>
                    <w:snapToGrid w:val="0"/>
                    <w:jc w:val="center"/>
                    <w:rPr>
                      <w:szCs w:val="21"/>
                    </w:rPr>
                  </w:pPr>
                  <w:r>
                    <w:rPr>
                      <w:szCs w:val="21"/>
                    </w:rPr>
                    <w:t>40</w:t>
                  </w:r>
                </w:p>
              </w:tc>
              <w:tc>
                <w:tcPr>
                  <w:tcW w:w="595" w:type="pct"/>
                  <w:noWrap/>
                  <w:vAlign w:val="center"/>
                </w:tcPr>
                <w:p>
                  <w:pPr>
                    <w:widowControl/>
                    <w:adjustRightInd w:val="0"/>
                    <w:snapToGrid w:val="0"/>
                    <w:jc w:val="center"/>
                    <w:rPr>
                      <w:szCs w:val="21"/>
                    </w:rPr>
                  </w:pPr>
                  <w:r>
                    <w:rPr>
                      <w:szCs w:val="21"/>
                    </w:rPr>
                    <w:t>30</w:t>
                  </w:r>
                </w:p>
              </w:tc>
              <w:tc>
                <w:tcPr>
                  <w:tcW w:w="655" w:type="pct"/>
                  <w:noWrap/>
                  <w:vAlign w:val="center"/>
                </w:tcPr>
                <w:p>
                  <w:pPr>
                    <w:widowControl/>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noWrap/>
                  <w:vAlign w:val="center"/>
                </w:tcPr>
                <w:p>
                  <w:pPr>
                    <w:widowControl/>
                    <w:adjustRightInd w:val="0"/>
                    <w:snapToGrid w:val="0"/>
                    <w:jc w:val="center"/>
                    <w:rPr>
                      <w:szCs w:val="21"/>
                    </w:rPr>
                  </w:pPr>
                  <w:r>
                    <w:rPr>
                      <w:szCs w:val="21"/>
                    </w:rPr>
                    <w:t>CO(mg/m</w:t>
                  </w:r>
                  <w:r>
                    <w:rPr>
                      <w:szCs w:val="21"/>
                      <w:vertAlign w:val="superscript"/>
                    </w:rPr>
                    <w:t>3)</w:t>
                  </w:r>
                </w:p>
              </w:tc>
              <w:tc>
                <w:tcPr>
                  <w:tcW w:w="1479" w:type="pct"/>
                  <w:noWrap/>
                  <w:vAlign w:val="center"/>
                </w:tcPr>
                <w:p>
                  <w:pPr>
                    <w:widowControl/>
                    <w:adjustRightInd w:val="0"/>
                    <w:snapToGrid w:val="0"/>
                    <w:jc w:val="center"/>
                    <w:rPr>
                      <w:szCs w:val="21"/>
                    </w:rPr>
                  </w:pPr>
                  <w:r>
                    <w:rPr>
                      <w:szCs w:val="21"/>
                    </w:rPr>
                    <w:t>24小时平均</w:t>
                  </w:r>
                </w:p>
              </w:tc>
              <w:tc>
                <w:tcPr>
                  <w:tcW w:w="739" w:type="pct"/>
                  <w:noWrap/>
                  <w:vAlign w:val="center"/>
                </w:tcPr>
                <w:p>
                  <w:pPr>
                    <w:widowControl/>
                    <w:adjustRightInd w:val="0"/>
                    <w:snapToGrid w:val="0"/>
                    <w:jc w:val="center"/>
                    <w:rPr>
                      <w:szCs w:val="21"/>
                    </w:rPr>
                  </w:pPr>
                  <w:r>
                    <w:rPr>
                      <w:szCs w:val="21"/>
                    </w:rPr>
                    <w:t>0.8</w:t>
                  </w:r>
                </w:p>
              </w:tc>
              <w:tc>
                <w:tcPr>
                  <w:tcW w:w="676" w:type="pct"/>
                  <w:noWrap/>
                  <w:vAlign w:val="center"/>
                </w:tcPr>
                <w:p>
                  <w:pPr>
                    <w:widowControl/>
                    <w:adjustRightInd w:val="0"/>
                    <w:snapToGrid w:val="0"/>
                    <w:jc w:val="center"/>
                    <w:rPr>
                      <w:szCs w:val="21"/>
                    </w:rPr>
                  </w:pPr>
                  <w:r>
                    <w:rPr>
                      <w:szCs w:val="21"/>
                    </w:rPr>
                    <w:t>4</w:t>
                  </w:r>
                </w:p>
              </w:tc>
              <w:tc>
                <w:tcPr>
                  <w:tcW w:w="595" w:type="pct"/>
                  <w:noWrap/>
                  <w:vAlign w:val="center"/>
                </w:tcPr>
                <w:p>
                  <w:pPr>
                    <w:widowControl/>
                    <w:adjustRightInd w:val="0"/>
                    <w:snapToGrid w:val="0"/>
                    <w:jc w:val="center"/>
                    <w:rPr>
                      <w:szCs w:val="21"/>
                    </w:rPr>
                  </w:pPr>
                  <w:r>
                    <w:rPr>
                      <w:szCs w:val="21"/>
                    </w:rPr>
                    <w:t>20</w:t>
                  </w:r>
                </w:p>
              </w:tc>
              <w:tc>
                <w:tcPr>
                  <w:tcW w:w="655" w:type="pct"/>
                  <w:noWrap/>
                  <w:vAlign w:val="center"/>
                </w:tcPr>
                <w:p>
                  <w:pPr>
                    <w:widowControl/>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noWrap/>
                  <w:vAlign w:val="center"/>
                </w:tcPr>
                <w:p>
                  <w:pPr>
                    <w:widowControl/>
                    <w:adjustRightInd w:val="0"/>
                    <w:snapToGrid w:val="0"/>
                    <w:jc w:val="center"/>
                    <w:rPr>
                      <w:szCs w:val="21"/>
                    </w:rPr>
                  </w:pPr>
                  <w:r>
                    <w:rPr>
                      <w:szCs w:val="21"/>
                    </w:rPr>
                    <w:t>O</w:t>
                  </w:r>
                  <w:r>
                    <w:rPr>
                      <w:szCs w:val="21"/>
                      <w:vertAlign w:val="subscript"/>
                    </w:rPr>
                    <w:t>3</w:t>
                  </w:r>
                </w:p>
              </w:tc>
              <w:tc>
                <w:tcPr>
                  <w:tcW w:w="1479" w:type="pct"/>
                  <w:noWrap/>
                  <w:vAlign w:val="center"/>
                </w:tcPr>
                <w:p>
                  <w:pPr>
                    <w:widowControl/>
                    <w:adjustRightInd w:val="0"/>
                    <w:snapToGrid w:val="0"/>
                    <w:jc w:val="center"/>
                    <w:rPr>
                      <w:szCs w:val="21"/>
                    </w:rPr>
                  </w:pPr>
                  <w:r>
                    <w:rPr>
                      <w:szCs w:val="21"/>
                    </w:rPr>
                    <w:t>日最大8h滑动平均值的第90百分位数</w:t>
                  </w:r>
                </w:p>
              </w:tc>
              <w:tc>
                <w:tcPr>
                  <w:tcW w:w="739" w:type="pct"/>
                  <w:noWrap/>
                  <w:vAlign w:val="center"/>
                </w:tcPr>
                <w:p>
                  <w:pPr>
                    <w:widowControl/>
                    <w:adjustRightInd w:val="0"/>
                    <w:snapToGrid w:val="0"/>
                    <w:jc w:val="center"/>
                    <w:rPr>
                      <w:szCs w:val="21"/>
                    </w:rPr>
                  </w:pPr>
                  <w:r>
                    <w:rPr>
                      <w:szCs w:val="21"/>
                    </w:rPr>
                    <w:t>144</w:t>
                  </w:r>
                </w:p>
              </w:tc>
              <w:tc>
                <w:tcPr>
                  <w:tcW w:w="676" w:type="pct"/>
                  <w:noWrap/>
                  <w:vAlign w:val="center"/>
                </w:tcPr>
                <w:p>
                  <w:pPr>
                    <w:widowControl/>
                    <w:adjustRightInd w:val="0"/>
                    <w:snapToGrid w:val="0"/>
                    <w:jc w:val="center"/>
                    <w:rPr>
                      <w:szCs w:val="21"/>
                    </w:rPr>
                  </w:pPr>
                  <w:r>
                    <w:rPr>
                      <w:szCs w:val="21"/>
                    </w:rPr>
                    <w:t>160</w:t>
                  </w:r>
                </w:p>
              </w:tc>
              <w:tc>
                <w:tcPr>
                  <w:tcW w:w="595" w:type="pct"/>
                  <w:noWrap/>
                  <w:vAlign w:val="center"/>
                </w:tcPr>
                <w:p>
                  <w:pPr>
                    <w:widowControl/>
                    <w:adjustRightInd w:val="0"/>
                    <w:snapToGrid w:val="0"/>
                    <w:jc w:val="center"/>
                    <w:rPr>
                      <w:szCs w:val="21"/>
                    </w:rPr>
                  </w:pPr>
                  <w:r>
                    <w:rPr>
                      <w:szCs w:val="21"/>
                    </w:rPr>
                    <w:t>90</w:t>
                  </w:r>
                </w:p>
              </w:tc>
              <w:tc>
                <w:tcPr>
                  <w:tcW w:w="655" w:type="pct"/>
                  <w:noWrap/>
                  <w:vAlign w:val="center"/>
                </w:tcPr>
                <w:p>
                  <w:pPr>
                    <w:widowControl/>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noWrap/>
                  <w:vAlign w:val="center"/>
                </w:tcPr>
                <w:p>
                  <w:pPr>
                    <w:widowControl/>
                    <w:adjustRightInd w:val="0"/>
                    <w:snapToGrid w:val="0"/>
                    <w:jc w:val="center"/>
                    <w:rPr>
                      <w:szCs w:val="21"/>
                    </w:rPr>
                  </w:pPr>
                  <w:r>
                    <w:rPr>
                      <w:szCs w:val="21"/>
                    </w:rPr>
                    <w:t>PM</w:t>
                  </w:r>
                  <w:r>
                    <w:rPr>
                      <w:szCs w:val="21"/>
                      <w:vertAlign w:val="subscript"/>
                    </w:rPr>
                    <w:t>10</w:t>
                  </w:r>
                </w:p>
              </w:tc>
              <w:tc>
                <w:tcPr>
                  <w:tcW w:w="1479" w:type="pct"/>
                  <w:noWrap/>
                  <w:vAlign w:val="center"/>
                </w:tcPr>
                <w:p>
                  <w:pPr>
                    <w:widowControl/>
                    <w:adjustRightInd w:val="0"/>
                    <w:snapToGrid w:val="0"/>
                    <w:jc w:val="center"/>
                    <w:rPr>
                      <w:szCs w:val="21"/>
                    </w:rPr>
                  </w:pPr>
                  <w:r>
                    <w:rPr>
                      <w:szCs w:val="21"/>
                    </w:rPr>
                    <w:t>年平均质量浓度</w:t>
                  </w:r>
                </w:p>
              </w:tc>
              <w:tc>
                <w:tcPr>
                  <w:tcW w:w="739" w:type="pct"/>
                  <w:noWrap/>
                  <w:vAlign w:val="center"/>
                </w:tcPr>
                <w:p>
                  <w:pPr>
                    <w:widowControl/>
                    <w:adjustRightInd w:val="0"/>
                    <w:snapToGrid w:val="0"/>
                    <w:jc w:val="center"/>
                    <w:rPr>
                      <w:szCs w:val="21"/>
                    </w:rPr>
                  </w:pPr>
                  <w:r>
                    <w:rPr>
                      <w:szCs w:val="21"/>
                    </w:rPr>
                    <w:t>69</w:t>
                  </w:r>
                </w:p>
              </w:tc>
              <w:tc>
                <w:tcPr>
                  <w:tcW w:w="676" w:type="pct"/>
                  <w:noWrap/>
                  <w:vAlign w:val="center"/>
                </w:tcPr>
                <w:p>
                  <w:pPr>
                    <w:widowControl/>
                    <w:adjustRightInd w:val="0"/>
                    <w:snapToGrid w:val="0"/>
                    <w:jc w:val="center"/>
                    <w:rPr>
                      <w:szCs w:val="21"/>
                    </w:rPr>
                  </w:pPr>
                  <w:r>
                    <w:rPr>
                      <w:szCs w:val="21"/>
                    </w:rPr>
                    <w:t>70</w:t>
                  </w:r>
                </w:p>
              </w:tc>
              <w:tc>
                <w:tcPr>
                  <w:tcW w:w="595" w:type="pct"/>
                  <w:noWrap/>
                  <w:vAlign w:val="center"/>
                </w:tcPr>
                <w:p>
                  <w:pPr>
                    <w:widowControl/>
                    <w:adjustRightInd w:val="0"/>
                    <w:snapToGrid w:val="0"/>
                    <w:jc w:val="center"/>
                    <w:rPr>
                      <w:szCs w:val="21"/>
                    </w:rPr>
                  </w:pPr>
                  <w:r>
                    <w:rPr>
                      <w:szCs w:val="21"/>
                    </w:rPr>
                    <w:t>98.5</w:t>
                  </w:r>
                </w:p>
              </w:tc>
              <w:tc>
                <w:tcPr>
                  <w:tcW w:w="655" w:type="pct"/>
                  <w:noWrap/>
                  <w:vAlign w:val="center"/>
                </w:tcPr>
                <w:p>
                  <w:pPr>
                    <w:widowControl/>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3" w:type="pct"/>
                  <w:noWrap/>
                  <w:vAlign w:val="center"/>
                </w:tcPr>
                <w:p>
                  <w:pPr>
                    <w:widowControl/>
                    <w:adjustRightInd w:val="0"/>
                    <w:snapToGrid w:val="0"/>
                    <w:jc w:val="center"/>
                    <w:rPr>
                      <w:szCs w:val="21"/>
                    </w:rPr>
                  </w:pPr>
                  <w:r>
                    <w:rPr>
                      <w:szCs w:val="21"/>
                    </w:rPr>
                    <w:t>PM</w:t>
                  </w:r>
                  <w:r>
                    <w:rPr>
                      <w:szCs w:val="21"/>
                      <w:vertAlign w:val="subscript"/>
                    </w:rPr>
                    <w:t>2.5</w:t>
                  </w:r>
                </w:p>
              </w:tc>
              <w:tc>
                <w:tcPr>
                  <w:tcW w:w="1479" w:type="pct"/>
                  <w:noWrap/>
                  <w:vAlign w:val="center"/>
                </w:tcPr>
                <w:p>
                  <w:pPr>
                    <w:widowControl/>
                    <w:adjustRightInd w:val="0"/>
                    <w:snapToGrid w:val="0"/>
                    <w:jc w:val="center"/>
                    <w:rPr>
                      <w:szCs w:val="21"/>
                    </w:rPr>
                  </w:pPr>
                  <w:r>
                    <w:rPr>
                      <w:szCs w:val="21"/>
                    </w:rPr>
                    <w:t>年平均质量浓度</w:t>
                  </w:r>
                </w:p>
              </w:tc>
              <w:tc>
                <w:tcPr>
                  <w:tcW w:w="739" w:type="pct"/>
                  <w:noWrap/>
                  <w:vAlign w:val="center"/>
                </w:tcPr>
                <w:p>
                  <w:pPr>
                    <w:widowControl/>
                    <w:adjustRightInd w:val="0"/>
                    <w:snapToGrid w:val="0"/>
                    <w:jc w:val="center"/>
                    <w:rPr>
                      <w:szCs w:val="21"/>
                    </w:rPr>
                  </w:pPr>
                  <w:r>
                    <w:rPr>
                      <w:szCs w:val="21"/>
                    </w:rPr>
                    <w:t>27</w:t>
                  </w:r>
                </w:p>
              </w:tc>
              <w:tc>
                <w:tcPr>
                  <w:tcW w:w="676" w:type="pct"/>
                  <w:noWrap/>
                  <w:vAlign w:val="center"/>
                </w:tcPr>
                <w:p>
                  <w:pPr>
                    <w:widowControl/>
                    <w:adjustRightInd w:val="0"/>
                    <w:snapToGrid w:val="0"/>
                    <w:jc w:val="center"/>
                    <w:rPr>
                      <w:szCs w:val="21"/>
                    </w:rPr>
                  </w:pPr>
                  <w:r>
                    <w:rPr>
                      <w:szCs w:val="21"/>
                    </w:rPr>
                    <w:t>35</w:t>
                  </w:r>
                </w:p>
              </w:tc>
              <w:tc>
                <w:tcPr>
                  <w:tcW w:w="595" w:type="pct"/>
                  <w:noWrap/>
                  <w:vAlign w:val="center"/>
                </w:tcPr>
                <w:p>
                  <w:pPr>
                    <w:widowControl/>
                    <w:adjustRightInd w:val="0"/>
                    <w:snapToGrid w:val="0"/>
                    <w:jc w:val="center"/>
                    <w:rPr>
                      <w:szCs w:val="21"/>
                    </w:rPr>
                  </w:pPr>
                  <w:r>
                    <w:rPr>
                      <w:szCs w:val="21"/>
                    </w:rPr>
                    <w:t>77.1</w:t>
                  </w:r>
                </w:p>
              </w:tc>
              <w:tc>
                <w:tcPr>
                  <w:tcW w:w="655" w:type="pct"/>
                  <w:noWrap/>
                  <w:vAlign w:val="center"/>
                </w:tcPr>
                <w:p>
                  <w:pPr>
                    <w:widowControl/>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ign w:val="center"/>
                </w:tcPr>
                <w:p>
                  <w:pPr>
                    <w:widowControl/>
                    <w:adjustRightInd w:val="0"/>
                    <w:snapToGrid w:val="0"/>
                    <w:rPr>
                      <w:szCs w:val="21"/>
                    </w:rPr>
                  </w:pPr>
                  <w:r>
                    <w:rPr>
                      <w:szCs w:val="21"/>
                    </w:rPr>
                    <w:t>备注：表中统计数据均为实况未扣除沙尘数据</w:t>
                  </w:r>
                </w:p>
              </w:tc>
            </w:tr>
          </w:tbl>
          <w:p>
            <w:pPr>
              <w:ind w:firstLine="510" w:firstLineChars="200"/>
              <w:rPr>
                <w:kern w:val="0"/>
                <w:sz w:val="24"/>
              </w:rPr>
            </w:pPr>
            <w:r>
              <w:rPr>
                <w:sz w:val="24"/>
              </w:rPr>
              <w:t>根据《2023年宁夏生态环境质量报告》，彭阳县2023年度SO</w:t>
            </w:r>
            <w:r>
              <w:rPr>
                <w:sz w:val="24"/>
                <w:vertAlign w:val="subscript"/>
              </w:rPr>
              <w:t>2</w:t>
            </w:r>
            <w:r>
              <w:rPr>
                <w:sz w:val="24"/>
              </w:rPr>
              <w:t>、NO</w:t>
            </w:r>
            <w:r>
              <w:rPr>
                <w:sz w:val="24"/>
                <w:vertAlign w:val="subscript"/>
              </w:rPr>
              <w:t>2</w:t>
            </w:r>
            <w:r>
              <w:rPr>
                <w:sz w:val="24"/>
              </w:rPr>
              <w:t>、PM</w:t>
            </w:r>
            <w:r>
              <w:rPr>
                <w:sz w:val="24"/>
                <w:vertAlign w:val="subscript"/>
              </w:rPr>
              <w:t>2.5</w:t>
            </w:r>
            <w:r>
              <w:rPr>
                <w:sz w:val="24"/>
              </w:rPr>
              <w:t>、PM</w:t>
            </w:r>
            <w:r>
              <w:rPr>
                <w:sz w:val="24"/>
                <w:vertAlign w:val="subscript"/>
              </w:rPr>
              <w:t>10</w:t>
            </w:r>
            <w:r>
              <w:rPr>
                <w:sz w:val="24"/>
              </w:rPr>
              <w:t>年均浓度、CO24h平均第95百分位数浓度、O</w:t>
            </w:r>
            <w:r>
              <w:rPr>
                <w:sz w:val="24"/>
                <w:vertAlign w:val="subscript"/>
              </w:rPr>
              <w:t>3</w:t>
            </w:r>
            <w:r>
              <w:rPr>
                <w:sz w:val="24"/>
              </w:rPr>
              <w:t>日最大8h滑动平均值第90百分位数浓度均达到《环境空气质量标准》（GB3095-2012）及修改单中二级标准，项目所处区域属于达标区。</w:t>
            </w:r>
          </w:p>
          <w:p>
            <w:pPr>
              <w:autoSpaceDE w:val="0"/>
              <w:autoSpaceDN w:val="0"/>
              <w:spacing w:before="240" w:after="60"/>
              <w:jc w:val="left"/>
              <w:rPr>
                <w:rFonts w:eastAsia="黑体"/>
                <w:kern w:val="0"/>
                <w:sz w:val="24"/>
              </w:rPr>
            </w:pPr>
            <w:r>
              <w:rPr>
                <w:rFonts w:eastAsia="黑体"/>
                <w:kern w:val="0"/>
                <w:sz w:val="24"/>
              </w:rPr>
              <w:t>5、地表水环境质量现状</w:t>
            </w:r>
          </w:p>
          <w:p>
            <w:pPr>
              <w:ind w:firstLine="510" w:firstLineChars="200"/>
              <w:rPr>
                <w:kern w:val="0"/>
                <w:sz w:val="24"/>
              </w:rPr>
            </w:pPr>
            <w:r>
              <w:rPr>
                <w:kern w:val="0"/>
                <w:sz w:val="24"/>
              </w:rPr>
              <w:t>水库水环境质量现状委托吴忠市科信环境检测有限公司于2025年3月20日—3月21日对雅石沟水库地表水现状进行检测。</w:t>
            </w:r>
          </w:p>
          <w:p>
            <w:pPr>
              <w:pStyle w:val="52"/>
              <w:adjustRightInd/>
              <w:snapToGrid/>
              <w:spacing w:beforeLines="0" w:afterLines="0" w:line="240" w:lineRule="auto"/>
              <w:ind w:firstLine="510" w:firstLineChars="200"/>
              <w:jc w:val="both"/>
              <w:rPr>
                <w:rFonts w:ascii="Times New Roman"/>
              </w:rPr>
            </w:pPr>
            <w:r>
              <w:rPr>
                <w:rFonts w:ascii="Times New Roman"/>
                <w:sz w:val="24"/>
              </w:rPr>
              <w:t>雅石沟水库是一座以防洪任务为主，兼顾灌溉的多功能中型水库，水质执行《地表水环境质量标准》（GB3838-2002）中Ⅲ类标准。从水质检测结果分析可知：化学需氧量、生化需氧量、总氮、总磷超标，分析主要原因为水库受农业面源影响；氟化物超标分析主要原因为区域氟化物本底值较高导本项目实施后，雅石沟水库目前的安全隐患得以消除，蓄水位恢复正常，通过采取上游绿化、定期清淤、去除水草、加强管理等措施的实施，水质将得到改善，项目的建设对水库水质、泥沙情势均有正效益。</w:t>
            </w:r>
          </w:p>
          <w:p>
            <w:pPr>
              <w:autoSpaceDE w:val="0"/>
              <w:autoSpaceDN w:val="0"/>
              <w:spacing w:before="240" w:after="60"/>
              <w:jc w:val="left"/>
              <w:rPr>
                <w:rFonts w:eastAsia="黑体"/>
                <w:kern w:val="0"/>
                <w:sz w:val="24"/>
              </w:rPr>
            </w:pPr>
            <w:r>
              <w:rPr>
                <w:rFonts w:eastAsia="黑体"/>
                <w:kern w:val="0"/>
                <w:sz w:val="24"/>
              </w:rPr>
              <w:t>6、声环境质量现状</w:t>
            </w:r>
          </w:p>
          <w:p>
            <w:pPr>
              <w:ind w:firstLine="510" w:firstLineChars="200"/>
              <w:rPr>
                <w:sz w:val="24"/>
              </w:rPr>
            </w:pPr>
            <w:r>
              <w:rPr>
                <w:sz w:val="24"/>
              </w:rPr>
              <w:t>根据《建设项目环境影响报告表编制技术指南（生态影响类）（试行）》中有关规定，无相关引用调查资料的，声环境质量现状监测参照《建设项目环境影响报告表编制技术指南（污染影响类）（试行）》的相关规定开展补充监测。本项目厂界外周边50m范围内不存在声环境保护目标，因此不进行声环境质量现状监测。</w:t>
            </w:r>
          </w:p>
          <w:p>
            <w:pPr>
              <w:autoSpaceDE w:val="0"/>
              <w:autoSpaceDN w:val="0"/>
              <w:spacing w:before="240" w:after="60"/>
              <w:jc w:val="left"/>
              <w:rPr>
                <w:rFonts w:eastAsia="黑体"/>
                <w:kern w:val="0"/>
                <w:sz w:val="24"/>
              </w:rPr>
            </w:pPr>
            <w:r>
              <w:rPr>
                <w:rFonts w:eastAsia="黑体"/>
                <w:kern w:val="0"/>
                <w:sz w:val="24"/>
              </w:rPr>
              <w:t>7、土壤环境质量现状</w:t>
            </w:r>
          </w:p>
          <w:p>
            <w:pPr>
              <w:pStyle w:val="90"/>
              <w:spacing w:line="240" w:lineRule="auto"/>
              <w:ind w:firstLine="510" w:firstLineChars="200"/>
              <w:rPr>
                <w:kern w:val="0"/>
                <w:sz w:val="24"/>
              </w:rPr>
            </w:pPr>
            <w:r>
              <w:rPr>
                <w:kern w:val="0"/>
                <w:sz w:val="24"/>
              </w:rPr>
              <w:t>根据《建设项目环境影响报告表编制技术指南(生态影响类)(试行)》中“开展专项评价的环境要素，应按照环境影响评价相关技术导则要求进行现状调查和评价；不开展专项评价的环境要素，引用与项目距离近的有效数据和调查资料，包括符合时限要求的规划环境影响评价监测数据和调查资料，国家、地方环境质量监测网数据或生态环境主管部门公开发布的生态环境质量数据等；无相关数据的，……，水、生态、土壤等其他环境要素参照环境影响评价相关技术导则开展补充监测和调查。”</w:t>
            </w:r>
          </w:p>
          <w:p>
            <w:pPr>
              <w:ind w:firstLine="510" w:firstLineChars="200"/>
              <w:rPr>
                <w:bCs/>
                <w:sz w:val="24"/>
              </w:rPr>
            </w:pPr>
            <w:r>
              <w:rPr>
                <w:kern w:val="0"/>
                <w:sz w:val="24"/>
                <w:szCs w:val="21"/>
              </w:rPr>
              <w:t>本项目属于水库除险加固工程，</w:t>
            </w:r>
            <w:r>
              <w:rPr>
                <w:kern w:val="0"/>
                <w:sz w:val="24"/>
              </w:rPr>
              <w:t>不涉及水库清淤工程</w:t>
            </w:r>
            <w:r>
              <w:rPr>
                <w:kern w:val="0"/>
                <w:sz w:val="24"/>
                <w:szCs w:val="21"/>
              </w:rPr>
              <w:t>，</w:t>
            </w:r>
            <w:r>
              <w:rPr>
                <w:sz w:val="24"/>
              </w:rPr>
              <w:t>根据《环境影响评价技术导则 土壤环境》（HJ964-2018）附录A，本项目属于其他行业，土壤环境影响评价类别为Ⅳ类，不开展土壤环境影响评价，因此不需要进行土壤环境质量现状监测</w:t>
            </w:r>
            <w:r>
              <w:rPr>
                <w:bCs/>
                <w:sz w:val="24"/>
              </w:rPr>
              <w:t>。</w:t>
            </w:r>
          </w:p>
          <w:p>
            <w:pPr>
              <w:autoSpaceDE w:val="0"/>
              <w:autoSpaceDN w:val="0"/>
              <w:spacing w:before="240" w:after="60"/>
              <w:jc w:val="left"/>
              <w:rPr>
                <w:rFonts w:eastAsia="黑体"/>
                <w:kern w:val="0"/>
                <w:sz w:val="24"/>
              </w:rPr>
            </w:pPr>
            <w:r>
              <w:rPr>
                <w:rFonts w:eastAsia="黑体"/>
                <w:kern w:val="0"/>
                <w:sz w:val="24"/>
              </w:rPr>
              <w:t>8、地下水环境质量现状</w:t>
            </w:r>
          </w:p>
          <w:p>
            <w:pPr>
              <w:ind w:firstLine="510" w:firstLineChars="200"/>
              <w:rPr>
                <w:bCs/>
                <w:sz w:val="24"/>
              </w:rPr>
            </w:pPr>
            <w:r>
              <w:rPr>
                <w:bCs/>
                <w:sz w:val="24"/>
              </w:rPr>
              <w:t>根据《建设项目环境影响报告表编制技术指南(生态影响类)(试行)》中要求“开展专项评价的环境要素，应按照环境影响评价相关技术导则要求进行现状调查和评价；不开展专项评价的环境要素，引用与项目距离近的有效数据和调查资料，包括符合时限要求的规划环境影响评价监测数据和调查资料，国家、地方环境质量监测网数据或生态环境主管部门公开发布的生态环境质量数据等；无相关数据的，……，水、生态、土壤等其他环境要素参照环境影响评价相关技术导则开展补充监测和调查。”</w:t>
            </w:r>
          </w:p>
          <w:p>
            <w:pPr>
              <w:ind w:firstLine="510" w:firstLineChars="200"/>
              <w:rPr>
                <w:bCs/>
                <w:sz w:val="24"/>
              </w:rPr>
            </w:pPr>
            <w:r>
              <w:rPr>
                <w:bCs/>
                <w:sz w:val="24"/>
              </w:rPr>
              <w:t>根据《环境影响评价技术导则 地下水环境》(HJ610-2016)中附录A，本项目属于“1水库——其他”，地下水环境影响评价类别为报告表Ⅳ类。因此，根据《环境影响评价技术导则 地下水环境》（HJ610-2016）中要求，Ⅳ类建设项目不需开展地下水环境影响评价，因此不需要进行地下水环境质量现状监测。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tcBorders>
              <w:tl2br w:val="nil"/>
              <w:tr2bl w:val="nil"/>
            </w:tcBorders>
            <w:noWrap/>
            <w:vAlign w:val="center"/>
          </w:tcPr>
          <w:p>
            <w:pPr>
              <w:adjustRightInd w:val="0"/>
              <w:snapToGrid w:val="0"/>
              <w:jc w:val="center"/>
              <w:rPr>
                <w:kern w:val="0"/>
                <w:szCs w:val="21"/>
              </w:rPr>
            </w:pPr>
            <w:r>
              <w:rPr>
                <w:b/>
                <w:sz w:val="24"/>
              </w:rPr>
              <w:t>与项目有关的原有环境污染和生态破坏问题</w:t>
            </w:r>
          </w:p>
        </w:tc>
        <w:tc>
          <w:tcPr>
            <w:tcW w:w="8561" w:type="dxa"/>
            <w:tcBorders>
              <w:tl2br w:val="nil"/>
              <w:tr2bl w:val="nil"/>
            </w:tcBorders>
            <w:noWrap/>
            <w:vAlign w:val="center"/>
          </w:tcPr>
          <w:p>
            <w:pPr>
              <w:ind w:firstLine="510" w:firstLineChars="200"/>
              <w:rPr>
                <w:sz w:val="24"/>
              </w:rPr>
            </w:pPr>
            <w:r>
              <w:rPr>
                <w:sz w:val="24"/>
              </w:rPr>
              <w:t>雅石沟水库于1979年12月建成，初建时大坝高40m，坝顶高程 1627.50m，总库容632.4万m³。《中华人民共和国环境影响评价法》自2003年9月1日起施行。即雅石沟水库建设前《环评法》还未实施，现状水库无环评手续。</w:t>
            </w:r>
          </w:p>
          <w:p>
            <w:pPr>
              <w:ind w:firstLine="510" w:firstLineChars="200"/>
              <w:rPr>
                <w:sz w:val="24"/>
              </w:rPr>
            </w:pPr>
            <w:r>
              <w:rPr>
                <w:sz w:val="24"/>
              </w:rPr>
              <w:t>2007年11月雅石沟水库鉴定为“三类坝”，并于2008年7月—2009年11月进行除险加固。除险加固后雅石沟水库总库容1339.6万m³，加坝增容507万m³，淤积库容1101.2万m³（至设计水平年），防洪库容114.7万m³，调洪库容238.4万m³。2008年除险加固设计时，工程按小（1）型水库设计，工程等别为Ⅳ等，主要建筑物按4级设计，次要建筑物及临时工程按5级设计，项目建设未进行环境影响评价</w:t>
            </w:r>
            <w:r>
              <w:rPr>
                <w:rFonts w:hint="eastAsia"/>
                <w:sz w:val="24"/>
              </w:rPr>
              <w:t>。</w:t>
            </w:r>
          </w:p>
          <w:p>
            <w:pPr>
              <w:ind w:firstLine="510" w:firstLineChars="200"/>
              <w:rPr>
                <w:kern w:val="0"/>
                <w:sz w:val="24"/>
                <w:szCs w:val="21"/>
              </w:rPr>
            </w:pPr>
            <w:r>
              <w:rPr>
                <w:kern w:val="0"/>
                <w:sz w:val="24"/>
                <w:szCs w:val="21"/>
              </w:rPr>
              <w:t>雅石沟水库地处彭阳县东南部的草庙乡崾岘村，位于泾河一级支流安家川河上游雅石沟上，地理位置东经106°43′，北纬36°05′，距彭阳县城约35km，坝址以上集水面积44km</w:t>
            </w:r>
            <w:r>
              <w:rPr>
                <w:kern w:val="0"/>
                <w:sz w:val="24"/>
                <w:szCs w:val="21"/>
                <w:vertAlign w:val="superscript"/>
              </w:rPr>
              <w:t>2</w:t>
            </w:r>
            <w:r>
              <w:rPr>
                <w:kern w:val="0"/>
                <w:sz w:val="24"/>
                <w:szCs w:val="21"/>
              </w:rPr>
              <w:t>，是一座以防洪为主、兼顾灌溉的水库。水库设计灌溉面积5505亩。水库保护范围为下游3个村等沿途450人、0.2万亩农田的安全。</w:t>
            </w:r>
          </w:p>
          <w:p>
            <w:pPr>
              <w:pStyle w:val="46"/>
              <w:ind w:firstLine="510" w:firstLineChars="200"/>
              <w:rPr>
                <w:sz w:val="24"/>
              </w:rPr>
            </w:pPr>
            <w:r>
              <w:rPr>
                <w:sz w:val="24"/>
              </w:rPr>
              <w:t>（1）雅石沟水库工程规模为中型，按中型水库复核计算，下游坝坡抗滑稳定安全系数、抗震稳定安全系数等不满足规范要求。</w:t>
            </w:r>
          </w:p>
          <w:p>
            <w:pPr>
              <w:pStyle w:val="46"/>
              <w:ind w:firstLine="510" w:firstLineChars="200"/>
              <w:rPr>
                <w:sz w:val="24"/>
              </w:rPr>
            </w:pPr>
            <w:r>
              <w:rPr>
                <w:sz w:val="24"/>
              </w:rPr>
              <w:t>（2）坝顶道路为土路，凹凸不平，标准较低。</w:t>
            </w:r>
          </w:p>
          <w:p>
            <w:pPr>
              <w:pStyle w:val="46"/>
              <w:ind w:firstLine="510" w:firstLineChars="200"/>
              <w:rPr>
                <w:sz w:val="24"/>
              </w:rPr>
            </w:pPr>
            <w:r>
              <w:rPr>
                <w:sz w:val="24"/>
              </w:rPr>
              <w:t>（3）溢洪道进口局部塌陷，下游出口泄槽有裂缝；输水洞洞身存在多处裂缝，底部存在多处露筋、钢筋锈蚀。</w:t>
            </w:r>
          </w:p>
          <w:p>
            <w:pPr>
              <w:ind w:firstLine="510" w:firstLineChars="200"/>
              <w:rPr>
                <w:kern w:val="0"/>
                <w:sz w:val="24"/>
                <w:szCs w:val="21"/>
              </w:rPr>
            </w:pPr>
            <w:r>
              <w:rPr>
                <w:sz w:val="24"/>
              </w:rPr>
              <w:t>（4）下游坝坡排水边沟受雨水冲刷，局部有破损，塌坑。</w:t>
            </w:r>
          </w:p>
          <w:tbl>
            <w:tblPr>
              <w:tblStyle w:val="29"/>
              <w:tblW w:w="8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2"/>
              <w:gridCol w:w="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2" w:type="dxa"/>
                  <w:tcBorders>
                    <w:top w:val="nil"/>
                    <w:left w:val="nil"/>
                    <w:bottom w:val="nil"/>
                    <w:right w:val="nil"/>
                  </w:tcBorders>
                  <w:noWrap/>
                </w:tcPr>
                <w:p>
                  <w:pPr>
                    <w:adjustRightInd w:val="0"/>
                    <w:snapToGrid w:val="0"/>
                    <w:rPr>
                      <w:b/>
                      <w:bCs/>
                      <w:kern w:val="0"/>
                      <w:sz w:val="24"/>
                    </w:rPr>
                  </w:pPr>
                  <w:r>
                    <w:rPr>
                      <w:b/>
                      <w:bCs/>
                      <w:kern w:val="0"/>
                      <w:sz w:val="24"/>
                    </w:rPr>
                    <w:drawing>
                      <wp:inline distT="0" distB="0" distL="114300" distR="114300">
                        <wp:extent cx="2562225" cy="2499360"/>
                        <wp:effectExtent l="0" t="0" r="9525" b="15240"/>
                        <wp:docPr id="27" name="图片 125" descr="bc2c8f430ccf8592fe6bc700ac5a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5" descr="bc2c8f430ccf8592fe6bc700ac5a2e9"/>
                                <pic:cNvPicPr>
                                  <a:picLocks noChangeAspect="1"/>
                                </pic:cNvPicPr>
                              </pic:nvPicPr>
                              <pic:blipFill>
                                <a:blip r:embed="rId35" cstate="print"/>
                                <a:stretch>
                                  <a:fillRect/>
                                </a:stretch>
                              </pic:blipFill>
                              <pic:spPr>
                                <a:xfrm>
                                  <a:off x="0" y="0"/>
                                  <a:ext cx="2562225" cy="2499360"/>
                                </a:xfrm>
                                <a:prstGeom prst="rect">
                                  <a:avLst/>
                                </a:prstGeom>
                                <a:noFill/>
                                <a:ln>
                                  <a:noFill/>
                                </a:ln>
                              </pic:spPr>
                            </pic:pic>
                          </a:graphicData>
                        </a:graphic>
                      </wp:inline>
                    </w:drawing>
                  </w:r>
                </w:p>
              </w:tc>
              <w:tc>
                <w:tcPr>
                  <w:tcW w:w="4173" w:type="dxa"/>
                  <w:tcBorders>
                    <w:top w:val="nil"/>
                    <w:left w:val="nil"/>
                    <w:bottom w:val="nil"/>
                    <w:right w:val="nil"/>
                  </w:tcBorders>
                  <w:noWrap/>
                </w:tcPr>
                <w:p>
                  <w:pPr>
                    <w:adjustRightInd w:val="0"/>
                    <w:snapToGrid w:val="0"/>
                    <w:rPr>
                      <w:b/>
                      <w:bCs/>
                      <w:kern w:val="0"/>
                      <w:sz w:val="24"/>
                    </w:rPr>
                  </w:pPr>
                  <w:r>
                    <w:rPr>
                      <w:b/>
                      <w:bCs/>
                      <w:kern w:val="0"/>
                      <w:sz w:val="24"/>
                    </w:rPr>
                    <w:drawing>
                      <wp:inline distT="0" distB="0" distL="114300" distR="114300">
                        <wp:extent cx="2607310" cy="2494280"/>
                        <wp:effectExtent l="0" t="0" r="2540" b="1270"/>
                        <wp:docPr id="28" name="图片 126" descr="12b48ee26216cb7e7349ecb53d3a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6" descr="12b48ee26216cb7e7349ecb53d3a59c"/>
                                <pic:cNvPicPr>
                                  <a:picLocks noChangeAspect="1"/>
                                </pic:cNvPicPr>
                              </pic:nvPicPr>
                              <pic:blipFill>
                                <a:blip r:embed="rId36" cstate="print"/>
                                <a:stretch>
                                  <a:fillRect/>
                                </a:stretch>
                              </pic:blipFill>
                              <pic:spPr>
                                <a:xfrm>
                                  <a:off x="0" y="0"/>
                                  <a:ext cx="2607310" cy="24942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tcBorders>
                    <w:top w:val="nil"/>
                    <w:left w:val="nil"/>
                    <w:bottom w:val="nil"/>
                    <w:right w:val="nil"/>
                  </w:tcBorders>
                  <w:noWrap/>
                </w:tcPr>
                <w:p>
                  <w:pPr>
                    <w:adjustRightInd w:val="0"/>
                    <w:snapToGrid w:val="0"/>
                    <w:jc w:val="center"/>
                    <w:rPr>
                      <w:rFonts w:eastAsia="黑体"/>
                      <w:kern w:val="0"/>
                    </w:rPr>
                  </w:pPr>
                  <w:r>
                    <w:rPr>
                      <w:rFonts w:eastAsia="黑体"/>
                    </w:rPr>
                    <w:t>坝顶道路</w:t>
                  </w:r>
                </w:p>
              </w:tc>
              <w:tc>
                <w:tcPr>
                  <w:tcW w:w="4173" w:type="dxa"/>
                  <w:tcBorders>
                    <w:top w:val="nil"/>
                    <w:left w:val="nil"/>
                    <w:bottom w:val="nil"/>
                    <w:right w:val="nil"/>
                  </w:tcBorders>
                  <w:noWrap/>
                </w:tcPr>
                <w:p>
                  <w:pPr>
                    <w:adjustRightInd w:val="0"/>
                    <w:snapToGrid w:val="0"/>
                    <w:jc w:val="center"/>
                    <w:rPr>
                      <w:rFonts w:eastAsia="黑体"/>
                    </w:rPr>
                  </w:pPr>
                  <w:r>
                    <w:rPr>
                      <w:rFonts w:eastAsia="黑体"/>
                    </w:rPr>
                    <w:t>溢洪道进口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2" w:type="dxa"/>
                  <w:tcBorders>
                    <w:top w:val="nil"/>
                    <w:left w:val="nil"/>
                    <w:bottom w:val="nil"/>
                    <w:right w:val="nil"/>
                  </w:tcBorders>
                  <w:noWrap/>
                </w:tcPr>
                <w:p>
                  <w:pPr>
                    <w:adjustRightInd w:val="0"/>
                    <w:snapToGrid w:val="0"/>
                    <w:rPr>
                      <w:b/>
                      <w:bCs/>
                      <w:sz w:val="24"/>
                    </w:rPr>
                  </w:pPr>
                  <w:r>
                    <w:drawing>
                      <wp:inline distT="0" distB="0" distL="114300" distR="114300">
                        <wp:extent cx="2675890" cy="2418715"/>
                        <wp:effectExtent l="0" t="0" r="10160" b="635"/>
                        <wp:docPr id="2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pic:cNvPicPr>
                                  <a:picLocks noChangeAspect="1"/>
                                </pic:cNvPicPr>
                              </pic:nvPicPr>
                              <pic:blipFill>
                                <a:blip r:embed="rId18"/>
                                <a:stretch>
                                  <a:fillRect/>
                                </a:stretch>
                              </pic:blipFill>
                              <pic:spPr>
                                <a:xfrm>
                                  <a:off x="0" y="0"/>
                                  <a:ext cx="2675890" cy="2418715"/>
                                </a:xfrm>
                                <a:prstGeom prst="rect">
                                  <a:avLst/>
                                </a:prstGeom>
                                <a:noFill/>
                                <a:ln>
                                  <a:noFill/>
                                </a:ln>
                              </pic:spPr>
                            </pic:pic>
                          </a:graphicData>
                        </a:graphic>
                      </wp:inline>
                    </w:drawing>
                  </w:r>
                </w:p>
              </w:tc>
              <w:tc>
                <w:tcPr>
                  <w:tcW w:w="4173" w:type="dxa"/>
                  <w:tcBorders>
                    <w:top w:val="nil"/>
                    <w:left w:val="nil"/>
                    <w:bottom w:val="nil"/>
                    <w:right w:val="nil"/>
                  </w:tcBorders>
                  <w:noWrap/>
                </w:tcPr>
                <w:p>
                  <w:pPr>
                    <w:adjustRightInd w:val="0"/>
                    <w:snapToGrid w:val="0"/>
                    <w:rPr>
                      <w:b/>
                      <w:bCs/>
                      <w:sz w:val="24"/>
                    </w:rPr>
                  </w:pPr>
                  <w:r>
                    <w:drawing>
                      <wp:inline distT="0" distB="0" distL="114300" distR="114300">
                        <wp:extent cx="2623820" cy="2409190"/>
                        <wp:effectExtent l="0" t="0" r="5080" b="10160"/>
                        <wp:docPr id="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4"/>
                                <pic:cNvPicPr>
                                  <a:picLocks noChangeAspect="1"/>
                                </pic:cNvPicPr>
                              </pic:nvPicPr>
                              <pic:blipFill>
                                <a:blip r:embed="rId19"/>
                                <a:stretch>
                                  <a:fillRect/>
                                </a:stretch>
                              </pic:blipFill>
                              <pic:spPr>
                                <a:xfrm>
                                  <a:off x="0" y="0"/>
                                  <a:ext cx="2623820" cy="2409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tcBorders>
                    <w:top w:val="nil"/>
                    <w:left w:val="nil"/>
                    <w:bottom w:val="nil"/>
                    <w:right w:val="nil"/>
                  </w:tcBorders>
                  <w:noWrap/>
                  <w:vAlign w:val="center"/>
                </w:tcPr>
                <w:p>
                  <w:pPr>
                    <w:adjustRightInd w:val="0"/>
                    <w:snapToGrid w:val="0"/>
                    <w:jc w:val="center"/>
                    <w:rPr>
                      <w:rFonts w:eastAsia="黑体"/>
                    </w:rPr>
                  </w:pPr>
                  <w:r>
                    <w:rPr>
                      <w:rFonts w:eastAsia="黑体"/>
                    </w:rPr>
                    <w:t>排水沟</w:t>
                  </w:r>
                </w:p>
              </w:tc>
              <w:tc>
                <w:tcPr>
                  <w:tcW w:w="4173" w:type="dxa"/>
                  <w:tcBorders>
                    <w:top w:val="nil"/>
                    <w:left w:val="nil"/>
                    <w:bottom w:val="nil"/>
                    <w:right w:val="nil"/>
                  </w:tcBorders>
                  <w:noWrap/>
                  <w:vAlign w:val="center"/>
                </w:tcPr>
                <w:p>
                  <w:pPr>
                    <w:adjustRightInd w:val="0"/>
                    <w:snapToGrid w:val="0"/>
                    <w:jc w:val="center"/>
                    <w:rPr>
                      <w:rFonts w:eastAsia="黑体"/>
                    </w:rPr>
                  </w:pPr>
                  <w:r>
                    <w:rPr>
                      <w:rFonts w:eastAsia="黑体"/>
                    </w:rPr>
                    <w:t>泄槽边墙</w:t>
                  </w:r>
                </w:p>
              </w:tc>
            </w:tr>
          </w:tbl>
          <w:p>
            <w:pPr>
              <w:adjustRightInd w:val="0"/>
              <w:snapToGrid w:val="0"/>
              <w:jc w:val="center"/>
            </w:pPr>
            <w:r>
              <w:rPr>
                <w:rFonts w:eastAsia="黑体"/>
                <w:sz w:val="24"/>
              </w:rPr>
              <w:t>图3-3  水库现状图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tcBorders>
              <w:tl2br w:val="nil"/>
              <w:tr2bl w:val="nil"/>
            </w:tcBorders>
            <w:noWrap/>
            <w:vAlign w:val="center"/>
          </w:tcPr>
          <w:p>
            <w:pPr>
              <w:adjustRightInd w:val="0"/>
              <w:snapToGrid w:val="0"/>
              <w:jc w:val="center"/>
              <w:rPr>
                <w:kern w:val="0"/>
                <w:sz w:val="24"/>
              </w:rPr>
            </w:pPr>
            <w:r>
              <w:rPr>
                <w:b/>
                <w:bCs/>
                <w:kern w:val="0"/>
                <w:sz w:val="24"/>
              </w:rPr>
              <w:t>生态环境保护目标</w:t>
            </w:r>
          </w:p>
        </w:tc>
        <w:tc>
          <w:tcPr>
            <w:tcW w:w="8561" w:type="dxa"/>
            <w:tcBorders>
              <w:tl2br w:val="nil"/>
              <w:tr2bl w:val="nil"/>
            </w:tcBorders>
            <w:noWrap/>
            <w:vAlign w:val="center"/>
          </w:tcPr>
          <w:p>
            <w:pPr>
              <w:autoSpaceDE w:val="0"/>
              <w:autoSpaceDN w:val="0"/>
              <w:spacing w:before="240" w:after="60"/>
              <w:jc w:val="left"/>
              <w:rPr>
                <w:rFonts w:eastAsia="黑体"/>
                <w:kern w:val="0"/>
                <w:sz w:val="24"/>
              </w:rPr>
            </w:pPr>
            <w:r>
              <w:rPr>
                <w:rFonts w:eastAsia="黑体"/>
                <w:kern w:val="0"/>
                <w:sz w:val="24"/>
              </w:rPr>
              <w:t>1、大气环境</w:t>
            </w:r>
          </w:p>
          <w:p>
            <w:pPr>
              <w:keepNext/>
              <w:numPr>
                <w:ilvl w:val="1"/>
                <w:numId w:val="6"/>
              </w:numPr>
              <w:overflowPunct w:val="0"/>
              <w:spacing w:before="240" w:after="60"/>
              <w:outlineLvl w:val="0"/>
              <w:rPr>
                <w:rFonts w:eastAsia="黑体"/>
                <w:bCs/>
                <w:kern w:val="44"/>
                <w:sz w:val="24"/>
                <w:szCs w:val="30"/>
              </w:rPr>
            </w:pPr>
            <w:r>
              <w:rPr>
                <w:rFonts w:eastAsia="黑体"/>
                <w:bCs/>
                <w:kern w:val="44"/>
                <w:sz w:val="24"/>
                <w:szCs w:val="30"/>
              </w:rPr>
              <w:t>评价范围</w:t>
            </w:r>
          </w:p>
          <w:p>
            <w:pPr>
              <w:ind w:firstLine="510" w:firstLineChars="200"/>
              <w:rPr>
                <w:kern w:val="0"/>
                <w:sz w:val="24"/>
              </w:rPr>
            </w:pPr>
            <w:r>
              <w:rPr>
                <w:kern w:val="0"/>
                <w:sz w:val="24"/>
              </w:rPr>
              <w:t>本项目运营期无废气排放，废气影响主要在施工期，且随着施工期的结束而消失。根据《环境影响评价技术导则 大气环境》(HJ 2.2-2018)，营运期无废气排放，大气环境可以不用确定评价等级，因此本项目不需设置大气环境影响评价范围。</w:t>
            </w:r>
          </w:p>
          <w:p>
            <w:pPr>
              <w:keepNext/>
              <w:overflowPunct w:val="0"/>
              <w:spacing w:before="240" w:after="60"/>
              <w:outlineLvl w:val="0"/>
              <w:rPr>
                <w:rFonts w:eastAsia="黑体"/>
                <w:bCs/>
                <w:kern w:val="44"/>
                <w:sz w:val="24"/>
                <w:szCs w:val="30"/>
              </w:rPr>
            </w:pPr>
            <w:r>
              <w:rPr>
                <w:bCs/>
                <w:kern w:val="0"/>
                <w:sz w:val="24"/>
              </w:rPr>
              <w:t xml:space="preserve">1.2 </w:t>
            </w:r>
            <w:r>
              <w:rPr>
                <w:rFonts w:eastAsia="黑体"/>
                <w:bCs/>
                <w:kern w:val="0"/>
                <w:sz w:val="24"/>
              </w:rPr>
              <w:t>环境保护目标</w:t>
            </w:r>
          </w:p>
          <w:p>
            <w:pPr>
              <w:widowControl/>
              <w:ind w:firstLine="510" w:firstLineChars="200"/>
              <w:rPr>
                <w:sz w:val="24"/>
              </w:rPr>
            </w:pPr>
            <w:r>
              <w:rPr>
                <w:kern w:val="0"/>
                <w:sz w:val="24"/>
              </w:rPr>
              <w:t>本项目不设置大气环境影响评价范围，项目边界500m范围内不存在敏感目标。</w:t>
            </w:r>
          </w:p>
          <w:p>
            <w:pPr>
              <w:autoSpaceDE w:val="0"/>
              <w:autoSpaceDN w:val="0"/>
              <w:spacing w:before="240" w:after="60"/>
              <w:jc w:val="left"/>
              <w:rPr>
                <w:rFonts w:eastAsia="黑体"/>
                <w:kern w:val="0"/>
                <w:sz w:val="24"/>
              </w:rPr>
            </w:pPr>
            <w:r>
              <w:rPr>
                <w:rFonts w:eastAsia="黑体"/>
                <w:kern w:val="0"/>
                <w:sz w:val="24"/>
              </w:rPr>
              <w:t>2、地表水环境</w:t>
            </w:r>
          </w:p>
          <w:p>
            <w:pPr>
              <w:keepNext/>
              <w:overflowPunct w:val="0"/>
              <w:spacing w:before="240" w:after="60"/>
              <w:outlineLvl w:val="0"/>
              <w:rPr>
                <w:rFonts w:eastAsia="黑体"/>
                <w:bCs/>
                <w:kern w:val="44"/>
                <w:sz w:val="24"/>
                <w:szCs w:val="30"/>
              </w:rPr>
            </w:pPr>
            <w:r>
              <w:rPr>
                <w:rFonts w:eastAsia="黑体"/>
                <w:bCs/>
                <w:kern w:val="44"/>
                <w:sz w:val="24"/>
                <w:szCs w:val="30"/>
              </w:rPr>
              <w:t>2.1 评价范围</w:t>
            </w:r>
          </w:p>
          <w:p>
            <w:pPr>
              <w:widowControl/>
              <w:ind w:firstLine="510" w:firstLineChars="200"/>
              <w:jc w:val="left"/>
              <w:rPr>
                <w:sz w:val="24"/>
              </w:rPr>
            </w:pPr>
            <w:r>
              <w:rPr>
                <w:kern w:val="0"/>
                <w:sz w:val="24"/>
              </w:rPr>
              <w:t>本项目运营期无废水排放，废水影响主要在施工期，且随着施工期的结束而消失。根据《环境影响评价技术导则 地表水环境》(HJ 2.3—2018)，本项目不需要设置地表水环境影响评价范围。</w:t>
            </w:r>
          </w:p>
          <w:p>
            <w:pPr>
              <w:keepNext/>
              <w:overflowPunct w:val="0"/>
              <w:spacing w:before="240" w:after="60"/>
              <w:outlineLvl w:val="0"/>
              <w:rPr>
                <w:rFonts w:eastAsia="黑体"/>
                <w:bCs/>
                <w:kern w:val="0"/>
                <w:sz w:val="24"/>
              </w:rPr>
            </w:pPr>
            <w:r>
              <w:rPr>
                <w:rFonts w:eastAsia="黑体"/>
                <w:bCs/>
                <w:kern w:val="44"/>
                <w:sz w:val="24"/>
                <w:szCs w:val="30"/>
              </w:rPr>
              <w:t xml:space="preserve">2.2 </w:t>
            </w:r>
            <w:r>
              <w:rPr>
                <w:rFonts w:eastAsia="黑体"/>
                <w:bCs/>
                <w:kern w:val="0"/>
                <w:sz w:val="24"/>
              </w:rPr>
              <w:t>环境保护目标</w:t>
            </w:r>
          </w:p>
          <w:p>
            <w:pPr>
              <w:ind w:firstLine="510" w:firstLineChars="200"/>
            </w:pPr>
            <w:r>
              <w:rPr>
                <w:sz w:val="24"/>
                <w:szCs w:val="32"/>
              </w:rPr>
              <w:t>项目周边</w:t>
            </w:r>
            <w:r>
              <w:rPr>
                <w:sz w:val="24"/>
              </w:rPr>
              <w:t>地表水环境保护目标为雅石沟水库。</w:t>
            </w:r>
          </w:p>
          <w:p>
            <w:pPr>
              <w:pStyle w:val="48"/>
              <w:jc w:val="center"/>
              <w:rPr>
                <w:color w:val="auto"/>
              </w:rPr>
            </w:pPr>
            <w:r>
              <w:rPr>
                <w:rFonts w:eastAsia="黑体"/>
                <w:color w:val="auto"/>
              </w:rPr>
              <w:t>表3-4  项目所在区域水环境保护目标</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1287"/>
              <w:gridCol w:w="1871"/>
              <w:gridCol w:w="370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449" w:type="dxa"/>
                  <w:noWrap/>
                  <w:vAlign w:val="center"/>
                </w:tcPr>
                <w:p>
                  <w:pPr>
                    <w:pStyle w:val="9"/>
                    <w:adjustRightInd w:val="0"/>
                    <w:spacing w:before="0" w:after="0" w:line="240" w:lineRule="auto"/>
                    <w:ind w:right="0"/>
                    <w:jc w:val="center"/>
                    <w:rPr>
                      <w:b/>
                      <w:bCs/>
                      <w:sz w:val="21"/>
                      <w:szCs w:val="21"/>
                    </w:rPr>
                  </w:pPr>
                  <w:r>
                    <w:rPr>
                      <w:b/>
                      <w:bCs/>
                      <w:sz w:val="21"/>
                      <w:szCs w:val="21"/>
                    </w:rPr>
                    <w:t>环境要素</w:t>
                  </w:r>
                </w:p>
              </w:tc>
              <w:tc>
                <w:tcPr>
                  <w:tcW w:w="1287" w:type="dxa"/>
                  <w:noWrap/>
                  <w:vAlign w:val="center"/>
                </w:tcPr>
                <w:p>
                  <w:pPr>
                    <w:pStyle w:val="9"/>
                    <w:adjustRightInd w:val="0"/>
                    <w:spacing w:before="0" w:after="0" w:line="240" w:lineRule="auto"/>
                    <w:ind w:right="0"/>
                    <w:jc w:val="center"/>
                    <w:rPr>
                      <w:b/>
                      <w:bCs/>
                      <w:sz w:val="21"/>
                      <w:szCs w:val="21"/>
                    </w:rPr>
                  </w:pPr>
                  <w:r>
                    <w:rPr>
                      <w:b/>
                      <w:bCs/>
                      <w:sz w:val="21"/>
                      <w:szCs w:val="21"/>
                    </w:rPr>
                    <w:t>名称</w:t>
                  </w:r>
                </w:p>
              </w:tc>
              <w:tc>
                <w:tcPr>
                  <w:tcW w:w="1871" w:type="dxa"/>
                  <w:noWrap/>
                  <w:vAlign w:val="center"/>
                </w:tcPr>
                <w:p>
                  <w:pPr>
                    <w:pStyle w:val="9"/>
                    <w:adjustRightInd w:val="0"/>
                    <w:spacing w:before="0" w:after="0" w:line="240" w:lineRule="auto"/>
                    <w:ind w:right="0"/>
                    <w:jc w:val="center"/>
                    <w:rPr>
                      <w:b/>
                      <w:bCs/>
                      <w:sz w:val="21"/>
                      <w:szCs w:val="21"/>
                    </w:rPr>
                  </w:pPr>
                  <w:r>
                    <w:rPr>
                      <w:b/>
                      <w:bCs/>
                      <w:sz w:val="21"/>
                      <w:szCs w:val="21"/>
                    </w:rPr>
                    <w:t>保护内容</w:t>
                  </w:r>
                </w:p>
              </w:tc>
              <w:tc>
                <w:tcPr>
                  <w:tcW w:w="3708" w:type="dxa"/>
                  <w:noWrap/>
                  <w:vAlign w:val="center"/>
                </w:tcPr>
                <w:p>
                  <w:pPr>
                    <w:pStyle w:val="9"/>
                    <w:adjustRightInd w:val="0"/>
                    <w:spacing w:before="0" w:after="0" w:line="240" w:lineRule="auto"/>
                    <w:ind w:right="0"/>
                    <w:jc w:val="center"/>
                    <w:rPr>
                      <w:b/>
                      <w:bCs/>
                      <w:sz w:val="21"/>
                      <w:szCs w:val="21"/>
                    </w:rPr>
                  </w:pPr>
                  <w:r>
                    <w:rPr>
                      <w:b/>
                      <w:bCs/>
                      <w:sz w:val="21"/>
                      <w:szCs w:val="21"/>
                    </w:rPr>
                    <w:t>功能要求及保护级别</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1449" w:type="dxa"/>
                  <w:noWrap/>
                  <w:vAlign w:val="center"/>
                </w:tcPr>
                <w:p>
                  <w:pPr>
                    <w:pStyle w:val="9"/>
                    <w:adjustRightInd w:val="0"/>
                    <w:spacing w:before="0" w:after="0" w:line="240" w:lineRule="auto"/>
                    <w:ind w:right="0"/>
                    <w:jc w:val="center"/>
                    <w:rPr>
                      <w:sz w:val="21"/>
                      <w:szCs w:val="21"/>
                    </w:rPr>
                  </w:pPr>
                  <w:r>
                    <w:rPr>
                      <w:sz w:val="21"/>
                      <w:szCs w:val="21"/>
                    </w:rPr>
                    <w:t>水环境</w:t>
                  </w:r>
                </w:p>
              </w:tc>
              <w:tc>
                <w:tcPr>
                  <w:tcW w:w="1287" w:type="dxa"/>
                  <w:noWrap/>
                  <w:vAlign w:val="center"/>
                </w:tcPr>
                <w:p>
                  <w:pPr>
                    <w:pStyle w:val="9"/>
                    <w:adjustRightInd w:val="0"/>
                    <w:spacing w:before="0" w:after="0" w:line="240" w:lineRule="auto"/>
                    <w:ind w:right="0"/>
                    <w:jc w:val="center"/>
                    <w:rPr>
                      <w:snapToGrid w:val="0"/>
                      <w:sz w:val="21"/>
                      <w:szCs w:val="21"/>
                    </w:rPr>
                  </w:pPr>
                  <w:r>
                    <w:rPr>
                      <w:snapToGrid w:val="0"/>
                      <w:sz w:val="21"/>
                      <w:szCs w:val="21"/>
                    </w:rPr>
                    <w:t>雅石沟水库</w:t>
                  </w:r>
                </w:p>
              </w:tc>
              <w:tc>
                <w:tcPr>
                  <w:tcW w:w="1871" w:type="dxa"/>
                  <w:noWrap/>
                  <w:vAlign w:val="center"/>
                </w:tcPr>
                <w:p>
                  <w:pPr>
                    <w:pStyle w:val="9"/>
                    <w:adjustRightInd w:val="0"/>
                    <w:spacing w:before="0" w:after="0" w:line="240" w:lineRule="auto"/>
                    <w:ind w:right="0"/>
                    <w:jc w:val="center"/>
                    <w:rPr>
                      <w:sz w:val="21"/>
                      <w:szCs w:val="21"/>
                    </w:rPr>
                  </w:pPr>
                  <w:r>
                    <w:rPr>
                      <w:sz w:val="21"/>
                      <w:szCs w:val="21"/>
                    </w:rPr>
                    <w:t>水生生态、水环境质量</w:t>
                  </w:r>
                </w:p>
              </w:tc>
              <w:tc>
                <w:tcPr>
                  <w:tcW w:w="3708" w:type="dxa"/>
                  <w:noWrap/>
                  <w:vAlign w:val="center"/>
                </w:tcPr>
                <w:p>
                  <w:pPr>
                    <w:pStyle w:val="9"/>
                    <w:adjustRightInd w:val="0"/>
                    <w:spacing w:before="0" w:after="0" w:line="240" w:lineRule="auto"/>
                    <w:ind w:right="0"/>
                    <w:jc w:val="center"/>
                    <w:rPr>
                      <w:sz w:val="21"/>
                      <w:szCs w:val="21"/>
                    </w:rPr>
                  </w:pPr>
                  <w:r>
                    <w:rPr>
                      <w:sz w:val="21"/>
                      <w:szCs w:val="21"/>
                    </w:rPr>
                    <w:t>《地表水环境质量标准》（GB3838-2002）Ⅲ类标准要求</w:t>
                  </w:r>
                </w:p>
              </w:tc>
            </w:tr>
          </w:tbl>
          <w:p>
            <w:pPr>
              <w:autoSpaceDE w:val="0"/>
              <w:autoSpaceDN w:val="0"/>
              <w:spacing w:before="240" w:after="60"/>
              <w:jc w:val="left"/>
              <w:rPr>
                <w:rFonts w:eastAsia="黑体"/>
                <w:kern w:val="0"/>
                <w:sz w:val="24"/>
              </w:rPr>
            </w:pPr>
            <w:r>
              <w:rPr>
                <w:rFonts w:eastAsia="黑体"/>
                <w:kern w:val="0"/>
                <w:sz w:val="24"/>
              </w:rPr>
              <w:t>3、声环境</w:t>
            </w:r>
          </w:p>
          <w:p>
            <w:pPr>
              <w:keepNext/>
              <w:overflowPunct w:val="0"/>
              <w:spacing w:before="240" w:after="60"/>
              <w:outlineLvl w:val="0"/>
              <w:rPr>
                <w:rFonts w:eastAsia="黑体"/>
                <w:bCs/>
                <w:kern w:val="44"/>
                <w:sz w:val="24"/>
                <w:szCs w:val="30"/>
              </w:rPr>
            </w:pPr>
            <w:r>
              <w:rPr>
                <w:rFonts w:eastAsia="黑体"/>
                <w:bCs/>
                <w:kern w:val="44"/>
                <w:sz w:val="24"/>
                <w:szCs w:val="30"/>
              </w:rPr>
              <w:t>3.1 评价范围</w:t>
            </w:r>
          </w:p>
          <w:p>
            <w:pPr>
              <w:widowControl/>
              <w:ind w:firstLine="510" w:firstLineChars="200"/>
              <w:jc w:val="left"/>
              <w:rPr>
                <w:sz w:val="24"/>
              </w:rPr>
            </w:pPr>
            <w:r>
              <w:rPr>
                <w:kern w:val="0"/>
                <w:sz w:val="24"/>
              </w:rPr>
              <w:t>根据《环境影响评价技术导则 声环境》(HJ 2.4-2021)，声环境评价范围为项目区边界向外200m范围。</w:t>
            </w:r>
          </w:p>
          <w:p>
            <w:pPr>
              <w:keepNext/>
              <w:overflowPunct w:val="0"/>
              <w:spacing w:before="240" w:after="60"/>
              <w:outlineLvl w:val="0"/>
              <w:rPr>
                <w:rFonts w:eastAsia="黑体"/>
                <w:bCs/>
                <w:kern w:val="0"/>
                <w:sz w:val="24"/>
              </w:rPr>
            </w:pPr>
            <w:r>
              <w:rPr>
                <w:rFonts w:eastAsia="黑体"/>
                <w:bCs/>
                <w:kern w:val="44"/>
                <w:sz w:val="24"/>
                <w:szCs w:val="30"/>
              </w:rPr>
              <w:t xml:space="preserve">3.2 </w:t>
            </w:r>
            <w:r>
              <w:rPr>
                <w:rFonts w:eastAsia="黑体"/>
                <w:bCs/>
                <w:kern w:val="0"/>
                <w:sz w:val="24"/>
              </w:rPr>
              <w:t>环境保护目标</w:t>
            </w:r>
          </w:p>
          <w:p>
            <w:pPr>
              <w:ind w:firstLine="510" w:firstLineChars="200"/>
              <w:rPr>
                <w:kern w:val="0"/>
                <w:sz w:val="24"/>
              </w:rPr>
            </w:pPr>
            <w:r>
              <w:rPr>
                <w:kern w:val="0"/>
                <w:sz w:val="24"/>
              </w:rPr>
              <w:t>项目区边界向外200m范围内无声环境保护目标。</w:t>
            </w:r>
          </w:p>
          <w:p>
            <w:pPr>
              <w:autoSpaceDE w:val="0"/>
              <w:autoSpaceDN w:val="0"/>
              <w:spacing w:before="240" w:after="60"/>
              <w:jc w:val="left"/>
              <w:rPr>
                <w:rFonts w:eastAsia="黑体"/>
                <w:kern w:val="0"/>
                <w:sz w:val="24"/>
              </w:rPr>
            </w:pPr>
            <w:r>
              <w:rPr>
                <w:rFonts w:eastAsia="黑体"/>
                <w:kern w:val="0"/>
                <w:sz w:val="24"/>
              </w:rPr>
              <w:t>4、地下水</w:t>
            </w:r>
          </w:p>
          <w:p>
            <w:pPr>
              <w:keepNext/>
              <w:overflowPunct w:val="0"/>
              <w:spacing w:before="240" w:after="60"/>
              <w:outlineLvl w:val="0"/>
              <w:rPr>
                <w:rFonts w:eastAsia="黑体"/>
                <w:bCs/>
                <w:kern w:val="44"/>
                <w:sz w:val="24"/>
                <w:szCs w:val="30"/>
              </w:rPr>
            </w:pPr>
            <w:r>
              <w:rPr>
                <w:rFonts w:eastAsia="黑体"/>
                <w:bCs/>
                <w:kern w:val="44"/>
                <w:sz w:val="24"/>
                <w:szCs w:val="30"/>
              </w:rPr>
              <w:t>4.1 评价范围</w:t>
            </w:r>
          </w:p>
          <w:p>
            <w:pPr>
              <w:ind w:firstLine="510" w:firstLineChars="200"/>
              <w:rPr>
                <w:rFonts w:eastAsia="黑体"/>
                <w:bCs/>
                <w:kern w:val="44"/>
                <w:sz w:val="24"/>
                <w:szCs w:val="30"/>
              </w:rPr>
            </w:pPr>
            <w:r>
              <w:rPr>
                <w:sz w:val="24"/>
              </w:rPr>
              <w:t>根据《环境影响评价技术导则 地下水环境》（HJ610-2016），本项目行业类别“五十一、水利124、水库 其他”，地下水环境影响评价类别为Ⅳ类，不开展地下水环境影响评价，因此本项目</w:t>
            </w:r>
            <w:r>
              <w:rPr>
                <w:kern w:val="0"/>
                <w:sz w:val="24"/>
              </w:rPr>
              <w:t>不需设置</w:t>
            </w:r>
            <w:r>
              <w:rPr>
                <w:sz w:val="24"/>
              </w:rPr>
              <w:t>地下水</w:t>
            </w:r>
            <w:r>
              <w:rPr>
                <w:kern w:val="0"/>
                <w:sz w:val="24"/>
              </w:rPr>
              <w:t>环境影响评价范围。</w:t>
            </w:r>
          </w:p>
          <w:p>
            <w:pPr>
              <w:keepNext/>
              <w:overflowPunct w:val="0"/>
              <w:spacing w:before="240" w:after="60"/>
              <w:outlineLvl w:val="0"/>
              <w:rPr>
                <w:rFonts w:eastAsia="黑体"/>
                <w:bCs/>
                <w:kern w:val="0"/>
                <w:sz w:val="24"/>
              </w:rPr>
            </w:pPr>
            <w:r>
              <w:rPr>
                <w:rFonts w:eastAsia="黑体"/>
                <w:bCs/>
                <w:kern w:val="44"/>
                <w:sz w:val="24"/>
                <w:szCs w:val="30"/>
              </w:rPr>
              <w:t xml:space="preserve">4.2 </w:t>
            </w:r>
            <w:r>
              <w:rPr>
                <w:rFonts w:eastAsia="黑体"/>
                <w:bCs/>
                <w:kern w:val="0"/>
                <w:sz w:val="24"/>
              </w:rPr>
              <w:t>环境保护目标</w:t>
            </w:r>
          </w:p>
          <w:p>
            <w:pPr>
              <w:widowControl/>
              <w:ind w:firstLine="510" w:firstLineChars="200"/>
              <w:rPr>
                <w:sz w:val="24"/>
              </w:rPr>
            </w:pPr>
            <w:r>
              <w:rPr>
                <w:kern w:val="0"/>
                <w:sz w:val="24"/>
              </w:rPr>
              <w:t>本项目不设置</w:t>
            </w:r>
            <w:r>
              <w:rPr>
                <w:sz w:val="24"/>
              </w:rPr>
              <w:t>地下水</w:t>
            </w:r>
            <w:r>
              <w:rPr>
                <w:kern w:val="0"/>
                <w:sz w:val="24"/>
              </w:rPr>
              <w:t>环境影响评价范围，因此本次评价不开展</w:t>
            </w:r>
            <w:r>
              <w:rPr>
                <w:sz w:val="24"/>
              </w:rPr>
              <w:t>地下水</w:t>
            </w:r>
            <w:r>
              <w:rPr>
                <w:kern w:val="0"/>
                <w:sz w:val="24"/>
              </w:rPr>
              <w:t>保护目标调查</w:t>
            </w:r>
            <w:r>
              <w:rPr>
                <w:sz w:val="24"/>
              </w:rPr>
              <w:t>。</w:t>
            </w:r>
          </w:p>
          <w:p>
            <w:pPr>
              <w:keepNext/>
              <w:overflowPunct w:val="0"/>
              <w:spacing w:before="240" w:after="60"/>
              <w:outlineLvl w:val="0"/>
              <w:rPr>
                <w:rFonts w:eastAsia="黑体"/>
                <w:bCs/>
                <w:kern w:val="44"/>
                <w:sz w:val="24"/>
                <w:szCs w:val="30"/>
              </w:rPr>
            </w:pPr>
            <w:r>
              <w:rPr>
                <w:rFonts w:eastAsia="黑体"/>
                <w:bCs/>
                <w:kern w:val="44"/>
                <w:sz w:val="24"/>
                <w:szCs w:val="30"/>
              </w:rPr>
              <w:t>5、土壤</w:t>
            </w:r>
          </w:p>
          <w:p>
            <w:pPr>
              <w:keepNext/>
              <w:overflowPunct w:val="0"/>
              <w:spacing w:before="240" w:after="60"/>
              <w:outlineLvl w:val="0"/>
              <w:rPr>
                <w:rFonts w:eastAsia="黑体"/>
                <w:bCs/>
                <w:kern w:val="44"/>
                <w:sz w:val="24"/>
                <w:szCs w:val="30"/>
              </w:rPr>
            </w:pPr>
            <w:r>
              <w:rPr>
                <w:rFonts w:eastAsia="黑体"/>
                <w:bCs/>
                <w:kern w:val="44"/>
                <w:sz w:val="24"/>
                <w:szCs w:val="30"/>
              </w:rPr>
              <w:t>5.1 评价范围</w:t>
            </w:r>
          </w:p>
          <w:p>
            <w:pPr>
              <w:ind w:firstLine="510" w:firstLineChars="200"/>
              <w:rPr>
                <w:sz w:val="24"/>
              </w:rPr>
            </w:pPr>
            <w:r>
              <w:rPr>
                <w:sz w:val="24"/>
              </w:rPr>
              <w:t>根据《环境影响评价技术导则 土壤环境（试行）》（HJ 964—2018）附录A，本项目属于其他行业，土壤环境影响评价类别为Ⅳ类，不开展土壤环境影响评价，本项目施工期、运营期均不存在土壤污染及影响途径。因此本项目</w:t>
            </w:r>
            <w:r>
              <w:rPr>
                <w:kern w:val="0"/>
                <w:sz w:val="24"/>
              </w:rPr>
              <w:t>不需设置</w:t>
            </w:r>
            <w:r>
              <w:rPr>
                <w:sz w:val="24"/>
              </w:rPr>
              <w:t>土壤</w:t>
            </w:r>
            <w:r>
              <w:rPr>
                <w:kern w:val="0"/>
                <w:sz w:val="24"/>
              </w:rPr>
              <w:t>环境影响评价范围。</w:t>
            </w:r>
          </w:p>
          <w:p>
            <w:pPr>
              <w:keepNext/>
              <w:overflowPunct w:val="0"/>
              <w:spacing w:before="240" w:after="60"/>
              <w:outlineLvl w:val="0"/>
              <w:rPr>
                <w:rFonts w:eastAsia="黑体"/>
                <w:bCs/>
                <w:kern w:val="0"/>
                <w:sz w:val="24"/>
              </w:rPr>
            </w:pPr>
            <w:r>
              <w:rPr>
                <w:rFonts w:eastAsia="黑体"/>
                <w:bCs/>
                <w:kern w:val="44"/>
                <w:sz w:val="24"/>
                <w:szCs w:val="30"/>
              </w:rPr>
              <w:t xml:space="preserve">5.2 </w:t>
            </w:r>
            <w:r>
              <w:rPr>
                <w:rFonts w:eastAsia="黑体"/>
                <w:bCs/>
                <w:kern w:val="0"/>
                <w:sz w:val="24"/>
              </w:rPr>
              <w:t>环境保护目标</w:t>
            </w:r>
          </w:p>
          <w:p>
            <w:pPr>
              <w:ind w:firstLine="510" w:firstLineChars="200"/>
              <w:rPr>
                <w:sz w:val="24"/>
              </w:rPr>
            </w:pPr>
            <w:r>
              <w:rPr>
                <w:kern w:val="0"/>
                <w:sz w:val="24"/>
              </w:rPr>
              <w:t>本项目不设置</w:t>
            </w:r>
            <w:r>
              <w:rPr>
                <w:sz w:val="24"/>
              </w:rPr>
              <w:t>土壤</w:t>
            </w:r>
            <w:r>
              <w:rPr>
                <w:kern w:val="0"/>
                <w:sz w:val="24"/>
              </w:rPr>
              <w:t>环境影响评价范围，因此本次评价不开展</w:t>
            </w:r>
            <w:r>
              <w:rPr>
                <w:sz w:val="24"/>
              </w:rPr>
              <w:t>土壤</w:t>
            </w:r>
            <w:r>
              <w:rPr>
                <w:kern w:val="0"/>
                <w:sz w:val="24"/>
              </w:rPr>
              <w:t>保护目标调查</w:t>
            </w:r>
            <w:r>
              <w:rPr>
                <w:sz w:val="24"/>
              </w:rPr>
              <w:t>。</w:t>
            </w:r>
          </w:p>
          <w:p>
            <w:pPr>
              <w:keepNext/>
              <w:overflowPunct w:val="0"/>
              <w:spacing w:before="240" w:after="60"/>
              <w:outlineLvl w:val="0"/>
              <w:rPr>
                <w:rFonts w:eastAsia="黑体"/>
                <w:bCs/>
                <w:kern w:val="44"/>
                <w:sz w:val="24"/>
                <w:szCs w:val="30"/>
              </w:rPr>
            </w:pPr>
            <w:r>
              <w:rPr>
                <w:rFonts w:eastAsia="黑体"/>
                <w:bCs/>
                <w:kern w:val="44"/>
                <w:sz w:val="24"/>
                <w:szCs w:val="30"/>
              </w:rPr>
              <w:t>6、生态环境</w:t>
            </w:r>
          </w:p>
          <w:p>
            <w:pPr>
              <w:keepNext/>
              <w:overflowPunct w:val="0"/>
              <w:spacing w:before="240" w:after="60"/>
              <w:outlineLvl w:val="0"/>
              <w:rPr>
                <w:rFonts w:eastAsia="黑体"/>
                <w:bCs/>
                <w:kern w:val="44"/>
                <w:sz w:val="24"/>
                <w:szCs w:val="30"/>
              </w:rPr>
            </w:pPr>
            <w:r>
              <w:rPr>
                <w:rFonts w:eastAsia="黑体"/>
                <w:bCs/>
                <w:kern w:val="44"/>
                <w:sz w:val="24"/>
                <w:szCs w:val="30"/>
              </w:rPr>
              <w:t>6.1 评价范围</w:t>
            </w:r>
          </w:p>
          <w:p>
            <w:pPr>
              <w:ind w:firstLine="510" w:firstLineChars="200"/>
              <w:rPr>
                <w:sz w:val="24"/>
              </w:rPr>
            </w:pPr>
            <w:r>
              <w:rPr>
                <w:sz w:val="24"/>
              </w:rPr>
              <w:t>根据《环境影响评价技术导则 生态影响》(HJ 19—2022)，本次生态环境影响评价等级定为三级，根据“6.2评价范围确定”，生态影响评价应能够充分体现生态完整性和生物多样性保护要求，涵盖评价项目全部活动的直接影响区域和间接影响区域。本项目直接影响及间接影响均在本项目占地范围内，因此确定本项目评价范围为本项目占地范围。</w:t>
            </w:r>
          </w:p>
          <w:p>
            <w:pPr>
              <w:keepNext/>
              <w:overflowPunct w:val="0"/>
              <w:spacing w:before="240" w:after="60"/>
              <w:outlineLvl w:val="0"/>
              <w:rPr>
                <w:sz w:val="24"/>
              </w:rPr>
            </w:pPr>
            <w:r>
              <w:rPr>
                <w:rFonts w:eastAsia="黑体"/>
                <w:bCs/>
                <w:kern w:val="44"/>
                <w:sz w:val="24"/>
                <w:szCs w:val="30"/>
              </w:rPr>
              <w:t>6.2 生态环境保护目标</w:t>
            </w:r>
          </w:p>
          <w:p>
            <w:pPr>
              <w:ind w:firstLine="510" w:firstLineChars="200"/>
            </w:pPr>
            <w:r>
              <w:rPr>
                <w:sz w:val="24"/>
              </w:rPr>
              <w:t>本项目位于固原市彭阳县草庙乡，经现场踏勘的实际情况，</w:t>
            </w:r>
            <w:r>
              <w:rPr>
                <w:kern w:val="0"/>
                <w:sz w:val="24"/>
              </w:rPr>
              <w:t>本项目生态评价范围内无受影响的重要物种、生态敏感区以及其他需要保护的物种、种群、生物群落及生态空间，项目评价范围内无生态环境保护目标。</w:t>
            </w:r>
            <w:r>
              <w:rPr>
                <w:sz w:val="24"/>
              </w:rPr>
              <w:t>本项目占地红线范围内不存在自然保护区、风景名胜区、世界文化和自然遗产地、饮用水水源保护区和野生动植物及其栖息地等重要保护目标。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tcBorders>
              <w:tl2br w:val="nil"/>
              <w:tr2bl w:val="nil"/>
            </w:tcBorders>
            <w:noWrap/>
            <w:vAlign w:val="center"/>
          </w:tcPr>
          <w:p>
            <w:pPr>
              <w:adjustRightInd w:val="0"/>
              <w:snapToGrid w:val="0"/>
              <w:jc w:val="center"/>
              <w:rPr>
                <w:b/>
                <w:bCs/>
                <w:kern w:val="0"/>
                <w:sz w:val="24"/>
              </w:rPr>
            </w:pPr>
            <w:r>
              <w:rPr>
                <w:b/>
                <w:bCs/>
                <w:kern w:val="0"/>
                <w:sz w:val="24"/>
              </w:rPr>
              <w:t>评价</w:t>
            </w:r>
          </w:p>
          <w:p>
            <w:pPr>
              <w:adjustRightInd w:val="0"/>
              <w:snapToGrid w:val="0"/>
              <w:jc w:val="center"/>
              <w:rPr>
                <w:kern w:val="0"/>
                <w:sz w:val="24"/>
              </w:rPr>
            </w:pPr>
            <w:r>
              <w:rPr>
                <w:b/>
                <w:bCs/>
                <w:kern w:val="0"/>
                <w:sz w:val="24"/>
              </w:rPr>
              <w:t>标准</w:t>
            </w:r>
          </w:p>
        </w:tc>
        <w:tc>
          <w:tcPr>
            <w:tcW w:w="8561" w:type="dxa"/>
            <w:tcBorders>
              <w:tl2br w:val="nil"/>
              <w:tr2bl w:val="nil"/>
            </w:tcBorders>
            <w:noWrap/>
            <w:vAlign w:val="center"/>
          </w:tcPr>
          <w:p>
            <w:pPr>
              <w:autoSpaceDE w:val="0"/>
              <w:autoSpaceDN w:val="0"/>
              <w:spacing w:before="240" w:after="60"/>
              <w:jc w:val="left"/>
              <w:rPr>
                <w:rFonts w:eastAsia="黑体"/>
                <w:kern w:val="0"/>
                <w:sz w:val="24"/>
              </w:rPr>
            </w:pPr>
            <w:r>
              <w:rPr>
                <w:rFonts w:eastAsia="黑体"/>
                <w:kern w:val="0"/>
                <w:sz w:val="24"/>
              </w:rPr>
              <w:t>1、环境质量标准</w:t>
            </w:r>
          </w:p>
          <w:p>
            <w:pPr>
              <w:kinsoku w:val="0"/>
              <w:wordWrap w:val="0"/>
              <w:topLinePunct/>
              <w:ind w:firstLine="510" w:firstLineChars="200"/>
              <w:rPr>
                <w:kern w:val="0"/>
                <w:sz w:val="24"/>
              </w:rPr>
            </w:pPr>
            <w:r>
              <w:rPr>
                <w:kern w:val="0"/>
                <w:sz w:val="24"/>
              </w:rPr>
              <w:t>（1）环境空气质量标准</w:t>
            </w:r>
          </w:p>
          <w:p>
            <w:pPr>
              <w:kinsoku w:val="0"/>
              <w:topLinePunct/>
              <w:ind w:firstLine="510" w:firstLineChars="200"/>
              <w:rPr>
                <w:kern w:val="0"/>
                <w:sz w:val="24"/>
              </w:rPr>
            </w:pPr>
            <w:r>
              <w:rPr>
                <w:kern w:val="0"/>
                <w:sz w:val="24"/>
              </w:rPr>
              <w:t>项目所在区域属于环境空气质量二类功能区，环境空气质量执行《环境空气质量标准》（GB3095-2012）及其修改单中二级标准，SO</w:t>
            </w:r>
            <w:r>
              <w:rPr>
                <w:kern w:val="0"/>
                <w:sz w:val="24"/>
                <w:vertAlign w:val="subscript"/>
              </w:rPr>
              <w:t>2</w:t>
            </w:r>
            <w:r>
              <w:rPr>
                <w:kern w:val="0"/>
                <w:sz w:val="24"/>
              </w:rPr>
              <w:t>、NO</w:t>
            </w:r>
            <w:r>
              <w:rPr>
                <w:kern w:val="0"/>
                <w:sz w:val="24"/>
                <w:vertAlign w:val="subscript"/>
              </w:rPr>
              <w:t>2</w:t>
            </w:r>
            <w:r>
              <w:rPr>
                <w:kern w:val="0"/>
                <w:sz w:val="24"/>
              </w:rPr>
              <w:t>、PM</w:t>
            </w:r>
            <w:r>
              <w:rPr>
                <w:kern w:val="0"/>
                <w:sz w:val="24"/>
                <w:vertAlign w:val="subscript"/>
              </w:rPr>
              <w:t>10</w:t>
            </w:r>
            <w:r>
              <w:rPr>
                <w:kern w:val="0"/>
                <w:sz w:val="24"/>
              </w:rPr>
              <w:t>、PM</w:t>
            </w:r>
            <w:r>
              <w:rPr>
                <w:kern w:val="0"/>
                <w:sz w:val="24"/>
                <w:vertAlign w:val="subscript"/>
              </w:rPr>
              <w:t>2.5</w:t>
            </w:r>
            <w:r>
              <w:rPr>
                <w:kern w:val="0"/>
                <w:sz w:val="24"/>
              </w:rPr>
              <w:t>、CO、O</w:t>
            </w:r>
            <w:r>
              <w:rPr>
                <w:kern w:val="0"/>
                <w:sz w:val="24"/>
                <w:vertAlign w:val="subscript"/>
              </w:rPr>
              <w:t>3</w:t>
            </w:r>
            <w:r>
              <w:rPr>
                <w:kern w:val="0"/>
                <w:sz w:val="24"/>
              </w:rPr>
              <w:t>执行《环境空气质量标准》（GB3095-2012）及其修改单中二级标准。</w:t>
            </w:r>
          </w:p>
          <w:p>
            <w:pPr>
              <w:kinsoku w:val="0"/>
              <w:wordWrap w:val="0"/>
              <w:topLinePunct/>
              <w:adjustRightInd w:val="0"/>
              <w:snapToGrid w:val="0"/>
              <w:jc w:val="center"/>
              <w:rPr>
                <w:rFonts w:eastAsia="黑体"/>
                <w:bCs/>
                <w:kern w:val="0"/>
                <w:sz w:val="24"/>
              </w:rPr>
            </w:pPr>
            <w:r>
              <w:rPr>
                <w:rFonts w:eastAsia="黑体"/>
                <w:bCs/>
                <w:kern w:val="0"/>
                <w:sz w:val="24"/>
              </w:rPr>
              <w:t>表3-6  环境空气质量评价执行标准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3224"/>
              <w:gridCol w:w="3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661" w:type="dxa"/>
                  <w:tcBorders>
                    <w:tl2br w:val="nil"/>
                    <w:tr2bl w:val="nil"/>
                  </w:tcBorders>
                  <w:noWrap/>
                  <w:vAlign w:val="center"/>
                </w:tcPr>
                <w:p>
                  <w:pPr>
                    <w:kinsoku w:val="0"/>
                    <w:wordWrap w:val="0"/>
                    <w:topLinePunct/>
                    <w:adjustRightInd w:val="0"/>
                    <w:snapToGrid w:val="0"/>
                    <w:jc w:val="center"/>
                    <w:rPr>
                      <w:b/>
                      <w:szCs w:val="21"/>
                    </w:rPr>
                  </w:pPr>
                  <w:r>
                    <w:rPr>
                      <w:b/>
                      <w:szCs w:val="21"/>
                    </w:rPr>
                    <w:t>污染物名称</w:t>
                  </w:r>
                </w:p>
              </w:tc>
              <w:tc>
                <w:tcPr>
                  <w:tcW w:w="3195" w:type="dxa"/>
                  <w:tcBorders>
                    <w:tl2br w:val="nil"/>
                    <w:tr2bl w:val="nil"/>
                  </w:tcBorders>
                  <w:noWrap/>
                  <w:vAlign w:val="center"/>
                </w:tcPr>
                <w:p>
                  <w:pPr>
                    <w:kinsoku w:val="0"/>
                    <w:wordWrap w:val="0"/>
                    <w:topLinePunct/>
                    <w:adjustRightInd w:val="0"/>
                    <w:snapToGrid w:val="0"/>
                    <w:jc w:val="center"/>
                    <w:rPr>
                      <w:b/>
                      <w:szCs w:val="21"/>
                    </w:rPr>
                  </w:pPr>
                  <w:r>
                    <w:rPr>
                      <w:b/>
                      <w:szCs w:val="21"/>
                    </w:rPr>
                    <w:t>取值时间</w:t>
                  </w:r>
                </w:p>
              </w:tc>
              <w:tc>
                <w:tcPr>
                  <w:tcW w:w="3383" w:type="dxa"/>
                  <w:tcBorders>
                    <w:tl2br w:val="nil"/>
                    <w:tr2bl w:val="nil"/>
                  </w:tcBorders>
                  <w:noWrap/>
                  <w:vAlign w:val="center"/>
                </w:tcPr>
                <w:p>
                  <w:pPr>
                    <w:kinsoku w:val="0"/>
                    <w:wordWrap w:val="0"/>
                    <w:topLinePunct/>
                    <w:adjustRightInd w:val="0"/>
                    <w:snapToGrid w:val="0"/>
                    <w:jc w:val="center"/>
                    <w:rPr>
                      <w:b/>
                      <w:szCs w:val="21"/>
                    </w:rPr>
                  </w:pPr>
                  <w:r>
                    <w:rPr>
                      <w:b/>
                      <w:szCs w:val="21"/>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restart"/>
                  <w:tcBorders>
                    <w:tl2br w:val="nil"/>
                    <w:tr2bl w:val="nil"/>
                  </w:tcBorders>
                  <w:noWrap/>
                  <w:vAlign w:val="center"/>
                </w:tcPr>
                <w:p>
                  <w:pPr>
                    <w:kinsoku w:val="0"/>
                    <w:wordWrap w:val="0"/>
                    <w:topLinePunct/>
                    <w:adjustRightInd w:val="0"/>
                    <w:snapToGrid w:val="0"/>
                    <w:jc w:val="center"/>
                    <w:rPr>
                      <w:bCs/>
                      <w:szCs w:val="21"/>
                    </w:rPr>
                  </w:pPr>
                  <w:r>
                    <w:rPr>
                      <w:bCs/>
                      <w:szCs w:val="21"/>
                    </w:rPr>
                    <w:t>SO</w:t>
                  </w:r>
                  <w:r>
                    <w:rPr>
                      <w:bCs/>
                      <w:szCs w:val="21"/>
                      <w:vertAlign w:val="subscript"/>
                    </w:rPr>
                    <w:t>2</w:t>
                  </w: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1小时平均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500μg/m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24小时平均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150μg/m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年平均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60μg/m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restart"/>
                  <w:tcBorders>
                    <w:tl2br w:val="nil"/>
                    <w:tr2bl w:val="nil"/>
                  </w:tcBorders>
                  <w:noWrap/>
                  <w:vAlign w:val="center"/>
                </w:tcPr>
                <w:p>
                  <w:pPr>
                    <w:kinsoku w:val="0"/>
                    <w:wordWrap w:val="0"/>
                    <w:topLinePunct/>
                    <w:adjustRightInd w:val="0"/>
                    <w:snapToGrid w:val="0"/>
                    <w:jc w:val="center"/>
                    <w:rPr>
                      <w:bCs/>
                      <w:szCs w:val="21"/>
                    </w:rPr>
                  </w:pPr>
                  <w:r>
                    <w:rPr>
                      <w:bCs/>
                      <w:szCs w:val="21"/>
                    </w:rPr>
                    <w:t>NO</w:t>
                  </w:r>
                  <w:r>
                    <w:rPr>
                      <w:bCs/>
                      <w:szCs w:val="21"/>
                      <w:vertAlign w:val="subscript"/>
                    </w:rPr>
                    <w:t>2</w:t>
                  </w: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1小时平均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200μg/m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24小时平均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80μg/m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年平均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40μg/m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restart"/>
                  <w:tcBorders>
                    <w:tl2br w:val="nil"/>
                    <w:tr2bl w:val="nil"/>
                  </w:tcBorders>
                  <w:noWrap/>
                  <w:vAlign w:val="center"/>
                </w:tcPr>
                <w:p>
                  <w:pPr>
                    <w:kinsoku w:val="0"/>
                    <w:wordWrap w:val="0"/>
                    <w:topLinePunct/>
                    <w:adjustRightInd w:val="0"/>
                    <w:snapToGrid w:val="0"/>
                    <w:jc w:val="center"/>
                    <w:rPr>
                      <w:bCs/>
                      <w:szCs w:val="21"/>
                    </w:rPr>
                  </w:pPr>
                  <w:r>
                    <w:rPr>
                      <w:bCs/>
                      <w:szCs w:val="21"/>
                    </w:rPr>
                    <w:t>PM</w:t>
                  </w:r>
                  <w:r>
                    <w:rPr>
                      <w:bCs/>
                      <w:szCs w:val="21"/>
                      <w:vertAlign w:val="subscript"/>
                    </w:rPr>
                    <w:t>10</w:t>
                  </w: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24小时平均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150μg/m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年平均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70μg/m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restart"/>
                  <w:tcBorders>
                    <w:tl2br w:val="nil"/>
                    <w:tr2bl w:val="nil"/>
                  </w:tcBorders>
                  <w:noWrap/>
                  <w:vAlign w:val="center"/>
                </w:tcPr>
                <w:p>
                  <w:pPr>
                    <w:kinsoku w:val="0"/>
                    <w:wordWrap w:val="0"/>
                    <w:topLinePunct/>
                    <w:adjustRightInd w:val="0"/>
                    <w:snapToGrid w:val="0"/>
                    <w:jc w:val="center"/>
                    <w:rPr>
                      <w:bCs/>
                      <w:szCs w:val="21"/>
                    </w:rPr>
                  </w:pPr>
                  <w:r>
                    <w:rPr>
                      <w:bCs/>
                      <w:kern w:val="0"/>
                      <w:szCs w:val="21"/>
                    </w:rPr>
                    <w:t>PM</w:t>
                  </w:r>
                  <w:r>
                    <w:rPr>
                      <w:bCs/>
                      <w:kern w:val="0"/>
                      <w:szCs w:val="21"/>
                      <w:vertAlign w:val="subscript"/>
                    </w:rPr>
                    <w:t>2.5</w:t>
                  </w: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24小时平均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75μg/m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年平均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35μg/m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restart"/>
                  <w:tcBorders>
                    <w:tl2br w:val="nil"/>
                    <w:tr2bl w:val="nil"/>
                  </w:tcBorders>
                  <w:noWrap/>
                  <w:vAlign w:val="center"/>
                </w:tcPr>
                <w:p>
                  <w:pPr>
                    <w:kinsoku w:val="0"/>
                    <w:wordWrap w:val="0"/>
                    <w:topLinePunct/>
                    <w:adjustRightInd w:val="0"/>
                    <w:snapToGrid w:val="0"/>
                    <w:jc w:val="center"/>
                    <w:rPr>
                      <w:bCs/>
                      <w:szCs w:val="21"/>
                    </w:rPr>
                  </w:pPr>
                  <w:r>
                    <w:rPr>
                      <w:bCs/>
                      <w:szCs w:val="21"/>
                    </w:rPr>
                    <w:t>CO</w:t>
                  </w: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24小时平均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4mg/m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1小时平均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10mg/m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restart"/>
                  <w:tcBorders>
                    <w:tl2br w:val="nil"/>
                    <w:tr2bl w:val="nil"/>
                  </w:tcBorders>
                  <w:noWrap/>
                  <w:vAlign w:val="center"/>
                </w:tcPr>
                <w:p>
                  <w:pPr>
                    <w:kinsoku w:val="0"/>
                    <w:wordWrap w:val="0"/>
                    <w:topLinePunct/>
                    <w:adjustRightInd w:val="0"/>
                    <w:snapToGrid w:val="0"/>
                    <w:jc w:val="center"/>
                    <w:rPr>
                      <w:bCs/>
                      <w:szCs w:val="21"/>
                    </w:rPr>
                  </w:pPr>
                  <w:r>
                    <w:rPr>
                      <w:bCs/>
                      <w:szCs w:val="21"/>
                    </w:rPr>
                    <w:t>O</w:t>
                  </w:r>
                  <w:r>
                    <w:rPr>
                      <w:bCs/>
                      <w:szCs w:val="21"/>
                      <w:vertAlign w:val="subscript"/>
                    </w:rPr>
                    <w:t>3</w:t>
                  </w: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日最大8小时平均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160μg/m</w:t>
                  </w:r>
                  <w:r>
                    <w:rPr>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661" w:type="dxa"/>
                  <w:vMerge w:val="continue"/>
                  <w:tcBorders>
                    <w:tl2br w:val="nil"/>
                    <w:tr2bl w:val="nil"/>
                  </w:tcBorders>
                  <w:noWrap/>
                  <w:vAlign w:val="center"/>
                </w:tcPr>
                <w:p>
                  <w:pPr>
                    <w:kinsoku w:val="0"/>
                    <w:wordWrap w:val="0"/>
                    <w:topLinePunct/>
                    <w:adjustRightInd w:val="0"/>
                    <w:snapToGrid w:val="0"/>
                    <w:jc w:val="center"/>
                    <w:rPr>
                      <w:bCs/>
                      <w:szCs w:val="21"/>
                    </w:rPr>
                  </w:pPr>
                </w:p>
              </w:tc>
              <w:tc>
                <w:tcPr>
                  <w:tcW w:w="3195" w:type="dxa"/>
                  <w:tcBorders>
                    <w:tl2br w:val="nil"/>
                    <w:tr2bl w:val="nil"/>
                  </w:tcBorders>
                  <w:noWrap/>
                  <w:vAlign w:val="center"/>
                </w:tcPr>
                <w:p>
                  <w:pPr>
                    <w:kinsoku w:val="0"/>
                    <w:wordWrap w:val="0"/>
                    <w:topLinePunct/>
                    <w:adjustRightInd w:val="0"/>
                    <w:snapToGrid w:val="0"/>
                    <w:jc w:val="center"/>
                    <w:rPr>
                      <w:bCs/>
                      <w:szCs w:val="21"/>
                    </w:rPr>
                  </w:pPr>
                  <w:r>
                    <w:rPr>
                      <w:bCs/>
                      <w:szCs w:val="21"/>
                    </w:rPr>
                    <w:t>1小时平均</w:t>
                  </w:r>
                </w:p>
              </w:tc>
              <w:tc>
                <w:tcPr>
                  <w:tcW w:w="3383" w:type="dxa"/>
                  <w:tcBorders>
                    <w:tl2br w:val="nil"/>
                    <w:tr2bl w:val="nil"/>
                  </w:tcBorders>
                  <w:noWrap/>
                  <w:vAlign w:val="center"/>
                </w:tcPr>
                <w:p>
                  <w:pPr>
                    <w:kinsoku w:val="0"/>
                    <w:wordWrap w:val="0"/>
                    <w:topLinePunct/>
                    <w:adjustRightInd w:val="0"/>
                    <w:snapToGrid w:val="0"/>
                    <w:jc w:val="center"/>
                    <w:rPr>
                      <w:bCs/>
                      <w:szCs w:val="21"/>
                    </w:rPr>
                  </w:pPr>
                  <w:r>
                    <w:rPr>
                      <w:bCs/>
                      <w:szCs w:val="21"/>
                    </w:rPr>
                    <w:t>200μg/m</w:t>
                  </w:r>
                  <w:r>
                    <w:rPr>
                      <w:bCs/>
                      <w:szCs w:val="21"/>
                      <w:vertAlign w:val="superscript"/>
                    </w:rPr>
                    <w:t>3</w:t>
                  </w:r>
                </w:p>
              </w:tc>
            </w:tr>
          </w:tbl>
          <w:p>
            <w:pPr>
              <w:kinsoku w:val="0"/>
              <w:wordWrap w:val="0"/>
              <w:topLinePunct/>
              <w:ind w:firstLine="510" w:firstLineChars="200"/>
              <w:rPr>
                <w:kern w:val="0"/>
                <w:sz w:val="24"/>
              </w:rPr>
            </w:pPr>
            <w:r>
              <w:rPr>
                <w:kern w:val="0"/>
                <w:sz w:val="24"/>
              </w:rPr>
              <w:t>（2）地表水环境质量标准</w:t>
            </w:r>
          </w:p>
          <w:p>
            <w:pPr>
              <w:kinsoku w:val="0"/>
              <w:wordWrap w:val="0"/>
              <w:topLinePunct/>
              <w:ind w:firstLine="510" w:firstLineChars="200"/>
            </w:pPr>
            <w:r>
              <w:rPr>
                <w:kern w:val="0"/>
                <w:sz w:val="24"/>
              </w:rPr>
              <w:t>雅石沟水库水质目标为Ⅲ类水质，执行《地表水环境质量标准》（GB3838-2002）Ⅲ类标准，标准值见表3-7。</w:t>
            </w:r>
          </w:p>
          <w:p>
            <w:pPr>
              <w:kinsoku w:val="0"/>
              <w:wordWrap w:val="0"/>
              <w:topLinePunct/>
              <w:adjustRightInd w:val="0"/>
              <w:snapToGrid w:val="0"/>
              <w:jc w:val="center"/>
              <w:rPr>
                <w:rFonts w:eastAsia="黑体"/>
                <w:bCs/>
                <w:kern w:val="0"/>
                <w:sz w:val="24"/>
              </w:rPr>
            </w:pPr>
            <w:r>
              <w:rPr>
                <w:rFonts w:eastAsia="黑体"/>
                <w:bCs/>
                <w:kern w:val="0"/>
                <w:sz w:val="24"/>
              </w:rPr>
              <w:t>表3-7  地表水环境质量标准单位：mg/L</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2"/>
              <w:gridCol w:w="2268"/>
              <w:gridCol w:w="2726"/>
              <w:gridCol w:w="27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rPr>
                      <w:b/>
                      <w:bCs/>
                    </w:rPr>
                  </w:pPr>
                  <w:r>
                    <w:rPr>
                      <w:b/>
                      <w:bCs/>
                    </w:rPr>
                    <w:t>序号</w:t>
                  </w:r>
                </w:p>
              </w:tc>
              <w:tc>
                <w:tcPr>
                  <w:tcW w:w="2536" w:type="dxa"/>
                  <w:tcBorders>
                    <w:tl2br w:val="nil"/>
                    <w:tr2bl w:val="nil"/>
                  </w:tcBorders>
                  <w:noWrap/>
                  <w:vAlign w:val="center"/>
                </w:tcPr>
                <w:p>
                  <w:pPr>
                    <w:adjustRightInd w:val="0"/>
                    <w:snapToGrid w:val="0"/>
                    <w:jc w:val="center"/>
                    <w:rPr>
                      <w:b/>
                      <w:bCs/>
                    </w:rPr>
                  </w:pPr>
                  <w:r>
                    <w:rPr>
                      <w:b/>
                      <w:bCs/>
                    </w:rPr>
                    <w:t>污染物</w:t>
                  </w:r>
                </w:p>
              </w:tc>
              <w:tc>
                <w:tcPr>
                  <w:tcW w:w="3055" w:type="dxa"/>
                  <w:tcBorders>
                    <w:tl2br w:val="nil"/>
                    <w:tr2bl w:val="nil"/>
                  </w:tcBorders>
                  <w:noWrap/>
                  <w:vAlign w:val="center"/>
                </w:tcPr>
                <w:p>
                  <w:pPr>
                    <w:adjustRightInd w:val="0"/>
                    <w:snapToGrid w:val="0"/>
                    <w:jc w:val="center"/>
                    <w:rPr>
                      <w:b/>
                      <w:bCs/>
                    </w:rPr>
                  </w:pPr>
                  <w:r>
                    <w:rPr>
                      <w:b/>
                      <w:bCs/>
                    </w:rPr>
                    <w:t>单位</w:t>
                  </w:r>
                </w:p>
              </w:tc>
              <w:tc>
                <w:tcPr>
                  <w:tcW w:w="3055" w:type="dxa"/>
                  <w:tcBorders>
                    <w:tl2br w:val="nil"/>
                    <w:tr2bl w:val="nil"/>
                  </w:tcBorders>
                  <w:noWrap/>
                  <w:vAlign w:val="center"/>
                </w:tcPr>
                <w:p>
                  <w:pPr>
                    <w:adjustRightInd w:val="0"/>
                    <w:snapToGrid w:val="0"/>
                    <w:jc w:val="center"/>
                    <w:rPr>
                      <w:b/>
                      <w:bCs/>
                    </w:rPr>
                  </w:pPr>
                  <w:r>
                    <w:rPr>
                      <w:b/>
                      <w:bCs/>
                      <w:spacing w:val="11"/>
                    </w:rPr>
                    <w:t>Ⅲ类标准限值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pH值</w:t>
                  </w:r>
                </w:p>
              </w:tc>
              <w:tc>
                <w:tcPr>
                  <w:tcW w:w="3055" w:type="dxa"/>
                  <w:tcBorders>
                    <w:tl2br w:val="nil"/>
                    <w:tr2bl w:val="nil"/>
                  </w:tcBorders>
                  <w:noWrap/>
                  <w:vAlign w:val="center"/>
                </w:tcPr>
                <w:p>
                  <w:pPr>
                    <w:adjustRightInd w:val="0"/>
                    <w:snapToGrid w:val="0"/>
                    <w:jc w:val="center"/>
                  </w:pPr>
                  <w:r>
                    <w:t>无量纲</w:t>
                  </w:r>
                </w:p>
              </w:tc>
              <w:tc>
                <w:tcPr>
                  <w:tcW w:w="3055" w:type="dxa"/>
                  <w:tcBorders>
                    <w:tl2br w:val="nil"/>
                    <w:tr2bl w:val="nil"/>
                  </w:tcBorders>
                  <w:noWrap/>
                  <w:vAlign w:val="center"/>
                </w:tcPr>
                <w:p>
                  <w:pPr>
                    <w:autoSpaceDE w:val="0"/>
                    <w:autoSpaceDN w:val="0"/>
                    <w:snapToGrid w:val="0"/>
                    <w:jc w:val="center"/>
                    <w:rPr>
                      <w:szCs w:val="21"/>
                    </w:rPr>
                  </w:pPr>
                  <w:r>
                    <w:rPr>
                      <w:szCs w:val="28"/>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溶解氧</w:t>
                  </w:r>
                </w:p>
              </w:tc>
              <w:tc>
                <w:tcPr>
                  <w:tcW w:w="3055" w:type="dxa"/>
                  <w:tcBorders>
                    <w:tl2br w:val="nil"/>
                    <w:tr2bl w:val="nil"/>
                  </w:tcBorders>
                  <w:noWrap/>
                  <w:vAlign w:val="center"/>
                </w:tcPr>
                <w:p>
                  <w:pPr>
                    <w:adjustRightInd w:val="0"/>
                    <w:snapToGrid w:val="0"/>
                    <w:jc w:val="center"/>
                  </w:pPr>
                  <w:r>
                    <w:t>mg/L</w:t>
                  </w:r>
                </w:p>
              </w:tc>
              <w:tc>
                <w:tcPr>
                  <w:tcW w:w="3055" w:type="dxa"/>
                  <w:tcBorders>
                    <w:tl2br w:val="nil"/>
                    <w:tr2bl w:val="nil"/>
                  </w:tcBorders>
                  <w:noWrap/>
                  <w:vAlign w:val="center"/>
                </w:tcPr>
                <w:p>
                  <w:pPr>
                    <w:autoSpaceDE w:val="0"/>
                    <w:autoSpaceDN w:val="0"/>
                    <w:snapToGrid w:val="0"/>
                    <w:jc w:val="center"/>
                    <w:rPr>
                      <w:szCs w:val="21"/>
                    </w:rPr>
                  </w:pPr>
                  <w:r>
                    <w:rPr>
                      <w:szCs w:val="2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3</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高锰酸盐指数</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4</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化学需氧量（COD）</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5</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五日生化需氧量（BOD</w:t>
                  </w:r>
                  <w:r>
                    <w:rPr>
                      <w:szCs w:val="28"/>
                      <w:vertAlign w:val="subscript"/>
                    </w:rPr>
                    <w:t>5</w:t>
                  </w:r>
                  <w:r>
                    <w:rPr>
                      <w:szCs w:val="28"/>
                    </w:rPr>
                    <w:t>）</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6</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氨氮（NH</w:t>
                  </w:r>
                  <w:r>
                    <w:rPr>
                      <w:szCs w:val="28"/>
                      <w:vertAlign w:val="subscript"/>
                    </w:rPr>
                    <w:t>3</w:t>
                  </w:r>
                  <w:r>
                    <w:rPr>
                      <w:szCs w:val="28"/>
                    </w:rPr>
                    <w:t>-N）</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7</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总磷（以P计）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≤0.05（湖、库）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8</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总氮（湖、库，以N计）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9</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锌</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10</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氟化物（以F</w:t>
                  </w:r>
                  <w:r>
                    <w:rPr>
                      <w:szCs w:val="28"/>
                      <w:vertAlign w:val="superscript"/>
                    </w:rPr>
                    <w:t>-</w:t>
                  </w:r>
                  <w:r>
                    <w:rPr>
                      <w:szCs w:val="28"/>
                    </w:rPr>
                    <w:t>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11</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砷</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12</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汞</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13</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镉</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14</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铬（六价）</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15</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铅</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16</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石油类</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17</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阴离子表面活性剂</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18</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硫化物</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19</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粪大肠菌群（CFU/L）</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≤10000（个/L）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20</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氯化物（以Cl</w:t>
                  </w:r>
                  <w:r>
                    <w:rPr>
                      <w:szCs w:val="28"/>
                      <w:vertAlign w:val="superscript"/>
                    </w:rPr>
                    <w:t>-</w:t>
                  </w:r>
                  <w:r>
                    <w:rPr>
                      <w:szCs w:val="28"/>
                    </w:rPr>
                    <w:t>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21</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镍</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22</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透明度</w:t>
                  </w:r>
                </w:p>
              </w:tc>
              <w:tc>
                <w:tcPr>
                  <w:tcW w:w="3055" w:type="dxa"/>
                  <w:tcBorders>
                    <w:tl2br w:val="nil"/>
                    <w:tr2bl w:val="nil"/>
                  </w:tcBorders>
                  <w:noWrap/>
                  <w:vAlign w:val="center"/>
                </w:tcPr>
                <w:p>
                  <w:pPr>
                    <w:adjustRightInd w:val="0"/>
                    <w:snapToGrid w:val="0"/>
                    <w:jc w:val="center"/>
                  </w:pPr>
                  <w:r>
                    <w:t>cm</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23</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浊度</w:t>
                  </w:r>
                </w:p>
              </w:tc>
              <w:tc>
                <w:tcPr>
                  <w:tcW w:w="3055" w:type="dxa"/>
                  <w:tcBorders>
                    <w:tl2br w:val="nil"/>
                    <w:tr2bl w:val="nil"/>
                  </w:tcBorders>
                  <w:noWrap/>
                  <w:vAlign w:val="center"/>
                </w:tcPr>
                <w:p>
                  <w:pPr>
                    <w:adjustRightInd w:val="0"/>
                    <w:snapToGrid w:val="0"/>
                    <w:jc w:val="center"/>
                    <w:rPr>
                      <w:rFonts w:eastAsia="黑体"/>
                      <w:sz w:val="24"/>
                    </w:rPr>
                  </w:pPr>
                  <w:r>
                    <w:rPr>
                      <w:szCs w:val="28"/>
                    </w:rPr>
                    <w:t>NTU</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24</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蛔虫卵</w:t>
                  </w:r>
                </w:p>
              </w:tc>
              <w:tc>
                <w:tcPr>
                  <w:tcW w:w="3055" w:type="dxa"/>
                  <w:tcBorders>
                    <w:tl2br w:val="nil"/>
                    <w:tr2bl w:val="nil"/>
                  </w:tcBorders>
                  <w:noWrap/>
                  <w:vAlign w:val="center"/>
                </w:tcPr>
                <w:p>
                  <w:pPr>
                    <w:adjustRightInd w:val="0"/>
                    <w:snapToGrid w:val="0"/>
                    <w:jc w:val="center"/>
                    <w:rPr>
                      <w:rFonts w:eastAsia="黑体"/>
                      <w:sz w:val="24"/>
                    </w:rPr>
                  </w:pPr>
                  <w:r>
                    <w:rPr>
                      <w:szCs w:val="28"/>
                    </w:rPr>
                    <w:t>个/10L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25</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叶绿素a</w:t>
                  </w:r>
                </w:p>
              </w:tc>
              <w:tc>
                <w:tcPr>
                  <w:tcW w:w="3055" w:type="dxa"/>
                  <w:tcBorders>
                    <w:tl2br w:val="nil"/>
                    <w:tr2bl w:val="nil"/>
                  </w:tcBorders>
                  <w:noWrap/>
                  <w:vAlign w:val="center"/>
                </w:tcPr>
                <w:p>
                  <w:pPr>
                    <w:adjustRightInd w:val="0"/>
                    <w:snapToGrid w:val="0"/>
                    <w:jc w:val="center"/>
                    <w:rPr>
                      <w:rFonts w:eastAsia="黑体"/>
                      <w:sz w:val="24"/>
                    </w:rPr>
                  </w:pPr>
                  <w:r>
                    <w:rPr>
                      <w:szCs w:val="28"/>
                    </w:rPr>
                    <w:t>μg/L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26</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悬浮物</w:t>
                  </w:r>
                </w:p>
              </w:tc>
              <w:tc>
                <w:tcPr>
                  <w:tcW w:w="3055" w:type="dxa"/>
                  <w:tcBorders>
                    <w:tl2br w:val="nil"/>
                    <w:tr2bl w:val="nil"/>
                  </w:tcBorders>
                  <w:noWrap/>
                  <w:vAlign w:val="center"/>
                </w:tcPr>
                <w:p>
                  <w:pPr>
                    <w:adjustRightInd w:val="0"/>
                    <w:snapToGrid w:val="0"/>
                    <w:jc w:val="center"/>
                    <w:rPr>
                      <w:rFonts w:eastAsia="黑体"/>
                      <w:sz w:val="24"/>
                    </w:rPr>
                  </w:pPr>
                  <w:r>
                    <w:rPr>
                      <w:rFonts w:eastAsia="黑体"/>
                      <w:sz w:val="24"/>
                    </w:rPr>
                    <w:t>mg/L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27</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全盐量</w:t>
                  </w:r>
                </w:p>
              </w:tc>
              <w:tc>
                <w:tcPr>
                  <w:tcW w:w="3055" w:type="dxa"/>
                  <w:tcBorders>
                    <w:tl2br w:val="nil"/>
                    <w:tr2bl w:val="nil"/>
                  </w:tcBorders>
                  <w:noWrap/>
                  <w:vAlign w:val="center"/>
                </w:tcPr>
                <w:p>
                  <w:pPr>
                    <w:adjustRightInd w:val="0"/>
                    <w:snapToGrid w:val="0"/>
                    <w:jc w:val="center"/>
                    <w:rPr>
                      <w:rFonts w:eastAsia="黑体"/>
                      <w:sz w:val="24"/>
                    </w:rPr>
                  </w:pPr>
                  <w:r>
                    <w:rPr>
                      <w:rFonts w:eastAsia="黑体"/>
                      <w:sz w:val="24"/>
                    </w:rPr>
                    <w:t>mg/L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bl>
          <w:p>
            <w:pPr>
              <w:kinsoku w:val="0"/>
              <w:wordWrap w:val="0"/>
              <w:topLinePunct/>
              <w:ind w:firstLine="510" w:firstLineChars="200"/>
              <w:rPr>
                <w:kern w:val="0"/>
                <w:sz w:val="24"/>
              </w:rPr>
            </w:pPr>
            <w:r>
              <w:rPr>
                <w:kern w:val="0"/>
                <w:sz w:val="24"/>
              </w:rPr>
              <w:t>（3）声环境质量标准</w:t>
            </w:r>
          </w:p>
          <w:p>
            <w:pPr>
              <w:kinsoku w:val="0"/>
              <w:wordWrap w:val="0"/>
              <w:topLinePunct/>
              <w:ind w:firstLine="510" w:firstLineChars="200"/>
              <w:rPr>
                <w:kern w:val="0"/>
                <w:sz w:val="24"/>
              </w:rPr>
            </w:pPr>
            <w:bookmarkStart w:id="14" w:name="_Hlk18592775"/>
            <w:r>
              <w:rPr>
                <w:kern w:val="0"/>
                <w:sz w:val="24"/>
              </w:rPr>
              <w:t>项</w:t>
            </w:r>
            <w:bookmarkEnd w:id="14"/>
            <w:r>
              <w:rPr>
                <w:kern w:val="0"/>
                <w:sz w:val="24"/>
              </w:rPr>
              <w:t>目所在区域执行《声环境质量标准》（GB3096-2008）中的1类标准限值，具体详见表3-9。</w:t>
            </w:r>
          </w:p>
          <w:p>
            <w:pPr>
              <w:kinsoku w:val="0"/>
              <w:wordWrap w:val="0"/>
              <w:topLinePunct/>
              <w:adjustRightInd w:val="0"/>
              <w:snapToGrid w:val="0"/>
              <w:jc w:val="center"/>
              <w:rPr>
                <w:rFonts w:eastAsia="黑体"/>
                <w:bCs/>
                <w:kern w:val="0"/>
                <w:sz w:val="24"/>
              </w:rPr>
            </w:pPr>
            <w:r>
              <w:rPr>
                <w:rFonts w:eastAsia="黑体"/>
                <w:bCs/>
                <w:kern w:val="0"/>
                <w:sz w:val="24"/>
              </w:rPr>
              <w:t>表3-9  声环境质量评价执行标准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842"/>
              <w:gridCol w:w="2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4" w:type="dxa"/>
                  <w:tcBorders>
                    <w:tl2br w:val="nil"/>
                    <w:tr2bl w:val="nil"/>
                  </w:tcBorders>
                  <w:noWrap/>
                  <w:vAlign w:val="center"/>
                </w:tcPr>
                <w:p>
                  <w:pPr>
                    <w:pStyle w:val="63"/>
                    <w:kinsoku w:val="0"/>
                    <w:wordWrap w:val="0"/>
                    <w:topLinePunct/>
                    <w:rPr>
                      <w:b/>
                    </w:rPr>
                  </w:pPr>
                  <w:r>
                    <w:rPr>
                      <w:b/>
                    </w:rPr>
                    <w:t>声功能区类别</w:t>
                  </w:r>
                </w:p>
              </w:tc>
              <w:tc>
                <w:tcPr>
                  <w:tcW w:w="3101" w:type="dxa"/>
                  <w:tcBorders>
                    <w:tl2br w:val="nil"/>
                    <w:tr2bl w:val="nil"/>
                  </w:tcBorders>
                  <w:noWrap/>
                  <w:vAlign w:val="center"/>
                </w:tcPr>
                <w:p>
                  <w:pPr>
                    <w:pStyle w:val="63"/>
                    <w:kinsoku w:val="0"/>
                    <w:wordWrap w:val="0"/>
                    <w:topLinePunct/>
                    <w:rPr>
                      <w:b/>
                    </w:rPr>
                  </w:pPr>
                  <w:r>
                    <w:rPr>
                      <w:b/>
                    </w:rPr>
                    <w:t>昼间〔dB（A）〕</w:t>
                  </w:r>
                </w:p>
              </w:tc>
              <w:tc>
                <w:tcPr>
                  <w:tcW w:w="3097" w:type="dxa"/>
                  <w:tcBorders>
                    <w:tl2br w:val="nil"/>
                    <w:tr2bl w:val="nil"/>
                  </w:tcBorders>
                  <w:noWrap/>
                  <w:vAlign w:val="center"/>
                </w:tcPr>
                <w:p>
                  <w:pPr>
                    <w:pStyle w:val="63"/>
                    <w:kinsoku w:val="0"/>
                    <w:wordWrap w:val="0"/>
                    <w:topLinePunct/>
                    <w:rPr>
                      <w:b/>
                    </w:rPr>
                  </w:pPr>
                  <w:r>
                    <w:rPr>
                      <w:b/>
                    </w:rPr>
                    <w:t>夜间〔dB（A）〕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4" w:type="dxa"/>
                  <w:tcBorders>
                    <w:tl2br w:val="nil"/>
                    <w:tr2bl w:val="nil"/>
                  </w:tcBorders>
                  <w:noWrap/>
                  <w:vAlign w:val="center"/>
                </w:tcPr>
                <w:p>
                  <w:pPr>
                    <w:pStyle w:val="63"/>
                    <w:kinsoku w:val="0"/>
                    <w:wordWrap w:val="0"/>
                    <w:topLinePunct/>
                    <w:rPr>
                      <w:bCs/>
                    </w:rPr>
                  </w:pPr>
                  <w:r>
                    <w:rPr>
                      <w:bCs/>
                    </w:rPr>
                    <w:t>1类</w:t>
                  </w:r>
                </w:p>
              </w:tc>
              <w:tc>
                <w:tcPr>
                  <w:tcW w:w="3101" w:type="dxa"/>
                  <w:tcBorders>
                    <w:tl2br w:val="nil"/>
                    <w:tr2bl w:val="nil"/>
                  </w:tcBorders>
                  <w:noWrap/>
                  <w:vAlign w:val="center"/>
                </w:tcPr>
                <w:p>
                  <w:pPr>
                    <w:pStyle w:val="63"/>
                    <w:kinsoku w:val="0"/>
                    <w:wordWrap w:val="0"/>
                    <w:topLinePunct/>
                    <w:rPr>
                      <w:bCs/>
                    </w:rPr>
                  </w:pPr>
                  <w:r>
                    <w:rPr>
                      <w:bCs/>
                    </w:rPr>
                    <w:t>55</w:t>
                  </w:r>
                </w:p>
              </w:tc>
              <w:tc>
                <w:tcPr>
                  <w:tcW w:w="3097" w:type="dxa"/>
                  <w:tcBorders>
                    <w:tl2br w:val="nil"/>
                    <w:tr2bl w:val="nil"/>
                  </w:tcBorders>
                  <w:noWrap/>
                  <w:vAlign w:val="center"/>
                </w:tcPr>
                <w:p>
                  <w:pPr>
                    <w:pStyle w:val="63"/>
                    <w:kinsoku w:val="0"/>
                    <w:wordWrap w:val="0"/>
                    <w:topLinePunct/>
                    <w:rPr>
                      <w:bCs/>
                    </w:rPr>
                  </w:pPr>
                  <w:r>
                    <w:rPr>
                      <w:bCs/>
                    </w:rPr>
                    <w:t>45</w:t>
                  </w:r>
                </w:p>
              </w:tc>
            </w:tr>
          </w:tbl>
          <w:p>
            <w:pPr>
              <w:autoSpaceDE w:val="0"/>
              <w:autoSpaceDN w:val="0"/>
              <w:spacing w:before="240" w:after="60"/>
              <w:jc w:val="left"/>
              <w:rPr>
                <w:rFonts w:eastAsia="黑体"/>
                <w:kern w:val="0"/>
                <w:sz w:val="24"/>
              </w:rPr>
            </w:pPr>
            <w:r>
              <w:rPr>
                <w:rFonts w:eastAsia="黑体"/>
                <w:kern w:val="0"/>
                <w:sz w:val="24"/>
              </w:rPr>
              <w:t>2、污染物排放标准</w:t>
            </w:r>
          </w:p>
          <w:p>
            <w:pPr>
              <w:ind w:firstLine="510" w:firstLineChars="200"/>
              <w:rPr>
                <w:sz w:val="24"/>
              </w:rPr>
            </w:pPr>
            <w:r>
              <w:rPr>
                <w:sz w:val="24"/>
              </w:rPr>
              <w:t>（1）大气污染物排放标准</w:t>
            </w:r>
          </w:p>
          <w:p>
            <w:pPr>
              <w:ind w:firstLine="510" w:firstLineChars="200"/>
            </w:pPr>
            <w:r>
              <w:rPr>
                <w:sz w:val="24"/>
              </w:rPr>
              <w:t>施工期颗粒物排放执行《大气污染物综合排放标准》(GB16297-1996）无组织排放监控浓度限值。</w:t>
            </w:r>
          </w:p>
          <w:p>
            <w:pPr>
              <w:adjustRightInd w:val="0"/>
              <w:snapToGrid w:val="0"/>
              <w:jc w:val="center"/>
              <w:rPr>
                <w:bCs/>
                <w:szCs w:val="21"/>
              </w:rPr>
            </w:pPr>
            <w:r>
              <w:rPr>
                <w:rFonts w:eastAsia="黑体"/>
                <w:bCs/>
                <w:sz w:val="24"/>
                <w:szCs w:val="21"/>
              </w:rPr>
              <w:t xml:space="preserve">3-10  </w:t>
            </w:r>
            <w:r>
              <w:rPr>
                <w:rFonts w:eastAsia="黑体"/>
                <w:bCs/>
                <w:sz w:val="24"/>
              </w:rPr>
              <w:t>大气污染物排放标准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384"/>
              <w:gridCol w:w="2056"/>
              <w:gridCol w:w="2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Merge w:val="restart"/>
                  <w:noWrap/>
                  <w:vAlign w:val="center"/>
                </w:tcPr>
                <w:p>
                  <w:pPr>
                    <w:pStyle w:val="80"/>
                    <w:adjustRightInd w:val="0"/>
                    <w:snapToGrid w:val="0"/>
                    <w:rPr>
                      <w:rFonts w:hint="default"/>
                      <w:b/>
                      <w:bCs/>
                      <w:color w:val="auto"/>
                    </w:rPr>
                  </w:pPr>
                  <w:r>
                    <w:rPr>
                      <w:rFonts w:hint="default"/>
                      <w:b/>
                      <w:bCs/>
                      <w:color w:val="auto"/>
                    </w:rPr>
                    <w:t>污染物</w:t>
                  </w:r>
                </w:p>
              </w:tc>
              <w:tc>
                <w:tcPr>
                  <w:tcW w:w="4440" w:type="dxa"/>
                  <w:gridSpan w:val="2"/>
                  <w:noWrap/>
                  <w:vAlign w:val="center"/>
                </w:tcPr>
                <w:p>
                  <w:pPr>
                    <w:pStyle w:val="80"/>
                    <w:adjustRightInd w:val="0"/>
                    <w:snapToGrid w:val="0"/>
                    <w:rPr>
                      <w:rFonts w:hint="default"/>
                      <w:b/>
                      <w:bCs/>
                      <w:color w:val="auto"/>
                    </w:rPr>
                  </w:pPr>
                  <w:r>
                    <w:rPr>
                      <w:rFonts w:hint="default"/>
                      <w:b/>
                      <w:bCs/>
                      <w:color w:val="auto"/>
                    </w:rPr>
                    <w:t>无组织排放监控浓度限值</w:t>
                  </w:r>
                </w:p>
              </w:tc>
              <w:tc>
                <w:tcPr>
                  <w:tcW w:w="2545" w:type="dxa"/>
                  <w:vMerge w:val="restart"/>
                  <w:noWrap/>
                  <w:vAlign w:val="center"/>
                </w:tcPr>
                <w:p>
                  <w:pPr>
                    <w:pStyle w:val="80"/>
                    <w:adjustRightInd w:val="0"/>
                    <w:snapToGrid w:val="0"/>
                    <w:rPr>
                      <w:rFonts w:hint="default"/>
                      <w:b/>
                      <w:bCs/>
                      <w:color w:val="auto"/>
                    </w:rPr>
                  </w:pPr>
                  <w:r>
                    <w:rPr>
                      <w:rFonts w:hint="default"/>
                      <w:b/>
                      <w:bCs/>
                      <w:color w:val="auto"/>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vMerge w:val="continue"/>
                  <w:noWrap/>
                  <w:vAlign w:val="center"/>
                </w:tcPr>
                <w:p>
                  <w:pPr>
                    <w:pStyle w:val="80"/>
                    <w:adjustRightInd w:val="0"/>
                    <w:snapToGrid w:val="0"/>
                    <w:rPr>
                      <w:rFonts w:hint="default"/>
                      <w:b/>
                      <w:bCs/>
                      <w:color w:val="auto"/>
                    </w:rPr>
                  </w:pPr>
                </w:p>
              </w:tc>
              <w:tc>
                <w:tcPr>
                  <w:tcW w:w="2384" w:type="dxa"/>
                  <w:noWrap/>
                  <w:vAlign w:val="center"/>
                </w:tcPr>
                <w:p>
                  <w:pPr>
                    <w:pStyle w:val="80"/>
                    <w:adjustRightInd w:val="0"/>
                    <w:snapToGrid w:val="0"/>
                    <w:rPr>
                      <w:rFonts w:hint="default"/>
                      <w:b/>
                      <w:bCs/>
                      <w:color w:val="auto"/>
                    </w:rPr>
                  </w:pPr>
                  <w:r>
                    <w:rPr>
                      <w:rFonts w:hint="default"/>
                      <w:b/>
                      <w:bCs/>
                      <w:color w:val="auto"/>
                    </w:rPr>
                    <w:t>监控点</w:t>
                  </w:r>
                </w:p>
              </w:tc>
              <w:tc>
                <w:tcPr>
                  <w:tcW w:w="2056" w:type="dxa"/>
                  <w:noWrap/>
                  <w:vAlign w:val="center"/>
                </w:tcPr>
                <w:p>
                  <w:pPr>
                    <w:pStyle w:val="80"/>
                    <w:adjustRightInd w:val="0"/>
                    <w:snapToGrid w:val="0"/>
                    <w:rPr>
                      <w:rFonts w:hint="default"/>
                      <w:b/>
                      <w:bCs/>
                      <w:color w:val="auto"/>
                    </w:rPr>
                  </w:pPr>
                  <w:r>
                    <w:rPr>
                      <w:rFonts w:hint="default"/>
                      <w:b/>
                      <w:bCs/>
                      <w:color w:val="auto"/>
                    </w:rPr>
                    <w:t>浓度</w:t>
                  </w:r>
                </w:p>
              </w:tc>
              <w:tc>
                <w:tcPr>
                  <w:tcW w:w="2545" w:type="dxa"/>
                  <w:vMerge w:val="continue"/>
                  <w:noWrap/>
                  <w:vAlign w:val="center"/>
                </w:tcPr>
                <w:p>
                  <w:pPr>
                    <w:pStyle w:val="80"/>
                    <w:adjustRightInd w:val="0"/>
                    <w:snapToGrid w:val="0"/>
                    <w:rPr>
                      <w:rFonts w:hint="default"/>
                      <w:b/>
                      <w:bCs/>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noWrap/>
                  <w:vAlign w:val="center"/>
                </w:tcPr>
                <w:p>
                  <w:pPr>
                    <w:pStyle w:val="80"/>
                    <w:adjustRightInd w:val="0"/>
                    <w:snapToGrid w:val="0"/>
                    <w:rPr>
                      <w:rFonts w:hint="default"/>
                      <w:color w:val="auto"/>
                    </w:rPr>
                  </w:pPr>
                  <w:r>
                    <w:rPr>
                      <w:rFonts w:hint="default"/>
                      <w:color w:val="auto"/>
                    </w:rPr>
                    <w:t>颗粒物</w:t>
                  </w:r>
                </w:p>
              </w:tc>
              <w:tc>
                <w:tcPr>
                  <w:tcW w:w="2384" w:type="dxa"/>
                  <w:noWrap/>
                  <w:vAlign w:val="center"/>
                </w:tcPr>
                <w:p>
                  <w:pPr>
                    <w:pStyle w:val="80"/>
                    <w:adjustRightInd w:val="0"/>
                    <w:snapToGrid w:val="0"/>
                    <w:rPr>
                      <w:rFonts w:hint="default"/>
                      <w:color w:val="auto"/>
                    </w:rPr>
                  </w:pPr>
                  <w:r>
                    <w:rPr>
                      <w:rFonts w:hint="default"/>
                      <w:color w:val="auto"/>
                    </w:rPr>
                    <w:t>周界外浓度最高点</w:t>
                  </w:r>
                </w:p>
              </w:tc>
              <w:tc>
                <w:tcPr>
                  <w:tcW w:w="2056" w:type="dxa"/>
                  <w:noWrap/>
                  <w:vAlign w:val="center"/>
                </w:tcPr>
                <w:p>
                  <w:pPr>
                    <w:pStyle w:val="80"/>
                    <w:adjustRightInd w:val="0"/>
                    <w:snapToGrid w:val="0"/>
                    <w:rPr>
                      <w:rFonts w:hint="default"/>
                      <w:color w:val="auto"/>
                    </w:rPr>
                  </w:pPr>
                  <w:r>
                    <w:rPr>
                      <w:rFonts w:hint="default"/>
                      <w:color w:val="auto"/>
                    </w:rPr>
                    <w:t>1.0mg/m</w:t>
                  </w:r>
                  <w:r>
                    <w:rPr>
                      <w:rFonts w:hint="default"/>
                      <w:color w:val="auto"/>
                      <w:vertAlign w:val="superscript"/>
                    </w:rPr>
                    <w:t>3</w:t>
                  </w:r>
                </w:p>
              </w:tc>
              <w:tc>
                <w:tcPr>
                  <w:tcW w:w="2545" w:type="dxa"/>
                  <w:noWrap/>
                  <w:vAlign w:val="center"/>
                </w:tcPr>
                <w:p>
                  <w:pPr>
                    <w:pStyle w:val="80"/>
                    <w:adjustRightInd w:val="0"/>
                    <w:snapToGrid w:val="0"/>
                    <w:rPr>
                      <w:rFonts w:hint="default"/>
                      <w:color w:val="auto"/>
                    </w:rPr>
                  </w:pPr>
                  <w:r>
                    <w:rPr>
                      <w:rFonts w:hint="default"/>
                      <w:color w:val="auto"/>
                    </w:rPr>
                    <w:t>《大气污染物综合排放标准》(GB16297-1996)</w:t>
                  </w:r>
                </w:p>
              </w:tc>
            </w:tr>
          </w:tbl>
          <w:p>
            <w:pPr>
              <w:ind w:firstLine="510" w:firstLineChars="200"/>
              <w:rPr>
                <w:sz w:val="24"/>
              </w:rPr>
            </w:pPr>
            <w:r>
              <w:rPr>
                <w:sz w:val="24"/>
              </w:rPr>
              <w:t>（2）废水排放标准</w:t>
            </w:r>
          </w:p>
          <w:p>
            <w:pPr>
              <w:ind w:firstLine="510" w:firstLineChars="200"/>
              <w:rPr>
                <w:sz w:val="24"/>
              </w:rPr>
            </w:pPr>
            <w:r>
              <w:rPr>
                <w:sz w:val="24"/>
              </w:rPr>
              <w:t>施工期生产废水经沉淀处理后综合利用，不外排；施工期生活污水依托周边村庄旱厕，定期清掏用于周边绿化施肥，洗漱废水用于场区洒水抑尘。本项目施工期废水均综合利用不外排，运营期无废水产生，不执行相关排放标准。</w:t>
            </w:r>
          </w:p>
          <w:p>
            <w:pPr>
              <w:ind w:firstLine="510" w:firstLineChars="200"/>
              <w:rPr>
                <w:sz w:val="24"/>
              </w:rPr>
            </w:pPr>
            <w:r>
              <w:rPr>
                <w:sz w:val="24"/>
              </w:rPr>
              <w:t>（3）噪声排放标准</w:t>
            </w:r>
          </w:p>
          <w:p>
            <w:pPr>
              <w:ind w:firstLine="510" w:firstLineChars="200"/>
              <w:rPr>
                <w:sz w:val="24"/>
              </w:rPr>
            </w:pPr>
            <w:r>
              <w:rPr>
                <w:sz w:val="24"/>
              </w:rPr>
              <w:t>施工期间施工场界噪声执行《建筑施工场界环境噪声排放标准》（GB12523-2011），相关标准值见表3-11。</w:t>
            </w:r>
          </w:p>
          <w:p>
            <w:pPr>
              <w:kinsoku w:val="0"/>
              <w:wordWrap w:val="0"/>
              <w:topLinePunct/>
              <w:adjustRightInd w:val="0"/>
              <w:snapToGrid w:val="0"/>
              <w:jc w:val="center"/>
              <w:rPr>
                <w:rFonts w:eastAsia="黑体"/>
                <w:bCs/>
                <w:kern w:val="0"/>
                <w:sz w:val="24"/>
              </w:rPr>
            </w:pPr>
            <w:r>
              <w:rPr>
                <w:rFonts w:eastAsia="黑体"/>
                <w:bCs/>
                <w:kern w:val="0"/>
                <w:sz w:val="24"/>
              </w:rPr>
              <w:t>表3-11  噪声排放执行标准</w:t>
            </w:r>
          </w:p>
          <w:tbl>
            <w:tblPr>
              <w:tblStyle w:val="2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3"/>
              <w:gridCol w:w="4979"/>
              <w:gridCol w:w="1260"/>
              <w:gridCol w:w="1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Merge w:val="restart"/>
                  <w:tcBorders>
                    <w:tl2br w:val="nil"/>
                    <w:tr2bl w:val="nil"/>
                  </w:tcBorders>
                  <w:noWrap/>
                  <w:vAlign w:val="center"/>
                </w:tcPr>
                <w:p>
                  <w:pPr>
                    <w:kinsoku w:val="0"/>
                    <w:wordWrap w:val="0"/>
                    <w:topLinePunct/>
                    <w:adjustRightInd w:val="0"/>
                    <w:snapToGrid w:val="0"/>
                    <w:jc w:val="center"/>
                    <w:rPr>
                      <w:b/>
                      <w:szCs w:val="21"/>
                    </w:rPr>
                  </w:pPr>
                  <w:bookmarkStart w:id="15" w:name="_Toc200422362"/>
                  <w:r>
                    <w:rPr>
                      <w:b/>
                      <w:szCs w:val="21"/>
                    </w:rPr>
                    <w:t>时间</w:t>
                  </w:r>
                </w:p>
              </w:tc>
              <w:tc>
                <w:tcPr>
                  <w:tcW w:w="4980" w:type="dxa"/>
                  <w:vMerge w:val="restart"/>
                  <w:tcBorders>
                    <w:tl2br w:val="nil"/>
                    <w:tr2bl w:val="nil"/>
                  </w:tcBorders>
                  <w:noWrap/>
                  <w:vAlign w:val="center"/>
                </w:tcPr>
                <w:p>
                  <w:pPr>
                    <w:kinsoku w:val="0"/>
                    <w:wordWrap w:val="0"/>
                    <w:topLinePunct/>
                    <w:adjustRightInd w:val="0"/>
                    <w:snapToGrid w:val="0"/>
                    <w:jc w:val="center"/>
                    <w:rPr>
                      <w:b/>
                      <w:szCs w:val="21"/>
                    </w:rPr>
                  </w:pPr>
                  <w:r>
                    <w:rPr>
                      <w:b/>
                      <w:szCs w:val="21"/>
                    </w:rPr>
                    <w:t>执行标准</w:t>
                  </w:r>
                </w:p>
              </w:tc>
              <w:tc>
                <w:tcPr>
                  <w:tcW w:w="2398" w:type="dxa"/>
                  <w:gridSpan w:val="2"/>
                  <w:tcBorders>
                    <w:tl2br w:val="nil"/>
                    <w:tr2bl w:val="nil"/>
                  </w:tcBorders>
                  <w:noWrap/>
                  <w:vAlign w:val="center"/>
                </w:tcPr>
                <w:p>
                  <w:pPr>
                    <w:kinsoku w:val="0"/>
                    <w:wordWrap w:val="0"/>
                    <w:topLinePunct/>
                    <w:adjustRightInd w:val="0"/>
                    <w:snapToGrid w:val="0"/>
                    <w:jc w:val="center"/>
                    <w:rPr>
                      <w:b/>
                      <w:szCs w:val="21"/>
                    </w:rPr>
                  </w:pPr>
                  <w:r>
                    <w:rPr>
                      <w:b/>
                      <w:szCs w:val="21"/>
                    </w:rPr>
                    <w:t>噪声限值</w:t>
                  </w:r>
                  <w:r>
                    <w:rPr>
                      <w:b/>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vMerge w:val="continue"/>
                  <w:tcBorders>
                    <w:tl2br w:val="nil"/>
                    <w:tr2bl w:val="nil"/>
                  </w:tcBorders>
                  <w:noWrap/>
                  <w:vAlign w:val="center"/>
                </w:tcPr>
                <w:p>
                  <w:pPr>
                    <w:kinsoku w:val="0"/>
                    <w:wordWrap w:val="0"/>
                    <w:topLinePunct/>
                    <w:adjustRightInd w:val="0"/>
                    <w:snapToGrid w:val="0"/>
                    <w:jc w:val="center"/>
                    <w:rPr>
                      <w:b/>
                      <w:szCs w:val="21"/>
                    </w:rPr>
                  </w:pPr>
                </w:p>
              </w:tc>
              <w:tc>
                <w:tcPr>
                  <w:tcW w:w="4980" w:type="dxa"/>
                  <w:vMerge w:val="continue"/>
                  <w:tcBorders>
                    <w:tl2br w:val="nil"/>
                    <w:tr2bl w:val="nil"/>
                  </w:tcBorders>
                  <w:noWrap/>
                  <w:vAlign w:val="center"/>
                </w:tcPr>
                <w:p>
                  <w:pPr>
                    <w:kinsoku w:val="0"/>
                    <w:wordWrap w:val="0"/>
                    <w:topLinePunct/>
                    <w:adjustRightInd w:val="0"/>
                    <w:snapToGrid w:val="0"/>
                    <w:jc w:val="center"/>
                    <w:rPr>
                      <w:b/>
                      <w:szCs w:val="21"/>
                    </w:rPr>
                  </w:pPr>
                </w:p>
              </w:tc>
              <w:tc>
                <w:tcPr>
                  <w:tcW w:w="1260" w:type="dxa"/>
                  <w:tcBorders>
                    <w:tl2br w:val="nil"/>
                    <w:tr2bl w:val="nil"/>
                  </w:tcBorders>
                  <w:noWrap/>
                  <w:vAlign w:val="center"/>
                </w:tcPr>
                <w:p>
                  <w:pPr>
                    <w:kinsoku w:val="0"/>
                    <w:wordWrap w:val="0"/>
                    <w:topLinePunct/>
                    <w:adjustRightInd w:val="0"/>
                    <w:snapToGrid w:val="0"/>
                    <w:jc w:val="center"/>
                    <w:rPr>
                      <w:b/>
                      <w:szCs w:val="21"/>
                    </w:rPr>
                  </w:pPr>
                  <w:r>
                    <w:rPr>
                      <w:b/>
                      <w:szCs w:val="21"/>
                    </w:rPr>
                    <w:t>昼间</w:t>
                  </w:r>
                </w:p>
              </w:tc>
              <w:tc>
                <w:tcPr>
                  <w:tcW w:w="1138" w:type="dxa"/>
                  <w:tcBorders>
                    <w:tl2br w:val="nil"/>
                    <w:tr2bl w:val="nil"/>
                  </w:tcBorders>
                  <w:noWrap/>
                  <w:vAlign w:val="center"/>
                </w:tcPr>
                <w:p>
                  <w:pPr>
                    <w:kinsoku w:val="0"/>
                    <w:wordWrap w:val="0"/>
                    <w:topLinePunct/>
                    <w:adjustRightInd w:val="0"/>
                    <w:snapToGrid w:val="0"/>
                    <w:jc w:val="center"/>
                    <w:rPr>
                      <w:b/>
                      <w:szCs w:val="21"/>
                    </w:rPr>
                  </w:pPr>
                  <w:r>
                    <w:rPr>
                      <w:b/>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3" w:type="dxa"/>
                  <w:tcBorders>
                    <w:tl2br w:val="nil"/>
                    <w:tr2bl w:val="nil"/>
                  </w:tcBorders>
                  <w:noWrap/>
                  <w:vAlign w:val="center"/>
                </w:tcPr>
                <w:p>
                  <w:pPr>
                    <w:kinsoku w:val="0"/>
                    <w:wordWrap w:val="0"/>
                    <w:topLinePunct/>
                    <w:adjustRightInd w:val="0"/>
                    <w:snapToGrid w:val="0"/>
                    <w:jc w:val="center"/>
                    <w:rPr>
                      <w:b/>
                      <w:szCs w:val="21"/>
                    </w:rPr>
                  </w:pPr>
                  <w:r>
                    <w:rPr>
                      <w:b/>
                      <w:szCs w:val="21"/>
                    </w:rPr>
                    <w:t>施工期</w:t>
                  </w:r>
                </w:p>
              </w:tc>
              <w:tc>
                <w:tcPr>
                  <w:tcW w:w="4980" w:type="dxa"/>
                  <w:tcBorders>
                    <w:tl2br w:val="nil"/>
                    <w:tr2bl w:val="nil"/>
                  </w:tcBorders>
                  <w:noWrap/>
                  <w:vAlign w:val="center"/>
                </w:tcPr>
                <w:p>
                  <w:pPr>
                    <w:kinsoku w:val="0"/>
                    <w:wordWrap w:val="0"/>
                    <w:topLinePunct/>
                    <w:adjustRightInd w:val="0"/>
                    <w:snapToGrid w:val="0"/>
                    <w:jc w:val="center"/>
                    <w:rPr>
                      <w:bCs/>
                      <w:szCs w:val="21"/>
                    </w:rPr>
                  </w:pPr>
                  <w:r>
                    <w:rPr>
                      <w:bCs/>
                      <w:szCs w:val="21"/>
                    </w:rPr>
                    <w:t>《建筑施工场界环境噪声排放标准》（GB12523-2011）</w:t>
                  </w:r>
                </w:p>
              </w:tc>
              <w:tc>
                <w:tcPr>
                  <w:tcW w:w="1260" w:type="dxa"/>
                  <w:tcBorders>
                    <w:tl2br w:val="nil"/>
                    <w:tr2bl w:val="nil"/>
                  </w:tcBorders>
                  <w:noWrap/>
                  <w:vAlign w:val="center"/>
                </w:tcPr>
                <w:p>
                  <w:pPr>
                    <w:kinsoku w:val="0"/>
                    <w:wordWrap w:val="0"/>
                    <w:topLinePunct/>
                    <w:adjustRightInd w:val="0"/>
                    <w:snapToGrid w:val="0"/>
                    <w:jc w:val="center"/>
                    <w:rPr>
                      <w:bCs/>
                      <w:szCs w:val="21"/>
                    </w:rPr>
                  </w:pPr>
                  <w:r>
                    <w:rPr>
                      <w:bCs/>
                      <w:szCs w:val="21"/>
                    </w:rPr>
                    <w:t>70</w:t>
                  </w:r>
                </w:p>
              </w:tc>
              <w:tc>
                <w:tcPr>
                  <w:tcW w:w="1138" w:type="dxa"/>
                  <w:tcBorders>
                    <w:tl2br w:val="nil"/>
                    <w:tr2bl w:val="nil"/>
                  </w:tcBorders>
                  <w:noWrap/>
                  <w:vAlign w:val="center"/>
                </w:tcPr>
                <w:p>
                  <w:pPr>
                    <w:kinsoku w:val="0"/>
                    <w:wordWrap w:val="0"/>
                    <w:topLinePunct/>
                    <w:adjustRightInd w:val="0"/>
                    <w:snapToGrid w:val="0"/>
                    <w:jc w:val="center"/>
                    <w:rPr>
                      <w:bCs/>
                      <w:szCs w:val="21"/>
                    </w:rPr>
                  </w:pPr>
                  <w:r>
                    <w:rPr>
                      <w:bCs/>
                      <w:szCs w:val="21"/>
                    </w:rPr>
                    <w:t>55</w:t>
                  </w:r>
                </w:p>
              </w:tc>
            </w:tr>
            <w:bookmarkEnd w:id="15"/>
          </w:tbl>
          <w:p>
            <w:pPr>
              <w:kinsoku w:val="0"/>
              <w:wordWrap w:val="0"/>
              <w:topLinePunct/>
              <w:ind w:firstLine="510" w:firstLineChars="200"/>
              <w:rPr>
                <w:kern w:val="0"/>
                <w:sz w:val="24"/>
              </w:rPr>
            </w:pPr>
            <w:r>
              <w:rPr>
                <w:kern w:val="0"/>
                <w:sz w:val="24"/>
              </w:rPr>
              <w:t>（4）固体废物</w:t>
            </w:r>
          </w:p>
          <w:p>
            <w:pPr>
              <w:kinsoku w:val="0"/>
              <w:wordWrap w:val="0"/>
              <w:topLinePunct/>
              <w:ind w:firstLine="510" w:firstLineChars="200"/>
              <w:rPr>
                <w:kern w:val="0"/>
                <w:szCs w:val="21"/>
              </w:rPr>
            </w:pPr>
            <w:r>
              <w:rPr>
                <w:sz w:val="24"/>
              </w:rPr>
              <w:t>本项目施工期产生的生活垃圾收集后交环卫部门处置；施工期固体废物分类收集处置，执行《中华人民共和国固体废物污染环境防治法》（2020修订）规定。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672" w:type="dxa"/>
            <w:tcBorders>
              <w:tl2br w:val="nil"/>
              <w:tr2bl w:val="nil"/>
            </w:tcBorders>
            <w:noWrap/>
            <w:vAlign w:val="center"/>
          </w:tcPr>
          <w:p>
            <w:pPr>
              <w:adjustRightInd w:val="0"/>
              <w:snapToGrid w:val="0"/>
              <w:jc w:val="center"/>
              <w:rPr>
                <w:kern w:val="0"/>
                <w:sz w:val="24"/>
              </w:rPr>
            </w:pPr>
            <w:r>
              <w:rPr>
                <w:b/>
                <w:bCs/>
                <w:kern w:val="0"/>
                <w:sz w:val="24"/>
              </w:rPr>
              <w:t>其他</w:t>
            </w:r>
          </w:p>
        </w:tc>
        <w:tc>
          <w:tcPr>
            <w:tcW w:w="8561" w:type="dxa"/>
            <w:tcBorders>
              <w:tl2br w:val="nil"/>
              <w:tr2bl w:val="nil"/>
            </w:tcBorders>
            <w:noWrap/>
            <w:vAlign w:val="center"/>
          </w:tcPr>
          <w:p>
            <w:pPr>
              <w:pStyle w:val="22"/>
              <w:spacing w:line="240" w:lineRule="auto"/>
              <w:ind w:left="0" w:leftChars="0"/>
              <w:jc w:val="center"/>
            </w:pPr>
          </w:p>
          <w:p>
            <w:pPr>
              <w:pStyle w:val="22"/>
              <w:spacing w:line="240" w:lineRule="auto"/>
              <w:ind w:left="0" w:leftChars="0"/>
              <w:jc w:val="center"/>
            </w:pPr>
            <w:r>
              <w:t>无</w:t>
            </w:r>
          </w:p>
          <w:p/>
          <w:p>
            <w:pPr>
              <w:pStyle w:val="2"/>
              <w:rPr>
                <w:color w:val="auto"/>
              </w:rPr>
            </w:pPr>
          </w:p>
          <w:p/>
          <w:p>
            <w:pPr>
              <w:pStyle w:val="2"/>
              <w:ind w:left="0" w:firstLine="0"/>
              <w:rPr>
                <w:color w:val="auto"/>
              </w:rPr>
            </w:pPr>
          </w:p>
          <w:p>
            <w:pPr>
              <w:pStyle w:val="2"/>
              <w:ind w:left="0" w:firstLine="0"/>
              <w:rPr>
                <w:color w:val="auto"/>
              </w:rPr>
            </w:pPr>
          </w:p>
        </w:tc>
      </w:tr>
    </w:tbl>
    <w:p>
      <w:pPr>
        <w:pStyle w:val="25"/>
        <w:spacing w:before="0" w:beforeAutospacing="0" w:after="0" w:afterAutospacing="0"/>
        <w:jc w:val="both"/>
        <w:outlineLvl w:val="0"/>
        <w:rPr>
          <w:rFonts w:ascii="Times New Roman" w:hAnsi="Times New Roman" w:eastAsia="黑体"/>
          <w:snapToGrid w:val="0"/>
          <w:sz w:val="30"/>
          <w:szCs w:val="30"/>
        </w:rPr>
        <w:sectPr>
          <w:headerReference r:id="rId7" w:type="default"/>
          <w:footerReference r:id="rId8" w:type="default"/>
          <w:pgSz w:w="11905" w:h="16838"/>
          <w:pgMar w:top="1417" w:right="1417" w:bottom="1417" w:left="1417" w:header="850" w:footer="964" w:gutter="0"/>
          <w:cols w:space="720" w:num="1"/>
          <w:docGrid w:type="linesAndChars" w:linePitch="466" w:charSpace="3276"/>
        </w:sectPr>
      </w:pPr>
      <w:bookmarkStart w:id="16" w:name="_Toc3985"/>
      <w:bookmarkStart w:id="17" w:name="_Toc6054"/>
    </w:p>
    <w:p>
      <w:pPr>
        <w:pStyle w:val="25"/>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四、生态环境影响分析</w:t>
      </w:r>
      <w:bookmarkEnd w:id="16"/>
      <w:bookmarkEnd w:id="17"/>
    </w:p>
    <w:tbl>
      <w:tblPr>
        <w:tblStyle w:val="28"/>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9"/>
        <w:gridCol w:w="86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dxa"/>
            <w:tcBorders>
              <w:tl2br w:val="nil"/>
              <w:tr2bl w:val="nil"/>
            </w:tcBorders>
            <w:noWrap/>
            <w:tcMar>
              <w:left w:w="28" w:type="dxa"/>
              <w:right w:w="28" w:type="dxa"/>
            </w:tcMar>
            <w:vAlign w:val="center"/>
          </w:tcPr>
          <w:p>
            <w:pPr>
              <w:pStyle w:val="25"/>
              <w:adjustRightInd w:val="0"/>
              <w:snapToGrid w:val="0"/>
              <w:spacing w:before="0" w:beforeAutospacing="0" w:after="0" w:afterAutospacing="0"/>
              <w:jc w:val="center"/>
              <w:rPr>
                <w:rFonts w:ascii="Times New Roman" w:hAnsi="Times New Roman"/>
                <w:bCs/>
                <w:kern w:val="2"/>
                <w:sz w:val="21"/>
                <w:szCs w:val="21"/>
              </w:rPr>
            </w:pPr>
            <w:bookmarkStart w:id="18" w:name="_Hlk49796138"/>
            <w:r>
              <w:rPr>
                <w:rFonts w:ascii="Times New Roman" w:hAnsi="Times New Roman"/>
                <w:b/>
                <w:spacing w:val="10"/>
                <w:kern w:val="2"/>
              </w:rPr>
              <w:t>施工期生态环境影响分析</w:t>
            </w:r>
            <w:bookmarkEnd w:id="18"/>
          </w:p>
        </w:tc>
        <w:tc>
          <w:tcPr>
            <w:tcW w:w="8633" w:type="dxa"/>
            <w:tcBorders>
              <w:tl2br w:val="nil"/>
              <w:tr2bl w:val="nil"/>
            </w:tcBorders>
            <w:noWrap/>
          </w:tcPr>
          <w:p>
            <w:pPr>
              <w:autoSpaceDE w:val="0"/>
              <w:autoSpaceDN w:val="0"/>
              <w:spacing w:before="240" w:after="60"/>
              <w:jc w:val="left"/>
              <w:rPr>
                <w:rFonts w:eastAsia="黑体"/>
                <w:kern w:val="0"/>
                <w:sz w:val="24"/>
              </w:rPr>
            </w:pPr>
            <w:r>
              <w:rPr>
                <w:rFonts w:eastAsia="黑体"/>
                <w:kern w:val="0"/>
                <w:sz w:val="24"/>
              </w:rPr>
              <w:t>1、生态环境影响分析</w:t>
            </w:r>
          </w:p>
          <w:p>
            <w:pPr>
              <w:ind w:firstLine="510" w:firstLineChars="200"/>
              <w:rPr>
                <w:bCs/>
                <w:sz w:val="24"/>
                <w:szCs w:val="21"/>
              </w:rPr>
            </w:pPr>
            <w:r>
              <w:rPr>
                <w:bCs/>
                <w:sz w:val="24"/>
                <w:szCs w:val="21"/>
              </w:rPr>
              <w:t>（1）工程占地影响</w:t>
            </w:r>
          </w:p>
          <w:p>
            <w:pPr>
              <w:ind w:firstLine="510" w:firstLineChars="200"/>
              <w:rPr>
                <w:bCs/>
                <w:sz w:val="24"/>
                <w:szCs w:val="21"/>
              </w:rPr>
            </w:pPr>
            <w:r>
              <w:rPr>
                <w:bCs/>
                <w:sz w:val="24"/>
                <w:szCs w:val="21"/>
              </w:rPr>
              <w:t>本项目无新增永久占地，均为施工临时占地，主要占地类型为其他草地，项目临时占地主要包括取土场、施工</w:t>
            </w:r>
            <w:r>
              <w:rPr>
                <w:rFonts w:hint="eastAsia"/>
                <w:bCs/>
                <w:sz w:val="24"/>
                <w:szCs w:val="21"/>
              </w:rPr>
              <w:t>生产生活</w:t>
            </w:r>
            <w:r>
              <w:rPr>
                <w:bCs/>
                <w:sz w:val="24"/>
                <w:szCs w:val="21"/>
              </w:rPr>
              <w:t>区等。施工期间临时占用土地上的原有植被将被破坏，在一定程度上暂时减少当地的植被覆盖率，且在一定时期内加剧当地的水土流失影响，施工结束后按照水土保持方案要求进行清理、土地整治、复垦可逐渐恢复其原有功能，不改变原有土地利用类型。</w:t>
            </w:r>
          </w:p>
          <w:p>
            <w:pPr>
              <w:ind w:firstLine="510" w:firstLineChars="200"/>
              <w:rPr>
                <w:bCs/>
                <w:sz w:val="24"/>
                <w:szCs w:val="21"/>
              </w:rPr>
            </w:pPr>
            <w:r>
              <w:rPr>
                <w:bCs/>
                <w:sz w:val="24"/>
                <w:szCs w:val="21"/>
              </w:rPr>
              <w:t>因此，本项目占地在施工期对土地利用和生态环境的不利影响是有限的，只要措施得当，对当地生态环境影响较小。</w:t>
            </w:r>
          </w:p>
          <w:p>
            <w:pPr>
              <w:ind w:firstLine="510" w:firstLineChars="200"/>
              <w:rPr>
                <w:bCs/>
                <w:sz w:val="24"/>
                <w:szCs w:val="21"/>
              </w:rPr>
            </w:pPr>
            <w:r>
              <w:rPr>
                <w:bCs/>
                <w:sz w:val="24"/>
                <w:szCs w:val="21"/>
              </w:rPr>
              <w:t>（2）对植被的影响</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①临时占地对植被的影响</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施工过程中对临时占地范围内的植被造成破坏，临时占地对地表植被的破坏是暂时的，待施工结束后，原有地表植被将得到恢复，项目建设前后临时占地范围内的植被生物量不会发生显著变化，临时占地对植被影响较小。</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②施工期其他因素对植被的影响</w:t>
            </w:r>
          </w:p>
          <w:p>
            <w:pPr>
              <w:ind w:firstLine="510" w:firstLineChars="200"/>
              <w:rPr>
                <w:bCs/>
                <w:sz w:val="24"/>
                <w:szCs w:val="21"/>
              </w:rPr>
            </w:pPr>
            <w:r>
              <w:rPr>
                <w:sz w:val="24"/>
              </w:rPr>
              <w:t>本项目原材料的堆放，从而间接影响植物的生长，植物对其生长环境中的条件恶化具有某种程度的适应能力，但超过一定限度就会受到伤害。因此施工过程中，一定要处理好原材料的堆放，对于运输车辆，走固定的运输路线，将影响减少至最低程度。</w:t>
            </w:r>
          </w:p>
          <w:p>
            <w:pPr>
              <w:ind w:firstLine="510" w:firstLineChars="200"/>
              <w:rPr>
                <w:bCs/>
                <w:sz w:val="24"/>
                <w:szCs w:val="21"/>
              </w:rPr>
            </w:pPr>
            <w:r>
              <w:rPr>
                <w:bCs/>
                <w:sz w:val="24"/>
                <w:szCs w:val="21"/>
              </w:rPr>
              <w:t>（3）对陆生动物的影响分析</w:t>
            </w:r>
          </w:p>
          <w:p>
            <w:pPr>
              <w:pStyle w:val="22"/>
              <w:spacing w:line="240" w:lineRule="auto"/>
              <w:ind w:left="0" w:leftChars="0" w:firstLine="510" w:firstLineChars="200"/>
              <w:rPr>
                <w:bCs/>
                <w:spacing w:val="0"/>
                <w:szCs w:val="21"/>
              </w:rPr>
            </w:pPr>
            <w:r>
              <w:rPr>
                <w:bCs/>
                <w:spacing w:val="0"/>
                <w:szCs w:val="21"/>
              </w:rPr>
              <w:t>①对两栖、爬行动物的影响</w:t>
            </w:r>
          </w:p>
          <w:p>
            <w:pPr>
              <w:pStyle w:val="22"/>
              <w:spacing w:line="240" w:lineRule="auto"/>
              <w:ind w:left="0" w:leftChars="0" w:firstLine="510" w:firstLineChars="200"/>
              <w:rPr>
                <w:bCs/>
                <w:spacing w:val="0"/>
                <w:szCs w:val="21"/>
              </w:rPr>
            </w:pPr>
            <w:r>
              <w:rPr>
                <w:bCs/>
                <w:spacing w:val="0"/>
                <w:szCs w:val="21"/>
              </w:rPr>
              <w:t>工程主要是在已经建成的水库大坝上进行加固、修缮以及设备修缮等，在坝体的施工过程中会产生挖填方、施工噪声、运输噪声，因此会迫使生活在周边的两栖类及爬行类动物向坝体四周迁移，寻找合适的生活及觅食地点，从而使施工区四周影响区域两栖及爬行类动物种类和数量有所减少。</w:t>
            </w:r>
          </w:p>
          <w:p>
            <w:pPr>
              <w:pStyle w:val="22"/>
              <w:spacing w:line="240" w:lineRule="auto"/>
              <w:ind w:left="0" w:leftChars="0" w:firstLine="510" w:firstLineChars="200"/>
              <w:rPr>
                <w:bCs/>
                <w:spacing w:val="0"/>
                <w:szCs w:val="21"/>
              </w:rPr>
            </w:pPr>
            <w:r>
              <w:rPr>
                <w:bCs/>
                <w:spacing w:val="0"/>
                <w:szCs w:val="21"/>
              </w:rPr>
              <w:t>经调查现场调查来看，施工区内的两栖、爬行类动物都是些普通的常见种类且数量较少，在评价区内普遍存在，工程建设对该地区物种类型影响较小。只要在施工期做好保护野生动物工作，待施工结束后，施工区临时用地及周围影响区域内的植被逐渐恢复后，它们又可以回到工程区周围的地带栖息，因此，施工用地不会对工程周围的野生动物造成大的影响。由于施工区及其周围原有生态环境较好，工程结束后，生态环境恢复较容易，原有动物很快就会回到原来的栖息地，保证当地的生态平衡。</w:t>
            </w:r>
          </w:p>
          <w:p>
            <w:pPr>
              <w:pStyle w:val="22"/>
              <w:spacing w:line="240" w:lineRule="auto"/>
              <w:ind w:left="0" w:leftChars="0" w:firstLine="510" w:firstLineChars="200"/>
              <w:rPr>
                <w:bCs/>
                <w:spacing w:val="0"/>
                <w:szCs w:val="21"/>
              </w:rPr>
            </w:pPr>
            <w:r>
              <w:rPr>
                <w:bCs/>
                <w:spacing w:val="0"/>
                <w:szCs w:val="21"/>
              </w:rPr>
              <w:t>②对兽类的影响</w:t>
            </w:r>
          </w:p>
          <w:p>
            <w:pPr>
              <w:pStyle w:val="22"/>
              <w:spacing w:line="240" w:lineRule="auto"/>
              <w:ind w:left="0" w:leftChars="0" w:firstLine="510" w:firstLineChars="200"/>
              <w:rPr>
                <w:bCs/>
                <w:spacing w:val="0"/>
                <w:szCs w:val="21"/>
              </w:rPr>
            </w:pPr>
            <w:r>
              <w:rPr>
                <w:bCs/>
                <w:spacing w:val="0"/>
                <w:szCs w:val="21"/>
              </w:rPr>
              <w:t>坝体的加固、相关设施的修缮等活动直接影响主要集中在坝体周边，经调查，此区域主要分布的是一些小型兽类和小型啮齿类动物，施工运输工具的交通噪声、机械施工、开挖、爆破等各种噪声和振动，会使上述小型兽类受噪声干扰或受到振动惊吓而向外迁移，但不会对其种群数量及物种多样性产生影响。但这种不利影响只是暂时的，一旦施工结束，上述小型兽类还可以在这些地段栖息、觅食，整个野生动物区系组成又可以恢复原状。</w:t>
            </w:r>
          </w:p>
          <w:p>
            <w:pPr>
              <w:pStyle w:val="22"/>
              <w:spacing w:line="240" w:lineRule="auto"/>
              <w:ind w:left="0" w:leftChars="0" w:firstLine="510" w:firstLineChars="200"/>
              <w:rPr>
                <w:bCs/>
                <w:spacing w:val="0"/>
                <w:szCs w:val="21"/>
              </w:rPr>
            </w:pPr>
            <w:r>
              <w:rPr>
                <w:bCs/>
                <w:spacing w:val="0"/>
                <w:szCs w:val="21"/>
              </w:rPr>
              <w:t>施工期间，施工人员聚集，若不加强管理，提高保护动物意识，则可能会对周围的野生兽类造成骚扰。有少部分施工人员可能在闲暇之时，对野生兽类进行狩猎，这将对一些野生兽类构成严重威胁，而且这种影响往往要经过很长时间才能恢复，有时甚至是不可逆的。因此，在施工期间要加强对施工人员的管理，并且对他们进行动植物保护宣传教育，提高他们保护动植物的意识，防患于未然，以减少这种对野生动物不必要的影响。</w:t>
            </w:r>
          </w:p>
          <w:p>
            <w:pPr>
              <w:pStyle w:val="22"/>
              <w:spacing w:line="240" w:lineRule="auto"/>
              <w:ind w:left="0" w:leftChars="0" w:firstLine="510" w:firstLineChars="200"/>
              <w:rPr>
                <w:bCs/>
                <w:spacing w:val="0"/>
                <w:szCs w:val="21"/>
              </w:rPr>
            </w:pPr>
            <w:r>
              <w:rPr>
                <w:bCs/>
                <w:spacing w:val="0"/>
                <w:szCs w:val="21"/>
              </w:rPr>
              <w:t>③对鸟类的影响</w:t>
            </w:r>
          </w:p>
          <w:p>
            <w:pPr>
              <w:pStyle w:val="22"/>
              <w:spacing w:line="240" w:lineRule="auto"/>
              <w:ind w:left="0" w:leftChars="0" w:firstLine="510" w:firstLineChars="200"/>
              <w:rPr>
                <w:bCs/>
                <w:spacing w:val="0"/>
                <w:szCs w:val="21"/>
              </w:rPr>
            </w:pPr>
            <w:r>
              <w:rPr>
                <w:bCs/>
                <w:spacing w:val="0"/>
                <w:szCs w:val="21"/>
              </w:rPr>
              <w:t>坝体加固及相关设施的修缮施工将破坏和影响部分栖息于原有水库岸边和坝体周边低海拔地区的涉禽、游禽鸟类的栖息地，施工活动产生的废气和噪声等，也将干扰栖息附近的鸟类，使一些原来栖息于此的鸟类迁往周边适生的环境中。项目区域应加强监管，禁止伤害鸟类，施工前，应对可能觅食的鸟类进行驱赶，加强施工人员教育，防止人为故意伤害、捕获鸟类事件发生。</w:t>
            </w:r>
          </w:p>
          <w:p>
            <w:pPr>
              <w:pStyle w:val="22"/>
              <w:spacing w:line="240" w:lineRule="auto"/>
              <w:ind w:left="0" w:leftChars="0" w:firstLine="510" w:firstLineChars="200"/>
              <w:rPr>
                <w:bCs/>
                <w:spacing w:val="0"/>
                <w:szCs w:val="21"/>
              </w:rPr>
            </w:pPr>
            <w:r>
              <w:rPr>
                <w:bCs/>
                <w:spacing w:val="0"/>
                <w:szCs w:val="21"/>
              </w:rPr>
              <w:t>上述鸟类的迁徙能力强，在区域内附近处易寻找同类生境，工程施工结束后，不利影响将减轻或消失，所以本工程的建设不会对鸟类的生存和繁衍造成危害，目前施工未结束，对鸟类影响未消失。</w:t>
            </w:r>
          </w:p>
          <w:p>
            <w:pPr>
              <w:ind w:firstLine="510" w:firstLineChars="200"/>
              <w:rPr>
                <w:bCs/>
                <w:sz w:val="24"/>
                <w:szCs w:val="21"/>
              </w:rPr>
            </w:pPr>
            <w:r>
              <w:rPr>
                <w:bCs/>
                <w:sz w:val="24"/>
                <w:szCs w:val="21"/>
              </w:rPr>
              <w:t>（4）对水生生物的影响分析</w:t>
            </w:r>
          </w:p>
          <w:p>
            <w:pPr>
              <w:ind w:firstLine="510" w:firstLineChars="200"/>
              <w:rPr>
                <w:bCs/>
                <w:sz w:val="24"/>
                <w:szCs w:val="21"/>
              </w:rPr>
            </w:pPr>
            <w:r>
              <w:rPr>
                <w:bCs/>
                <w:sz w:val="24"/>
                <w:szCs w:val="21"/>
              </w:rPr>
              <w:t>根据现场踏勘，现状水库蓄水较少，水生生物种类较为简单，主要为人工投养的鲫鱼、鲤鱼，无珍稀濒危鱼类存在，无鱼类“三场”分布。</w:t>
            </w:r>
          </w:p>
          <w:p>
            <w:pPr>
              <w:ind w:firstLine="510" w:firstLineChars="200"/>
              <w:rPr>
                <w:bCs/>
                <w:sz w:val="24"/>
                <w:szCs w:val="21"/>
              </w:rPr>
            </w:pPr>
            <w:r>
              <w:rPr>
                <w:bCs/>
                <w:sz w:val="24"/>
                <w:szCs w:val="21"/>
              </w:rPr>
              <w:t>根据现场勘查，本项目施工是在空库情况下进行，对水生生物无较大影响。</w:t>
            </w:r>
          </w:p>
          <w:p>
            <w:pPr>
              <w:ind w:firstLine="510" w:firstLineChars="200"/>
              <w:rPr>
                <w:bCs/>
                <w:sz w:val="24"/>
                <w:szCs w:val="21"/>
              </w:rPr>
            </w:pPr>
            <w:r>
              <w:rPr>
                <w:bCs/>
                <w:sz w:val="24"/>
                <w:szCs w:val="21"/>
              </w:rPr>
              <w:t>（5）对水土流失的影响</w:t>
            </w:r>
          </w:p>
          <w:p>
            <w:pPr>
              <w:ind w:firstLine="510" w:firstLineChars="200"/>
              <w:rPr>
                <w:bCs/>
                <w:sz w:val="24"/>
                <w:szCs w:val="21"/>
              </w:rPr>
            </w:pPr>
            <w:r>
              <w:rPr>
                <w:bCs/>
                <w:sz w:val="24"/>
                <w:szCs w:val="21"/>
              </w:rPr>
              <w:t>本项目施工前需进行场地清理，清理对象主要为杂草及灌木等。为此，不可避免地会对地表植被造成破坏，改变了局部地貌的土壤结构，产生新的裸露坡面，使得土壤有机质减少，抗侵蚀能力大幅下降，遇雨天易被雨水冲刷。同时挖出的土方结构松散、孔隙较大，遇雨天会导致生态环境恶化。</w:t>
            </w:r>
          </w:p>
          <w:p>
            <w:pPr>
              <w:ind w:firstLine="510" w:firstLineChars="200"/>
              <w:rPr>
                <w:bCs/>
                <w:sz w:val="24"/>
                <w:szCs w:val="21"/>
              </w:rPr>
            </w:pPr>
            <w:r>
              <w:rPr>
                <w:bCs/>
                <w:sz w:val="24"/>
                <w:szCs w:val="21"/>
              </w:rPr>
              <w:t>项目施工期间，施工单位合理安排施工时间，禁止雨季施工，对施工过程整体把控，严格现场施工管理，对开挖、剥离的土壤统一管理保护。</w:t>
            </w:r>
          </w:p>
          <w:p>
            <w:pPr>
              <w:autoSpaceDE w:val="0"/>
              <w:autoSpaceDN w:val="0"/>
              <w:spacing w:before="240" w:after="60"/>
              <w:jc w:val="left"/>
              <w:rPr>
                <w:rFonts w:eastAsia="黑体"/>
                <w:kern w:val="0"/>
                <w:sz w:val="24"/>
              </w:rPr>
            </w:pPr>
            <w:r>
              <w:rPr>
                <w:rFonts w:eastAsia="黑体"/>
                <w:kern w:val="0"/>
                <w:sz w:val="24"/>
              </w:rPr>
              <w:t>2、大气环境影响分析</w:t>
            </w:r>
          </w:p>
          <w:p>
            <w:pPr>
              <w:ind w:firstLine="510" w:firstLineChars="200"/>
              <w:rPr>
                <w:bCs/>
                <w:sz w:val="24"/>
                <w:szCs w:val="21"/>
              </w:rPr>
            </w:pPr>
            <w:r>
              <w:rPr>
                <w:bCs/>
                <w:sz w:val="24"/>
                <w:szCs w:val="21"/>
              </w:rPr>
              <w:t>本工程大气污染源主要为燃油机械施工、车辆运输、土方工程施工和道路修筑等，土方工程施工、道路修筑及车辆运输会产生大量粉尘；燃油机械施工过程产生的污染物主要为SO</w:t>
            </w:r>
            <w:r>
              <w:rPr>
                <w:bCs/>
                <w:sz w:val="24"/>
                <w:szCs w:val="21"/>
                <w:vertAlign w:val="subscript"/>
              </w:rPr>
              <w:t>2</w:t>
            </w:r>
            <w:r>
              <w:rPr>
                <w:bCs/>
                <w:sz w:val="24"/>
                <w:szCs w:val="21"/>
              </w:rPr>
              <w:t>、NO</w:t>
            </w:r>
            <w:r>
              <w:rPr>
                <w:bCs/>
                <w:sz w:val="24"/>
                <w:szCs w:val="21"/>
                <w:vertAlign w:val="subscript"/>
              </w:rPr>
              <w:t>x</w:t>
            </w:r>
            <w:r>
              <w:rPr>
                <w:bCs/>
                <w:sz w:val="24"/>
                <w:szCs w:val="21"/>
              </w:rPr>
              <w:t>、THC。</w:t>
            </w:r>
          </w:p>
          <w:p>
            <w:pPr>
              <w:ind w:firstLine="510" w:firstLineChars="200"/>
              <w:rPr>
                <w:bCs/>
                <w:sz w:val="24"/>
                <w:szCs w:val="21"/>
              </w:rPr>
            </w:pPr>
            <w:r>
              <w:rPr>
                <w:bCs/>
                <w:sz w:val="24"/>
                <w:szCs w:val="21"/>
              </w:rPr>
              <w:t>（1）扬尘</w:t>
            </w:r>
          </w:p>
          <w:p>
            <w:pPr>
              <w:ind w:firstLine="510" w:firstLineChars="200"/>
              <w:rPr>
                <w:bCs/>
                <w:sz w:val="24"/>
                <w:szCs w:val="21"/>
              </w:rPr>
            </w:pPr>
            <w:r>
              <w:rPr>
                <w:bCs/>
                <w:sz w:val="24"/>
                <w:szCs w:val="21"/>
              </w:rPr>
              <w:t>项目施工过程中土方的开挖、堆放、回填，施工材料装卸、运输、堆放等都会在施工区域范围内产生较大的扬尘，易形成扬尘的工区主要是料场、取土场、开挖场地等。在风速2.5m/s的一般情况下，临时取土场的扬尘影响范围可达到150m远，TSP浓度达到0.49mg/m</w:t>
            </w:r>
            <w:r>
              <w:rPr>
                <w:bCs/>
                <w:sz w:val="24"/>
                <w:szCs w:val="21"/>
                <w:vertAlign w:val="superscript"/>
              </w:rPr>
              <w:t>3</w:t>
            </w:r>
            <w:r>
              <w:rPr>
                <w:bCs/>
                <w:sz w:val="24"/>
                <w:szCs w:val="21"/>
              </w:rPr>
              <w:t>，超过《环境空气质量标准》（GB3095-2012）二级标准的0.6倍。取土场距主体工程区较近，运距短，且在此风速下产生的扬尘影响范围相对较小，通过采取规范操作、围挡封闭、物料苫盖、洒水抑尘、密闭运输、清洁车辆、道路硬化、路面清洁等措施尽可能控制扬尘对周边环境的影响范围。</w:t>
            </w:r>
          </w:p>
          <w:p>
            <w:pPr>
              <w:ind w:firstLine="510" w:firstLineChars="200"/>
              <w:rPr>
                <w:bCs/>
                <w:sz w:val="24"/>
                <w:szCs w:val="21"/>
              </w:rPr>
            </w:pPr>
            <w:r>
              <w:rPr>
                <w:bCs/>
                <w:sz w:val="24"/>
                <w:szCs w:val="21"/>
              </w:rPr>
              <w:t>根据有关资料，施工过程中车辆行驶所产生的扬尘约占施工总扬尘量的60%以上。一般情况，车辆行驶产生的扬尘在同样路面清洁程度下，车速越快，扬尘量越大；而在同样车速下，路面条件越差扬尘量越大。施工扬尘将给附近居民造成不同程度的粉尘污染，因此，施工时应保持路面清洁、限制施工车辆行驶速度及保证露天堆放物料的含水率，同时，对面向路边的一侧增加挡板等措施。此外，对一些粉状材料采取一些防风措施也将有效减少扬尘污染。根据实际工程经验，物料堆场应尽量远离周围环境敏感点下风向 300m以外，并采取围挡作业、经常洒水、物料遮蔽等措施，可有效减轻扬尘污染。驶出施工场区的施工车辆，应首先进行冲洗，防止泥土带出施工场区。在采取措施后，能够有效地减小施工期扬尘对道路沿线居民的影响。</w:t>
            </w:r>
          </w:p>
          <w:p>
            <w:pPr>
              <w:ind w:firstLine="510" w:firstLineChars="200"/>
              <w:rPr>
                <w:bCs/>
                <w:sz w:val="24"/>
                <w:szCs w:val="21"/>
              </w:rPr>
            </w:pPr>
            <w:r>
              <w:rPr>
                <w:bCs/>
                <w:sz w:val="24"/>
                <w:szCs w:val="21"/>
              </w:rPr>
              <w:t>（2）燃油机械废气</w:t>
            </w:r>
          </w:p>
          <w:p>
            <w:pPr>
              <w:ind w:firstLine="510" w:firstLineChars="200"/>
              <w:rPr>
                <w:bCs/>
                <w:sz w:val="24"/>
                <w:szCs w:val="21"/>
              </w:rPr>
            </w:pPr>
            <w:r>
              <w:rPr>
                <w:bCs/>
                <w:sz w:val="24"/>
                <w:szCs w:val="21"/>
              </w:rPr>
              <w:t>建设单位通过选用达到国家排放标准的设备，并合理规划运行线路，对作业进行统筹，尽量减少燃油设备运行时间等措施控制，控制在较低水平。由于施工范围较大，施工项目较为分散，且位于农村地区，现状无大型污染源，施工区空气扩散条件良好，机械废气多为流动性、间歇性、无组织排放，污染源呈面源分布，污染物排放分散且强度不大，因此，工程施工产生的机械废气对周边环境空气影响较小。</w:t>
            </w:r>
          </w:p>
          <w:p>
            <w:pPr>
              <w:ind w:firstLine="510" w:firstLineChars="200"/>
              <w:rPr>
                <w:bCs/>
                <w:sz w:val="24"/>
                <w:szCs w:val="21"/>
              </w:rPr>
            </w:pPr>
            <w:r>
              <w:rPr>
                <w:bCs/>
                <w:sz w:val="24"/>
                <w:szCs w:val="21"/>
              </w:rPr>
              <w:t>（3）沥青烟</w:t>
            </w:r>
          </w:p>
          <w:p>
            <w:pPr>
              <w:ind w:firstLine="510" w:firstLineChars="200"/>
              <w:rPr>
                <w:bCs/>
                <w:sz w:val="24"/>
                <w:szCs w:val="21"/>
              </w:rPr>
            </w:pPr>
            <w:r>
              <w:rPr>
                <w:bCs/>
                <w:sz w:val="24"/>
                <w:szCs w:val="21"/>
              </w:rPr>
              <w:t>本工程需要恢复坝顶沥青路面，商品混凝土采用购买形式运至施工现场进行铺装，不在现场拌合。沥青烟雾中含有THC、TSP及苯并[a]芘（B[a]P）等有毒有害物质，有损于操作人员和周围居民的身体健康。由于本项目工程本身不进行沥青拌合，故仅在沥青摊铺过程中会产生少量的沥青烟雾。项目施工过程中产生的沥青烟尘较少，且能迅速地扩散，不会对施工人员和周围的居民产生明显的影响。</w:t>
            </w:r>
          </w:p>
          <w:p>
            <w:pPr>
              <w:ind w:firstLine="510" w:firstLineChars="200"/>
              <w:rPr>
                <w:bCs/>
                <w:sz w:val="24"/>
                <w:szCs w:val="21"/>
              </w:rPr>
            </w:pPr>
            <w:r>
              <w:rPr>
                <w:bCs/>
                <w:sz w:val="24"/>
                <w:szCs w:val="21"/>
              </w:rPr>
              <w:t>（4）钢筋工程废气</w:t>
            </w:r>
          </w:p>
          <w:p>
            <w:pPr>
              <w:ind w:firstLine="510" w:firstLineChars="200"/>
            </w:pPr>
            <w:r>
              <w:rPr>
                <w:bCs/>
                <w:sz w:val="24"/>
                <w:szCs w:val="21"/>
              </w:rPr>
              <w:t>本工程所用水泥、钢材、木材等主要建筑材料主要采自彭阳县及周边地区。主体工程多为钢筋砼结构，坝坡砌护工程使用构造钢筋，施工现场主要对预埋钢筋构件进行冷弯、切料，该部分粉尘主要为金属，本工程采用带有集尘装置的切割机，切割粉尘经自然沉降对环境影响较小。钢筋工程工程量较小，焊接烟尘产生量极少，且能迅速地扩散，不会对施工人员和周围的居民产生明显的影响。</w:t>
            </w:r>
          </w:p>
          <w:p>
            <w:pPr>
              <w:autoSpaceDE w:val="0"/>
              <w:autoSpaceDN w:val="0"/>
              <w:spacing w:before="240" w:after="60"/>
              <w:jc w:val="left"/>
              <w:rPr>
                <w:rFonts w:eastAsia="黑体"/>
                <w:kern w:val="0"/>
                <w:sz w:val="24"/>
              </w:rPr>
            </w:pPr>
            <w:r>
              <w:rPr>
                <w:rFonts w:eastAsia="黑体"/>
                <w:kern w:val="0"/>
                <w:sz w:val="24"/>
              </w:rPr>
              <w:t>3、水环境影响分析</w:t>
            </w:r>
          </w:p>
          <w:p>
            <w:pPr>
              <w:ind w:firstLine="510" w:firstLineChars="200"/>
              <w:rPr>
                <w:bCs/>
                <w:sz w:val="24"/>
                <w:szCs w:val="21"/>
              </w:rPr>
            </w:pPr>
            <w:r>
              <w:rPr>
                <w:bCs/>
                <w:sz w:val="24"/>
                <w:szCs w:val="21"/>
              </w:rPr>
              <w:t>本项目水环境影响分析详细内容见“地表水专项评价”，本章节仅填写影响分析结果概要。</w:t>
            </w:r>
          </w:p>
          <w:p>
            <w:pPr>
              <w:ind w:firstLine="510" w:firstLineChars="200"/>
              <w:rPr>
                <w:bCs/>
                <w:sz w:val="24"/>
                <w:szCs w:val="21"/>
              </w:rPr>
            </w:pPr>
            <w:r>
              <w:rPr>
                <w:bCs/>
                <w:sz w:val="24"/>
                <w:szCs w:val="21"/>
              </w:rPr>
              <w:t>（1）对水文情势的影响</w:t>
            </w:r>
          </w:p>
          <w:p>
            <w:pPr>
              <w:ind w:firstLine="510" w:firstLineChars="200"/>
              <w:rPr>
                <w:bCs/>
                <w:sz w:val="24"/>
                <w:szCs w:val="21"/>
              </w:rPr>
            </w:pPr>
            <w:r>
              <w:rPr>
                <w:bCs/>
                <w:sz w:val="24"/>
                <w:szCs w:val="21"/>
              </w:rPr>
              <w:t>本项目属于水文要素影响型，评价等级为三级。本项目为水库除险加固工程，施工范围主要集中在水库大坝周围，由于是在已经建成的水库大坝上进行修缮、改造和维护，涉及水域的工程量很少，工程施工不会对水库上下游水文情势产生影响。</w:t>
            </w:r>
          </w:p>
          <w:p>
            <w:pPr>
              <w:ind w:firstLine="510" w:firstLineChars="200"/>
              <w:rPr>
                <w:bCs/>
                <w:sz w:val="24"/>
                <w:szCs w:val="21"/>
              </w:rPr>
            </w:pPr>
            <w:r>
              <w:rPr>
                <w:bCs/>
                <w:sz w:val="24"/>
                <w:szCs w:val="21"/>
              </w:rPr>
              <w:t>（2）对水库水质的影响</w:t>
            </w:r>
          </w:p>
          <w:p>
            <w:pPr>
              <w:ind w:firstLine="510" w:firstLineChars="200"/>
              <w:rPr>
                <w:bCs/>
                <w:sz w:val="24"/>
                <w:szCs w:val="21"/>
              </w:rPr>
            </w:pPr>
            <w:r>
              <w:rPr>
                <w:bCs/>
                <w:sz w:val="24"/>
                <w:szCs w:val="21"/>
              </w:rPr>
              <w:t>施工期对水库水质产生影响主要为施工扰动及施工污（废）水的排放，项目建设不进行涉水作业，不会对水环境造成显著的不利影响。</w:t>
            </w:r>
          </w:p>
          <w:p>
            <w:pPr>
              <w:ind w:firstLine="510" w:firstLineChars="200"/>
              <w:rPr>
                <w:bCs/>
                <w:sz w:val="24"/>
                <w:szCs w:val="21"/>
              </w:rPr>
            </w:pPr>
            <w:r>
              <w:rPr>
                <w:bCs/>
                <w:sz w:val="24"/>
                <w:szCs w:val="21"/>
              </w:rPr>
              <w:t>本项目实施后，雅石沟水库目前的安全隐患得以消除，水库水质将得到改善，项目的建设对水库水质、泥沙情势均有正效益。具体影响分析见地表水专项评价。</w:t>
            </w:r>
          </w:p>
          <w:p>
            <w:pPr>
              <w:ind w:firstLine="510" w:firstLineChars="200"/>
              <w:rPr>
                <w:bCs/>
                <w:sz w:val="24"/>
                <w:szCs w:val="21"/>
              </w:rPr>
            </w:pPr>
            <w:r>
              <w:rPr>
                <w:bCs/>
                <w:sz w:val="24"/>
                <w:szCs w:val="21"/>
              </w:rPr>
              <w:t>（3）地下水环境影响分析</w:t>
            </w:r>
          </w:p>
          <w:p>
            <w:pPr>
              <w:ind w:firstLine="510" w:firstLineChars="200"/>
              <w:rPr>
                <w:bCs/>
                <w:sz w:val="24"/>
                <w:szCs w:val="21"/>
              </w:rPr>
            </w:pPr>
            <w:r>
              <w:rPr>
                <w:bCs/>
                <w:sz w:val="24"/>
                <w:szCs w:val="21"/>
              </w:rPr>
              <w:t>工程施工过程对地下水的影响主要体现在施工废水未经处理直接外泄通过裂隙等渗入地下，对一定范围内的地下水造成污染。但工程施工期间对地表水水质的影响较小，且影响时间短，在采取减缓措施后，不会引起地下水水质的变化。周边居民区没有集中直接使用水井及潜水的情况，地下工程施工对居民区用水基本无影响。</w:t>
            </w:r>
          </w:p>
          <w:p>
            <w:pPr>
              <w:autoSpaceDE w:val="0"/>
              <w:autoSpaceDN w:val="0"/>
              <w:spacing w:before="240" w:after="60"/>
              <w:jc w:val="left"/>
              <w:rPr>
                <w:rFonts w:eastAsia="黑体"/>
                <w:kern w:val="0"/>
                <w:sz w:val="24"/>
              </w:rPr>
            </w:pPr>
            <w:r>
              <w:rPr>
                <w:rFonts w:eastAsia="黑体"/>
                <w:kern w:val="0"/>
                <w:sz w:val="24"/>
              </w:rPr>
              <w:t>4、声环境影响分析</w:t>
            </w:r>
          </w:p>
          <w:p>
            <w:pPr>
              <w:ind w:firstLine="510" w:firstLineChars="200"/>
              <w:rPr>
                <w:kern w:val="0"/>
                <w:sz w:val="24"/>
              </w:rPr>
            </w:pPr>
            <w:r>
              <w:rPr>
                <w:kern w:val="0"/>
                <w:sz w:val="24"/>
              </w:rPr>
              <w:t>（1）施工机械噪声</w:t>
            </w:r>
          </w:p>
          <w:p>
            <w:pPr>
              <w:ind w:firstLine="510" w:firstLineChars="200"/>
              <w:rPr>
                <w:kern w:val="0"/>
                <w:sz w:val="24"/>
              </w:rPr>
            </w:pPr>
            <w:r>
              <w:rPr>
                <w:kern w:val="0"/>
                <w:sz w:val="24"/>
              </w:rPr>
              <w:t>项目施工期主要的机械设备包括液压挖掘机、装载机、运输车辆、推机起重机、切割机等噪声源强在75~80dB（A），这些施工机械产生的施工噪声属非稳态噪声源。</w:t>
            </w:r>
          </w:p>
          <w:p>
            <w:pPr>
              <w:ind w:firstLine="510" w:firstLineChars="200"/>
              <w:rPr>
                <w:kern w:val="0"/>
                <w:sz w:val="24"/>
              </w:rPr>
            </w:pPr>
            <w:r>
              <w:rPr>
                <w:kern w:val="0"/>
                <w:sz w:val="24"/>
              </w:rPr>
              <w:t>项目施工期机械设备噪声源可视为点源，根据点源衰减模式计算施工期间离声源不同距离处的噪声值。预测模式如下：</w:t>
            </w:r>
          </w:p>
          <w:p>
            <w:pPr>
              <w:adjustRightInd w:val="0"/>
              <w:jc w:val="center"/>
              <w:rPr>
                <w:bCs/>
                <w:sz w:val="24"/>
              </w:rPr>
            </w:pPr>
            <w:r>
              <w:rPr>
                <w:bCs/>
                <w:sz w:val="24"/>
              </w:rPr>
              <w:t>Lp=L</w:t>
            </w:r>
            <w:r>
              <w:rPr>
                <w:bCs/>
                <w:sz w:val="24"/>
                <w:vertAlign w:val="subscript"/>
              </w:rPr>
              <w:t>P0</w:t>
            </w:r>
            <w:r>
              <w:rPr>
                <w:bCs/>
                <w:sz w:val="24"/>
              </w:rPr>
              <w:t>-20Log(r/r</w:t>
            </w:r>
            <w:r>
              <w:rPr>
                <w:bCs/>
                <w:sz w:val="24"/>
                <w:vertAlign w:val="subscript"/>
              </w:rPr>
              <w:t>0</w:t>
            </w:r>
            <w:r>
              <w:rPr>
                <w:bCs/>
                <w:sz w:val="24"/>
              </w:rPr>
              <w:t>)</w:t>
            </w:r>
          </w:p>
          <w:p>
            <w:pPr>
              <w:adjustRightInd w:val="0"/>
              <w:ind w:firstLine="510" w:firstLineChars="200"/>
              <w:rPr>
                <w:bCs/>
                <w:sz w:val="24"/>
              </w:rPr>
            </w:pPr>
            <w:r>
              <w:rPr>
                <w:bCs/>
                <w:sz w:val="24"/>
              </w:rPr>
              <w:t>式中：L</w:t>
            </w:r>
            <w:r>
              <w:rPr>
                <w:bCs/>
                <w:sz w:val="24"/>
                <w:vertAlign w:val="subscript"/>
              </w:rPr>
              <w:t>p</w:t>
            </w:r>
            <w:r>
              <w:rPr>
                <w:bCs/>
                <w:sz w:val="24"/>
              </w:rPr>
              <w:t>-距声源r米处的施工噪声预测值，dB(A)；</w:t>
            </w:r>
          </w:p>
          <w:p>
            <w:pPr>
              <w:adjustRightInd w:val="0"/>
              <w:ind w:firstLine="1275" w:firstLineChars="500"/>
              <w:rPr>
                <w:bCs/>
                <w:sz w:val="24"/>
              </w:rPr>
            </w:pPr>
            <w:r>
              <w:rPr>
                <w:bCs/>
                <w:sz w:val="24"/>
              </w:rPr>
              <w:t>L</w:t>
            </w:r>
            <w:r>
              <w:rPr>
                <w:bCs/>
                <w:sz w:val="24"/>
                <w:vertAlign w:val="subscript"/>
              </w:rPr>
              <w:t>P0</w:t>
            </w:r>
            <w:r>
              <w:rPr>
                <w:bCs/>
                <w:sz w:val="24"/>
              </w:rPr>
              <w:t>-距声源r</w:t>
            </w:r>
            <w:r>
              <w:rPr>
                <w:bCs/>
                <w:sz w:val="24"/>
                <w:vertAlign w:val="subscript"/>
              </w:rPr>
              <w:t>0</w:t>
            </w:r>
            <w:r>
              <w:rPr>
                <w:bCs/>
                <w:sz w:val="24"/>
              </w:rPr>
              <w:t>米处的参考声级，dB(A)。</w:t>
            </w:r>
          </w:p>
          <w:p>
            <w:pPr>
              <w:adjustRightInd w:val="0"/>
              <w:ind w:firstLine="510" w:firstLineChars="200"/>
              <w:rPr>
                <w:b/>
                <w:bCs/>
                <w:sz w:val="24"/>
              </w:rPr>
            </w:pPr>
            <w:r>
              <w:rPr>
                <w:bCs/>
                <w:sz w:val="24"/>
              </w:rPr>
              <w:t>计算出各类施工设施在不同距离处的噪声值见表4-1。</w:t>
            </w:r>
          </w:p>
          <w:p>
            <w:pPr>
              <w:kinsoku w:val="0"/>
              <w:wordWrap w:val="0"/>
              <w:topLinePunct/>
              <w:adjustRightInd w:val="0"/>
              <w:snapToGrid w:val="0"/>
              <w:jc w:val="center"/>
              <w:rPr>
                <w:rFonts w:eastAsia="黑体"/>
                <w:bCs/>
                <w:kern w:val="0"/>
                <w:sz w:val="24"/>
              </w:rPr>
            </w:pPr>
            <w:r>
              <w:rPr>
                <w:rFonts w:eastAsia="黑体"/>
                <w:bCs/>
                <w:kern w:val="0"/>
                <w:sz w:val="24"/>
              </w:rPr>
              <w:t>表4-1  主要施工机械不同距离处的噪声级统计表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1"/>
              <w:gridCol w:w="684"/>
              <w:gridCol w:w="549"/>
              <w:gridCol w:w="549"/>
              <w:gridCol w:w="549"/>
              <w:gridCol w:w="751"/>
              <w:gridCol w:w="549"/>
              <w:gridCol w:w="683"/>
              <w:gridCol w:w="751"/>
              <w:gridCol w:w="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ign w:val="center"/>
                </w:tcPr>
                <w:p>
                  <w:pPr>
                    <w:adjustRightInd w:val="0"/>
                    <w:snapToGrid w:val="0"/>
                    <w:spacing w:line="0" w:lineRule="atLeast"/>
                    <w:jc w:val="right"/>
                    <w:rPr>
                      <w:b/>
                      <w:szCs w:val="21"/>
                    </w:rPr>
                  </w:pPr>
                  <w:r>
                    <w:rPr>
                      <w:b/>
                      <w:szCs w:val="21"/>
                    </w:rPr>
                    <w:t xml:space="preserve">       距施工点距离(m)</w:t>
                  </w:r>
                </w:p>
                <w:p>
                  <w:pPr>
                    <w:adjustRightInd w:val="0"/>
                    <w:snapToGrid w:val="0"/>
                    <w:spacing w:line="0" w:lineRule="atLeast"/>
                    <w:jc w:val="left"/>
                    <w:rPr>
                      <w:b/>
                      <w:szCs w:val="21"/>
                    </w:rPr>
                  </w:pPr>
                  <w:r>
                    <w:rPr>
                      <w:b/>
                      <w:szCs w:val="21"/>
                    </w:rPr>
                    <w:t>噪声级 dB(A)</w:t>
                  </w:r>
                </w:p>
              </w:tc>
              <w:tc>
                <w:tcPr>
                  <w:tcW w:w="408" w:type="pct"/>
                  <w:tcBorders>
                    <w:tl2br w:val="nil"/>
                    <w:tr2bl w:val="nil"/>
                  </w:tcBorders>
                  <w:noWrap/>
                  <w:vAlign w:val="center"/>
                </w:tcPr>
                <w:p>
                  <w:pPr>
                    <w:adjustRightInd w:val="0"/>
                    <w:snapToGrid w:val="0"/>
                    <w:spacing w:line="0" w:lineRule="atLeast"/>
                    <w:jc w:val="center"/>
                    <w:rPr>
                      <w:b/>
                      <w:szCs w:val="21"/>
                    </w:rPr>
                  </w:pPr>
                  <w:r>
                    <w:rPr>
                      <w:b/>
                      <w:szCs w:val="21"/>
                    </w:rPr>
                    <w:t>5</w:t>
                  </w:r>
                </w:p>
              </w:tc>
              <w:tc>
                <w:tcPr>
                  <w:tcW w:w="327" w:type="pct"/>
                  <w:tcBorders>
                    <w:tl2br w:val="nil"/>
                    <w:tr2bl w:val="nil"/>
                  </w:tcBorders>
                  <w:noWrap/>
                  <w:vAlign w:val="center"/>
                </w:tcPr>
                <w:p>
                  <w:pPr>
                    <w:adjustRightInd w:val="0"/>
                    <w:snapToGrid w:val="0"/>
                    <w:spacing w:line="0" w:lineRule="atLeast"/>
                    <w:jc w:val="center"/>
                    <w:rPr>
                      <w:b/>
                      <w:szCs w:val="21"/>
                    </w:rPr>
                  </w:pPr>
                  <w:r>
                    <w:rPr>
                      <w:b/>
                      <w:szCs w:val="21"/>
                    </w:rPr>
                    <w:t>10</w:t>
                  </w:r>
                </w:p>
              </w:tc>
              <w:tc>
                <w:tcPr>
                  <w:tcW w:w="327" w:type="pct"/>
                  <w:tcBorders>
                    <w:tl2br w:val="nil"/>
                    <w:tr2bl w:val="nil"/>
                  </w:tcBorders>
                  <w:noWrap/>
                  <w:vAlign w:val="center"/>
                </w:tcPr>
                <w:p>
                  <w:pPr>
                    <w:adjustRightInd w:val="0"/>
                    <w:snapToGrid w:val="0"/>
                    <w:spacing w:line="0" w:lineRule="atLeast"/>
                    <w:jc w:val="center"/>
                    <w:rPr>
                      <w:b/>
                      <w:szCs w:val="21"/>
                    </w:rPr>
                  </w:pPr>
                  <w:r>
                    <w:rPr>
                      <w:b/>
                      <w:szCs w:val="21"/>
                    </w:rPr>
                    <w:t>20</w:t>
                  </w:r>
                </w:p>
              </w:tc>
              <w:tc>
                <w:tcPr>
                  <w:tcW w:w="327" w:type="pct"/>
                  <w:tcBorders>
                    <w:tl2br w:val="nil"/>
                    <w:tr2bl w:val="nil"/>
                  </w:tcBorders>
                  <w:noWrap/>
                  <w:vAlign w:val="center"/>
                </w:tcPr>
                <w:p>
                  <w:pPr>
                    <w:adjustRightInd w:val="0"/>
                    <w:snapToGrid w:val="0"/>
                    <w:spacing w:line="0" w:lineRule="atLeast"/>
                    <w:jc w:val="center"/>
                    <w:rPr>
                      <w:b/>
                      <w:szCs w:val="21"/>
                    </w:rPr>
                  </w:pPr>
                  <w:r>
                    <w:rPr>
                      <w:b/>
                      <w:szCs w:val="21"/>
                    </w:rPr>
                    <w:t>40</w:t>
                  </w:r>
                </w:p>
              </w:tc>
              <w:tc>
                <w:tcPr>
                  <w:tcW w:w="448" w:type="pct"/>
                  <w:tcBorders>
                    <w:tl2br w:val="nil"/>
                    <w:tr2bl w:val="nil"/>
                  </w:tcBorders>
                  <w:noWrap/>
                  <w:vAlign w:val="center"/>
                </w:tcPr>
                <w:p>
                  <w:pPr>
                    <w:adjustRightInd w:val="0"/>
                    <w:snapToGrid w:val="0"/>
                    <w:spacing w:line="0" w:lineRule="atLeast"/>
                    <w:jc w:val="center"/>
                    <w:rPr>
                      <w:b/>
                      <w:szCs w:val="21"/>
                    </w:rPr>
                  </w:pPr>
                  <w:r>
                    <w:rPr>
                      <w:b/>
                      <w:szCs w:val="21"/>
                    </w:rPr>
                    <w:t>60</w:t>
                  </w:r>
                </w:p>
              </w:tc>
              <w:tc>
                <w:tcPr>
                  <w:tcW w:w="327" w:type="pct"/>
                  <w:tcBorders>
                    <w:tl2br w:val="nil"/>
                    <w:tr2bl w:val="nil"/>
                  </w:tcBorders>
                  <w:noWrap/>
                  <w:vAlign w:val="center"/>
                </w:tcPr>
                <w:p>
                  <w:pPr>
                    <w:adjustRightInd w:val="0"/>
                    <w:snapToGrid w:val="0"/>
                    <w:spacing w:line="0" w:lineRule="atLeast"/>
                    <w:jc w:val="center"/>
                    <w:rPr>
                      <w:b/>
                      <w:szCs w:val="21"/>
                    </w:rPr>
                  </w:pPr>
                  <w:r>
                    <w:rPr>
                      <w:b/>
                      <w:szCs w:val="21"/>
                    </w:rPr>
                    <w:t>80</w:t>
                  </w:r>
                </w:p>
              </w:tc>
              <w:tc>
                <w:tcPr>
                  <w:tcW w:w="407" w:type="pct"/>
                  <w:tcBorders>
                    <w:tl2br w:val="nil"/>
                    <w:tr2bl w:val="nil"/>
                  </w:tcBorders>
                  <w:noWrap/>
                  <w:vAlign w:val="center"/>
                </w:tcPr>
                <w:p>
                  <w:pPr>
                    <w:adjustRightInd w:val="0"/>
                    <w:snapToGrid w:val="0"/>
                    <w:spacing w:line="0" w:lineRule="atLeast"/>
                    <w:jc w:val="center"/>
                    <w:rPr>
                      <w:b/>
                      <w:szCs w:val="21"/>
                    </w:rPr>
                  </w:pPr>
                  <w:r>
                    <w:rPr>
                      <w:b/>
                      <w:szCs w:val="21"/>
                    </w:rPr>
                    <w:t>100</w:t>
                  </w:r>
                </w:p>
              </w:tc>
              <w:tc>
                <w:tcPr>
                  <w:tcW w:w="448" w:type="pct"/>
                  <w:tcBorders>
                    <w:tl2br w:val="nil"/>
                    <w:tr2bl w:val="nil"/>
                  </w:tcBorders>
                  <w:noWrap/>
                  <w:vAlign w:val="center"/>
                </w:tcPr>
                <w:p>
                  <w:pPr>
                    <w:adjustRightInd w:val="0"/>
                    <w:snapToGrid w:val="0"/>
                    <w:spacing w:line="0" w:lineRule="atLeast"/>
                    <w:jc w:val="center"/>
                    <w:rPr>
                      <w:b/>
                      <w:szCs w:val="21"/>
                    </w:rPr>
                  </w:pPr>
                  <w:r>
                    <w:rPr>
                      <w:b/>
                      <w:szCs w:val="21"/>
                    </w:rPr>
                    <w:t>150</w:t>
                  </w:r>
                </w:p>
              </w:tc>
              <w:tc>
                <w:tcPr>
                  <w:tcW w:w="407" w:type="pct"/>
                  <w:tcBorders>
                    <w:tl2br w:val="nil"/>
                    <w:tr2bl w:val="nil"/>
                  </w:tcBorders>
                  <w:noWrap/>
                  <w:vAlign w:val="center"/>
                </w:tcPr>
                <w:p>
                  <w:pPr>
                    <w:adjustRightInd w:val="0"/>
                    <w:snapToGrid w:val="0"/>
                    <w:spacing w:line="0" w:lineRule="atLeast"/>
                    <w:jc w:val="center"/>
                    <w:rPr>
                      <w:b/>
                      <w:szCs w:val="21"/>
                    </w:rPr>
                  </w:pPr>
                  <w:r>
                    <w:rPr>
                      <w:b/>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ign w:val="center"/>
                </w:tcPr>
                <w:p>
                  <w:pPr>
                    <w:adjustRightInd w:val="0"/>
                    <w:snapToGrid w:val="0"/>
                    <w:spacing w:line="0" w:lineRule="atLeast"/>
                    <w:jc w:val="center"/>
                    <w:rPr>
                      <w:szCs w:val="21"/>
                    </w:rPr>
                  </w:pPr>
                  <w:r>
                    <w:rPr>
                      <w:szCs w:val="21"/>
                    </w:rPr>
                    <w:t>挖掘机</w:t>
                  </w:r>
                </w:p>
              </w:tc>
              <w:tc>
                <w:tcPr>
                  <w:tcW w:w="408" w:type="pct"/>
                  <w:tcBorders>
                    <w:tl2br w:val="nil"/>
                    <w:tr2bl w:val="nil"/>
                  </w:tcBorders>
                  <w:noWrap/>
                  <w:vAlign w:val="center"/>
                </w:tcPr>
                <w:p>
                  <w:pPr>
                    <w:adjustRightInd w:val="0"/>
                    <w:snapToGrid w:val="0"/>
                    <w:spacing w:line="0" w:lineRule="atLeast"/>
                    <w:jc w:val="center"/>
                    <w:rPr>
                      <w:szCs w:val="21"/>
                    </w:rPr>
                  </w:pPr>
                  <w:r>
                    <w:rPr>
                      <w:szCs w:val="21"/>
                    </w:rPr>
                    <w:t>76</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70</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64</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58</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54.5</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52</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50</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46.5</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ign w:val="center"/>
                </w:tcPr>
                <w:p>
                  <w:pPr>
                    <w:adjustRightInd w:val="0"/>
                    <w:snapToGrid w:val="0"/>
                    <w:spacing w:line="0" w:lineRule="atLeast"/>
                    <w:jc w:val="center"/>
                    <w:rPr>
                      <w:szCs w:val="21"/>
                    </w:rPr>
                  </w:pPr>
                  <w:r>
                    <w:rPr>
                      <w:szCs w:val="21"/>
                    </w:rPr>
                    <w:t>推土机</w:t>
                  </w:r>
                </w:p>
              </w:tc>
              <w:tc>
                <w:tcPr>
                  <w:tcW w:w="408" w:type="pct"/>
                  <w:tcBorders>
                    <w:tl2br w:val="nil"/>
                    <w:tr2bl w:val="nil"/>
                  </w:tcBorders>
                  <w:noWrap/>
                  <w:vAlign w:val="center"/>
                </w:tcPr>
                <w:p>
                  <w:pPr>
                    <w:adjustRightInd w:val="0"/>
                    <w:snapToGrid w:val="0"/>
                    <w:spacing w:line="0" w:lineRule="atLeast"/>
                    <w:jc w:val="center"/>
                    <w:rPr>
                      <w:szCs w:val="21"/>
                    </w:rPr>
                  </w:pPr>
                  <w:r>
                    <w:rPr>
                      <w:szCs w:val="21"/>
                    </w:rPr>
                    <w:t>81</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75</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69</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63</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59.5</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57</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55</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51.5</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ign w:val="center"/>
                </w:tcPr>
                <w:p>
                  <w:pPr>
                    <w:adjustRightInd w:val="0"/>
                    <w:snapToGrid w:val="0"/>
                    <w:spacing w:line="0" w:lineRule="atLeast"/>
                    <w:jc w:val="center"/>
                    <w:rPr>
                      <w:szCs w:val="21"/>
                    </w:rPr>
                  </w:pPr>
                  <w:r>
                    <w:rPr>
                      <w:szCs w:val="21"/>
                    </w:rPr>
                    <w:t>电焊机</w:t>
                  </w:r>
                </w:p>
              </w:tc>
              <w:tc>
                <w:tcPr>
                  <w:tcW w:w="408" w:type="pct"/>
                  <w:tcBorders>
                    <w:tl2br w:val="nil"/>
                    <w:tr2bl w:val="nil"/>
                  </w:tcBorders>
                  <w:noWrap/>
                  <w:vAlign w:val="center"/>
                </w:tcPr>
                <w:p>
                  <w:pPr>
                    <w:adjustRightInd w:val="0"/>
                    <w:snapToGrid w:val="0"/>
                    <w:spacing w:line="0" w:lineRule="atLeast"/>
                    <w:jc w:val="center"/>
                    <w:rPr>
                      <w:szCs w:val="21"/>
                    </w:rPr>
                  </w:pPr>
                  <w:r>
                    <w:rPr>
                      <w:szCs w:val="21"/>
                    </w:rPr>
                    <w:t>87</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81</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75</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69</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65.5</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63</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61</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57.5</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ign w:val="center"/>
                </w:tcPr>
                <w:p>
                  <w:pPr>
                    <w:adjustRightInd w:val="0"/>
                    <w:snapToGrid w:val="0"/>
                    <w:spacing w:line="0" w:lineRule="atLeast"/>
                    <w:jc w:val="center"/>
                    <w:rPr>
                      <w:szCs w:val="21"/>
                    </w:rPr>
                  </w:pPr>
                  <w:r>
                    <w:rPr>
                      <w:szCs w:val="21"/>
                    </w:rPr>
                    <w:t>蛙式打夯机</w:t>
                  </w:r>
                </w:p>
              </w:tc>
              <w:tc>
                <w:tcPr>
                  <w:tcW w:w="408" w:type="pct"/>
                  <w:tcBorders>
                    <w:tl2br w:val="nil"/>
                    <w:tr2bl w:val="nil"/>
                  </w:tcBorders>
                  <w:noWrap/>
                  <w:vAlign w:val="center"/>
                </w:tcPr>
                <w:p>
                  <w:pPr>
                    <w:adjustRightInd w:val="0"/>
                    <w:snapToGrid w:val="0"/>
                    <w:spacing w:line="0" w:lineRule="atLeast"/>
                    <w:jc w:val="center"/>
                    <w:rPr>
                      <w:szCs w:val="21"/>
                    </w:rPr>
                  </w:pPr>
                  <w:r>
                    <w:rPr>
                      <w:szCs w:val="21"/>
                    </w:rPr>
                    <w:t>86</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80</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74</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68</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64.5</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62</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60</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56.5</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pct"/>
                  <w:tcBorders>
                    <w:tl2br w:val="nil"/>
                    <w:tr2bl w:val="nil"/>
                  </w:tcBorders>
                  <w:noWrap/>
                  <w:vAlign w:val="center"/>
                </w:tcPr>
                <w:p>
                  <w:pPr>
                    <w:adjustRightInd w:val="0"/>
                    <w:snapToGrid w:val="0"/>
                    <w:spacing w:line="0" w:lineRule="atLeast"/>
                    <w:jc w:val="center"/>
                    <w:rPr>
                      <w:szCs w:val="21"/>
                    </w:rPr>
                  </w:pPr>
                  <w:r>
                    <w:rPr>
                      <w:szCs w:val="21"/>
                    </w:rPr>
                    <w:t>柴油发电机</w:t>
                  </w:r>
                </w:p>
              </w:tc>
              <w:tc>
                <w:tcPr>
                  <w:tcW w:w="408" w:type="pct"/>
                  <w:tcBorders>
                    <w:tl2br w:val="nil"/>
                    <w:tr2bl w:val="nil"/>
                  </w:tcBorders>
                  <w:noWrap/>
                  <w:vAlign w:val="center"/>
                </w:tcPr>
                <w:p>
                  <w:pPr>
                    <w:adjustRightInd w:val="0"/>
                    <w:snapToGrid w:val="0"/>
                    <w:spacing w:line="0" w:lineRule="atLeast"/>
                    <w:jc w:val="center"/>
                    <w:rPr>
                      <w:szCs w:val="21"/>
                    </w:rPr>
                  </w:pPr>
                  <w:r>
                    <w:rPr>
                      <w:szCs w:val="21"/>
                    </w:rPr>
                    <w:t>80</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74</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68</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62</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58.5</w:t>
                  </w:r>
                </w:p>
              </w:tc>
              <w:tc>
                <w:tcPr>
                  <w:tcW w:w="327" w:type="pct"/>
                  <w:tcBorders>
                    <w:tl2br w:val="nil"/>
                    <w:tr2bl w:val="nil"/>
                  </w:tcBorders>
                  <w:noWrap/>
                  <w:vAlign w:val="center"/>
                </w:tcPr>
                <w:p>
                  <w:pPr>
                    <w:adjustRightInd w:val="0"/>
                    <w:snapToGrid w:val="0"/>
                    <w:spacing w:line="0" w:lineRule="atLeast"/>
                    <w:jc w:val="center"/>
                    <w:rPr>
                      <w:szCs w:val="21"/>
                    </w:rPr>
                  </w:pPr>
                  <w:r>
                    <w:rPr>
                      <w:szCs w:val="21"/>
                    </w:rPr>
                    <w:t>56</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55</w:t>
                  </w:r>
                </w:p>
              </w:tc>
              <w:tc>
                <w:tcPr>
                  <w:tcW w:w="448" w:type="pct"/>
                  <w:tcBorders>
                    <w:tl2br w:val="nil"/>
                    <w:tr2bl w:val="nil"/>
                  </w:tcBorders>
                  <w:noWrap/>
                  <w:vAlign w:val="center"/>
                </w:tcPr>
                <w:p>
                  <w:pPr>
                    <w:adjustRightInd w:val="0"/>
                    <w:snapToGrid w:val="0"/>
                    <w:spacing w:line="0" w:lineRule="atLeast"/>
                    <w:jc w:val="center"/>
                    <w:rPr>
                      <w:szCs w:val="21"/>
                    </w:rPr>
                  </w:pPr>
                  <w:r>
                    <w:rPr>
                      <w:szCs w:val="21"/>
                    </w:rPr>
                    <w:t>50.5</w:t>
                  </w:r>
                </w:p>
              </w:tc>
              <w:tc>
                <w:tcPr>
                  <w:tcW w:w="407" w:type="pct"/>
                  <w:tcBorders>
                    <w:tl2br w:val="nil"/>
                    <w:tr2bl w:val="nil"/>
                  </w:tcBorders>
                  <w:noWrap/>
                  <w:vAlign w:val="center"/>
                </w:tcPr>
                <w:p>
                  <w:pPr>
                    <w:adjustRightInd w:val="0"/>
                    <w:snapToGrid w:val="0"/>
                    <w:spacing w:line="0" w:lineRule="atLeast"/>
                    <w:jc w:val="center"/>
                    <w:rPr>
                      <w:szCs w:val="21"/>
                    </w:rPr>
                  </w:pPr>
                  <w:r>
                    <w:rPr>
                      <w:szCs w:val="21"/>
                    </w:rPr>
                    <w:t>49</w:t>
                  </w:r>
                </w:p>
              </w:tc>
            </w:tr>
          </w:tbl>
          <w:p>
            <w:pPr>
              <w:ind w:firstLine="510" w:firstLineChars="200"/>
              <w:rPr>
                <w:kern w:val="0"/>
                <w:sz w:val="24"/>
              </w:rPr>
            </w:pPr>
            <w:r>
              <w:rPr>
                <w:kern w:val="0"/>
                <w:sz w:val="24"/>
              </w:rPr>
              <w:t>由表4-1可知，项目施工机械产生的噪声在60m处最大噪声值为65.5dB(A)，因本项目仅在昼间进行施工，故满足《建筑施工场界环境噪声排放标准》(GB12523-2011)表1中昼间标准限值。本项目施工场地周边200m范围内无声环境敏感目标，因此施工期噪声对敏感点影响较小。</w:t>
            </w:r>
          </w:p>
          <w:p>
            <w:pPr>
              <w:ind w:firstLine="510" w:firstLineChars="200"/>
              <w:rPr>
                <w:kern w:val="0"/>
                <w:sz w:val="24"/>
              </w:rPr>
            </w:pPr>
            <w:r>
              <w:rPr>
                <w:kern w:val="0"/>
                <w:sz w:val="24"/>
              </w:rPr>
              <w:t>（2）交通噪声</w:t>
            </w:r>
          </w:p>
          <w:p>
            <w:pPr>
              <w:ind w:firstLine="510" w:firstLineChars="200"/>
              <w:rPr>
                <w:kern w:val="0"/>
                <w:sz w:val="24"/>
              </w:rPr>
            </w:pPr>
            <w:r>
              <w:rPr>
                <w:kern w:val="0"/>
                <w:sz w:val="24"/>
              </w:rPr>
              <w:t>交通车辆以载重汽车为主，噪声最高达90dB（A），声源呈线状分布，源强与行车速度及车流量密切相关。根据施工组织规划，交通运输高频段主要为各水库枢纽工区到渣场、堆场的施工道路及工程外来物资运输路段。</w:t>
            </w:r>
          </w:p>
          <w:p>
            <w:pPr>
              <w:autoSpaceDE w:val="0"/>
              <w:autoSpaceDN w:val="0"/>
              <w:spacing w:before="240" w:after="60"/>
              <w:jc w:val="left"/>
              <w:rPr>
                <w:rFonts w:eastAsia="黑体"/>
                <w:kern w:val="0"/>
                <w:sz w:val="24"/>
              </w:rPr>
            </w:pPr>
            <w:r>
              <w:rPr>
                <w:rFonts w:eastAsia="黑体"/>
                <w:kern w:val="0"/>
                <w:sz w:val="24"/>
              </w:rPr>
              <w:t>5、固体废物影响分析</w:t>
            </w:r>
          </w:p>
          <w:p>
            <w:pPr>
              <w:ind w:firstLine="510" w:firstLineChars="200"/>
              <w:rPr>
                <w:bCs/>
                <w:sz w:val="24"/>
                <w:szCs w:val="21"/>
              </w:rPr>
            </w:pPr>
            <w:r>
              <w:rPr>
                <w:kern w:val="0"/>
                <w:sz w:val="24"/>
              </w:rPr>
              <w:t>本项目施工现场严禁进行机械、设备、车辆的维修工作，因此不存在废机油产生。</w:t>
            </w:r>
          </w:p>
          <w:p>
            <w:pPr>
              <w:ind w:firstLine="510" w:firstLineChars="200"/>
              <w:rPr>
                <w:bCs/>
                <w:sz w:val="24"/>
                <w:szCs w:val="21"/>
              </w:rPr>
            </w:pPr>
            <w:r>
              <w:rPr>
                <w:bCs/>
                <w:sz w:val="24"/>
                <w:szCs w:val="21"/>
              </w:rPr>
              <w:t>在施工临时生活区设置垃圾桶，按高峰期施工人数每10人设置垃圾桶1个，施工期共设置垃圾桶12个。安排清洁工负责日常生活垃圾的清扫，并对其进行简单筛选，能重复利用的尽量集中回收，剩余废物集中堆放，并要求垃圾堆放点具有防雨、防渗和避免径流冲刷措施。生活垃圾夏秋季节经常喷洒杀虫剂灭蚊蝇，投放毒饵灭鼠，消除疾病传染媒介，项目施工期为2025年7月—2026年5月底，并委托当地的环卫部门定期清运处理。</w:t>
            </w:r>
          </w:p>
          <w:p>
            <w:pPr>
              <w:ind w:firstLine="510" w:firstLineChars="200"/>
              <w:rPr>
                <w:bCs/>
                <w:sz w:val="24"/>
                <w:szCs w:val="21"/>
              </w:rPr>
            </w:pPr>
            <w:r>
              <w:rPr>
                <w:bCs/>
                <w:sz w:val="24"/>
                <w:szCs w:val="21"/>
              </w:rPr>
              <w:t>本项目拆除废旧混凝土及浆砌石等废旧建筑材料共计约193.62m</w:t>
            </w:r>
            <w:r>
              <w:rPr>
                <w:bCs/>
                <w:sz w:val="24"/>
                <w:szCs w:val="21"/>
                <w:vertAlign w:val="superscript"/>
              </w:rPr>
              <w:t>3</w:t>
            </w:r>
            <w:r>
              <w:rPr>
                <w:bCs/>
                <w:sz w:val="24"/>
                <w:szCs w:val="21"/>
              </w:rPr>
              <w:t>，要求统一运至约30km处的建筑垃圾填埋场统一填埋处理。</w:t>
            </w:r>
          </w:p>
          <w:p>
            <w:pPr>
              <w:pStyle w:val="9"/>
              <w:snapToGrid/>
              <w:spacing w:before="0" w:after="0" w:line="240" w:lineRule="auto"/>
              <w:ind w:right="0" w:firstLine="510" w:firstLineChars="200"/>
              <w:rPr>
                <w:bCs/>
                <w:szCs w:val="21"/>
              </w:rPr>
            </w:pPr>
            <w:r>
              <w:rPr>
                <w:sz w:val="24"/>
              </w:rPr>
              <w:t>综上所述，本项目施工期产生的固体废物均得到了妥善处置，对环境影响较小。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dxa"/>
            <w:tcBorders>
              <w:tl2br w:val="nil"/>
              <w:tr2bl w:val="nil"/>
            </w:tcBorders>
            <w:noWrap/>
            <w:tcMar>
              <w:left w:w="28" w:type="dxa"/>
              <w:right w:w="28" w:type="dxa"/>
            </w:tcMar>
            <w:vAlign w:val="center"/>
          </w:tcPr>
          <w:p>
            <w:pPr>
              <w:pStyle w:val="25"/>
              <w:adjustRightInd w:val="0"/>
              <w:snapToGrid w:val="0"/>
              <w:spacing w:before="0" w:beforeAutospacing="0" w:after="0" w:afterAutospacing="0"/>
              <w:jc w:val="center"/>
              <w:rPr>
                <w:rFonts w:ascii="Times New Roman" w:hAnsi="Times New Roman"/>
                <w:b/>
                <w:kern w:val="2"/>
              </w:rPr>
            </w:pPr>
            <w:r>
              <w:rPr>
                <w:rFonts w:ascii="Times New Roman" w:hAnsi="Times New Roman"/>
                <w:b/>
                <w:spacing w:val="10"/>
                <w:kern w:val="2"/>
              </w:rPr>
              <w:t>运营期生态环境影响分析</w:t>
            </w:r>
          </w:p>
        </w:tc>
        <w:tc>
          <w:tcPr>
            <w:tcW w:w="8633" w:type="dxa"/>
            <w:tcBorders>
              <w:tl2br w:val="nil"/>
              <w:tr2bl w:val="nil"/>
            </w:tcBorders>
            <w:noWrap/>
          </w:tcPr>
          <w:p>
            <w:pPr>
              <w:pStyle w:val="22"/>
              <w:spacing w:line="240" w:lineRule="auto"/>
              <w:ind w:left="0" w:leftChars="0" w:firstLine="550" w:firstLineChars="200"/>
              <w:rPr>
                <w:b/>
                <w:bCs/>
              </w:rPr>
            </w:pPr>
            <w:r>
              <w:t>本项目为水库除险加固项目，本项目整治完成后，运营期无“三废”产生。</w:t>
            </w:r>
          </w:p>
          <w:p>
            <w:pPr>
              <w:autoSpaceDE w:val="0"/>
              <w:autoSpaceDN w:val="0"/>
              <w:spacing w:before="240" w:after="60"/>
              <w:jc w:val="left"/>
              <w:rPr>
                <w:rFonts w:eastAsia="黑体"/>
                <w:kern w:val="0"/>
                <w:sz w:val="24"/>
              </w:rPr>
            </w:pPr>
            <w:r>
              <w:rPr>
                <w:rFonts w:eastAsia="黑体"/>
                <w:kern w:val="0"/>
                <w:sz w:val="24"/>
              </w:rPr>
              <w:t>1、水环境影响分析</w:t>
            </w:r>
          </w:p>
          <w:p>
            <w:pPr>
              <w:kinsoku w:val="0"/>
              <w:wordWrap w:val="0"/>
              <w:topLinePunct/>
              <w:ind w:firstLine="510" w:firstLineChars="200"/>
              <w:rPr>
                <w:kern w:val="0"/>
                <w:sz w:val="24"/>
              </w:rPr>
            </w:pPr>
            <w:r>
              <w:rPr>
                <w:kern w:val="0"/>
                <w:sz w:val="24"/>
              </w:rPr>
              <w:t>本项目对雅石沟水库进行除险加固，不改变现状水库设计运行参数。项目的建设对泄洪、泥沙情势均有正效益，对水库水位、水温、下泄流量等无影响。</w:t>
            </w:r>
          </w:p>
          <w:p>
            <w:pPr>
              <w:pStyle w:val="22"/>
              <w:spacing w:line="240" w:lineRule="auto"/>
              <w:ind w:left="0" w:leftChars="0" w:firstLine="510" w:firstLineChars="200"/>
              <w:rPr>
                <w:spacing w:val="0"/>
                <w:kern w:val="0"/>
              </w:rPr>
            </w:pPr>
            <w:r>
              <w:rPr>
                <w:spacing w:val="0"/>
                <w:kern w:val="0"/>
              </w:rPr>
              <w:t>雅石沟水库库区地处黄土塬梁峁丘陵地貌单元，两岸山体高出水位很多，库区正常蓄水位范围内无村庄、公路、农田，附近亦没有低于库水位的洼地，本项目实施不改变现状水库设计运行参数，不新增淹没面积。</w:t>
            </w:r>
          </w:p>
          <w:p>
            <w:pPr>
              <w:pStyle w:val="22"/>
              <w:spacing w:line="240" w:lineRule="auto"/>
              <w:ind w:left="0" w:leftChars="0" w:firstLine="510" w:firstLineChars="200"/>
              <w:rPr>
                <w:spacing w:val="11"/>
              </w:rPr>
            </w:pPr>
            <w:r>
              <w:rPr>
                <w:spacing w:val="0"/>
                <w:kern w:val="0"/>
              </w:rPr>
              <w:t>本项目对水库进行除险加固后，运营期无三废产生，不会导致库区河段水质恶化；</w:t>
            </w:r>
            <w:r>
              <w:rPr>
                <w:spacing w:val="11"/>
              </w:rPr>
              <w:t>项目建成后，不会导致水体富营养化程度加重，水库水体能定期流动，水库发生富营养化的可能性较小；运营期水库水温与建设前基本一致；项目建成后对库区的水文结构、流速等水文情势几乎无影响。</w:t>
            </w:r>
          </w:p>
          <w:p>
            <w:pPr>
              <w:pStyle w:val="22"/>
              <w:spacing w:line="240" w:lineRule="auto"/>
              <w:ind w:left="0" w:leftChars="0" w:firstLine="554" w:firstLineChars="200"/>
              <w:rPr>
                <w:spacing w:val="11"/>
              </w:rPr>
            </w:pPr>
            <w:r>
              <w:rPr>
                <w:spacing w:val="11"/>
              </w:rPr>
              <w:t>因此，本项目建设对河流上下游、库区水文情势影响较小。具体见地表水专项评价内容。</w:t>
            </w:r>
          </w:p>
          <w:p>
            <w:pPr>
              <w:autoSpaceDE w:val="0"/>
              <w:autoSpaceDN w:val="0"/>
              <w:spacing w:before="240" w:after="60"/>
              <w:jc w:val="left"/>
              <w:rPr>
                <w:rFonts w:eastAsia="黑体"/>
                <w:kern w:val="0"/>
                <w:sz w:val="24"/>
              </w:rPr>
            </w:pPr>
            <w:r>
              <w:rPr>
                <w:rFonts w:eastAsia="黑体"/>
                <w:kern w:val="0"/>
                <w:sz w:val="24"/>
              </w:rPr>
              <w:t>2、生态影响分析</w:t>
            </w:r>
          </w:p>
          <w:p>
            <w:pPr>
              <w:pStyle w:val="6"/>
              <w:spacing w:line="240" w:lineRule="auto"/>
              <w:ind w:firstLine="512"/>
              <w:rPr>
                <w:rFonts w:ascii="Times New Roman" w:hAnsi="Times New Roman"/>
              </w:rPr>
            </w:pPr>
            <w:r>
              <w:rPr>
                <w:rFonts w:ascii="Times New Roman" w:hAnsi="Times New Roman"/>
              </w:rPr>
              <w:t>本项目区域属于“中部干旱带区域”，地带性植被是以退耕还林为主的灌丛、草甸等。植物多样性及种群数量相对贫乏，且为该区域的常见种，本项目为水库除险加固工程，对生态影响集中在施工期，运营期项目无三废产生，不改变现状水库设计运行参数，对生态影响较小。</w:t>
            </w:r>
          </w:p>
          <w:p>
            <w:pPr>
              <w:ind w:firstLine="510" w:firstLineChars="200"/>
              <w:rPr>
                <w:sz w:val="24"/>
              </w:rPr>
            </w:pPr>
            <w:r>
              <w:rPr>
                <w:sz w:val="24"/>
              </w:rPr>
              <w:t>（1）对陆生植物的影响</w:t>
            </w:r>
          </w:p>
          <w:p>
            <w:pPr>
              <w:ind w:firstLine="510" w:firstLineChars="200"/>
              <w:rPr>
                <w:sz w:val="24"/>
              </w:rPr>
            </w:pPr>
            <w:r>
              <w:rPr>
                <w:sz w:val="24"/>
              </w:rPr>
              <w:t>本项目不新增永久占地，临时占地在施工结束后进行土地整治、复垦，通过加强运营期植被养护，将恢复原有植被形态，运营期不会对陆生植被造成影响。</w:t>
            </w:r>
          </w:p>
          <w:p>
            <w:pPr>
              <w:ind w:firstLine="510" w:firstLineChars="200"/>
              <w:rPr>
                <w:sz w:val="24"/>
              </w:rPr>
            </w:pPr>
            <w:r>
              <w:rPr>
                <w:sz w:val="24"/>
              </w:rPr>
              <w:t>（2）对陆生动物的影响</w:t>
            </w:r>
          </w:p>
          <w:p>
            <w:pPr>
              <w:ind w:firstLine="510" w:firstLineChars="200"/>
              <w:rPr>
                <w:sz w:val="24"/>
              </w:rPr>
            </w:pPr>
            <w:r>
              <w:rPr>
                <w:sz w:val="24"/>
              </w:rPr>
              <w:t>水库除险加固工程结束后，原有坝体坡面及坝体周边进行了绿化，坝体及坝体周边基本恢复为原有生态类型。陆生动物将会逐渐回到原有的栖息地进行生活与觅食，陆生动物将会逐渐增多，恢复原有生境，基本不会对陆生动物造成影响。</w:t>
            </w:r>
          </w:p>
          <w:p>
            <w:pPr>
              <w:ind w:firstLine="510" w:firstLineChars="200"/>
              <w:rPr>
                <w:sz w:val="24"/>
              </w:rPr>
            </w:pPr>
            <w:r>
              <w:rPr>
                <w:sz w:val="24"/>
              </w:rPr>
              <w:t>（3）对水生生物的影响</w:t>
            </w:r>
          </w:p>
          <w:p>
            <w:pPr>
              <w:ind w:firstLine="510" w:firstLineChars="200"/>
            </w:pPr>
            <w:r>
              <w:rPr>
                <w:sz w:val="24"/>
              </w:rPr>
              <w:t>水库除险加固工程结束后，对水生生物的影响消失，库区及下游恢复了原有水生生境，对水生生物影响较小。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dxa"/>
            <w:tcBorders>
              <w:tl2br w:val="nil"/>
              <w:tr2bl w:val="nil"/>
            </w:tcBorders>
            <w:noWrap/>
            <w:vAlign w:val="center"/>
          </w:tcPr>
          <w:p>
            <w:pPr>
              <w:pStyle w:val="25"/>
              <w:adjustRightInd w:val="0"/>
              <w:snapToGrid w:val="0"/>
              <w:spacing w:before="0" w:beforeAutospacing="0" w:after="0" w:afterAutospacing="0"/>
              <w:jc w:val="center"/>
              <w:rPr>
                <w:rFonts w:ascii="Times New Roman" w:hAnsi="Times New Roman"/>
                <w:b/>
                <w:kern w:val="2"/>
              </w:rPr>
            </w:pPr>
            <w:r>
              <w:rPr>
                <w:rFonts w:ascii="Times New Roman" w:hAnsi="Times New Roman"/>
                <w:b/>
                <w:kern w:val="2"/>
              </w:rPr>
              <w:t>选址选线环境合理性分析</w:t>
            </w:r>
          </w:p>
        </w:tc>
        <w:tc>
          <w:tcPr>
            <w:tcW w:w="8633" w:type="dxa"/>
            <w:tcBorders>
              <w:tl2br w:val="nil"/>
              <w:tr2bl w:val="nil"/>
            </w:tcBorders>
            <w:noWrap/>
          </w:tcPr>
          <w:p>
            <w:pPr>
              <w:autoSpaceDE w:val="0"/>
              <w:autoSpaceDN w:val="0"/>
              <w:spacing w:before="240" w:after="60"/>
              <w:jc w:val="left"/>
              <w:rPr>
                <w:rFonts w:eastAsia="黑体"/>
                <w:kern w:val="0"/>
                <w:sz w:val="24"/>
              </w:rPr>
            </w:pPr>
            <w:r>
              <w:rPr>
                <w:rFonts w:eastAsia="黑体"/>
                <w:kern w:val="0"/>
                <w:sz w:val="24"/>
              </w:rPr>
              <w:t>1、主体工程选址合理性分析</w:t>
            </w:r>
          </w:p>
          <w:p>
            <w:pPr>
              <w:ind w:firstLine="510" w:firstLineChars="200"/>
              <w:rPr>
                <w:b/>
                <w:sz w:val="24"/>
              </w:rPr>
            </w:pPr>
            <w:r>
              <w:rPr>
                <w:bCs/>
                <w:sz w:val="24"/>
              </w:rPr>
              <w:t>本项目为水库除险加固工程，在已建成的水库大坝上进行修缮、改造和维护，选址唯一。</w:t>
            </w:r>
          </w:p>
          <w:p>
            <w:pPr>
              <w:autoSpaceDE w:val="0"/>
              <w:autoSpaceDN w:val="0"/>
              <w:spacing w:before="240" w:after="60"/>
              <w:jc w:val="left"/>
              <w:rPr>
                <w:rFonts w:eastAsia="黑体"/>
                <w:kern w:val="0"/>
                <w:sz w:val="24"/>
              </w:rPr>
            </w:pPr>
            <w:r>
              <w:rPr>
                <w:rFonts w:eastAsia="黑体"/>
                <w:kern w:val="0"/>
                <w:sz w:val="24"/>
              </w:rPr>
              <w:t>2、取土场选址合理性分析</w:t>
            </w:r>
          </w:p>
          <w:p>
            <w:pPr>
              <w:ind w:firstLine="510" w:firstLineChars="200"/>
              <w:rPr>
                <w:bCs/>
                <w:sz w:val="24"/>
              </w:rPr>
            </w:pPr>
            <w:r>
              <w:rPr>
                <w:bCs/>
                <w:sz w:val="24"/>
              </w:rPr>
              <w:t>本项目除利用自身开挖土料外，还需从土料场取土约20.36万m</w:t>
            </w:r>
            <w:r>
              <w:rPr>
                <w:bCs/>
                <w:sz w:val="24"/>
                <w:vertAlign w:val="superscript"/>
              </w:rPr>
              <w:t>3</w:t>
            </w:r>
            <w:r>
              <w:rPr>
                <w:bCs/>
                <w:sz w:val="24"/>
              </w:rPr>
              <w:t>，项目设有1个取土场，取土场占地面积共计51992.74m</w:t>
            </w:r>
            <w:r>
              <w:rPr>
                <w:bCs/>
                <w:sz w:val="24"/>
                <w:vertAlign w:val="superscript"/>
              </w:rPr>
              <w:t>2</w:t>
            </w:r>
            <w:r>
              <w:rPr>
                <w:bCs/>
                <w:sz w:val="24"/>
              </w:rPr>
              <w:t>，位于水库下游西南侧，占地类型为其他草地。</w:t>
            </w:r>
          </w:p>
          <w:p>
            <w:pPr>
              <w:ind w:firstLine="510" w:firstLineChars="200"/>
              <w:rPr>
                <w:bCs/>
                <w:sz w:val="24"/>
              </w:rPr>
            </w:pPr>
            <w:r>
              <w:rPr>
                <w:bCs/>
                <w:sz w:val="24"/>
              </w:rPr>
              <w:t>根据地质资料，取土场储量约为45.0万m³，储量充足，地层岩性以黄土（Q</w:t>
            </w:r>
            <w:r>
              <w:rPr>
                <w:bCs/>
                <w:sz w:val="24"/>
                <w:vertAlign w:val="subscript"/>
              </w:rPr>
              <w:t>3m</w:t>
            </w:r>
            <w:r>
              <w:rPr>
                <w:bCs/>
                <w:sz w:val="24"/>
              </w:rPr>
              <w:t>）为主，局部夹粘土层，含水率较低。勘察深度10.0m，开采厚度7.0～8.0m，储量丰富。经现场踏勘确认，取土场所在区域为典型的山丘地貌，地势相对独立，与邻近的水库大坝之间存在自然的地形缓冲。该山丘的原始高程及土体结构较为稳定，取土作业</w:t>
            </w:r>
            <w:r>
              <w:rPr>
                <w:rFonts w:hint="eastAsia"/>
                <w:bCs/>
                <w:sz w:val="24"/>
              </w:rPr>
              <w:t>应当</w:t>
            </w:r>
            <w:r>
              <w:rPr>
                <w:bCs/>
                <w:sz w:val="24"/>
              </w:rPr>
              <w:t>严格按照预设的范围和深度进行，</w:t>
            </w:r>
            <w:r>
              <w:rPr>
                <w:rFonts w:hint="eastAsia"/>
                <w:bCs/>
                <w:sz w:val="24"/>
              </w:rPr>
              <w:t>取土</w:t>
            </w:r>
            <w:r>
              <w:rPr>
                <w:bCs/>
                <w:sz w:val="24"/>
              </w:rPr>
              <w:t>作业仅适度降低山丘的整体高程</w:t>
            </w:r>
            <w:r>
              <w:rPr>
                <w:rFonts w:hint="eastAsia"/>
                <w:bCs/>
                <w:sz w:val="24"/>
              </w:rPr>
              <w:t>，在取土过程中要明确取土范围、深度和坡度，避免超范围、超深度开挖。作业前应进行地质勘察和隐患排查，清除坡顶、坡边的浮土、危石。</w:t>
            </w:r>
          </w:p>
          <w:p>
            <w:pPr>
              <w:ind w:firstLine="510" w:firstLineChars="200"/>
              <w:rPr>
                <w:bCs/>
                <w:sz w:val="24"/>
              </w:rPr>
            </w:pPr>
            <w:r>
              <w:rPr>
                <w:sz w:val="24"/>
              </w:rPr>
              <w:t>在</w:t>
            </w:r>
            <w:r>
              <w:rPr>
                <w:rFonts w:hint="eastAsia"/>
                <w:sz w:val="24"/>
              </w:rPr>
              <w:t>取土</w:t>
            </w:r>
            <w:r>
              <w:rPr>
                <w:sz w:val="24"/>
              </w:rPr>
              <w:t>结束后，通过水土保持措施的实施逐渐恢复原有的水土保持功能，并对其进行复垦。施工时收集保存建设中临时用地所占用其他草地的表层剥离土，施工结束后及时回覆，在施工完成后尽早进行土地整治及种草，并选用原有草种类型</w:t>
            </w:r>
            <w:r>
              <w:rPr>
                <w:rFonts w:hint="eastAsia"/>
                <w:sz w:val="24"/>
              </w:rPr>
              <w:t>，</w:t>
            </w:r>
            <w:r>
              <w:rPr>
                <w:sz w:val="24"/>
              </w:rPr>
              <w:t>为减免施工对其他草地的影响，</w:t>
            </w:r>
            <w:r>
              <w:rPr>
                <w:rFonts w:hint="eastAsia"/>
                <w:sz w:val="24"/>
              </w:rPr>
              <w:t>取土</w:t>
            </w:r>
            <w:r>
              <w:rPr>
                <w:sz w:val="24"/>
              </w:rPr>
              <w:t>中尽量减少影响面积，在施工完成后尽早进行植被恢复。取土场500m范围内没有居民点分布，项目取土场做好严格限制取土范围、表土剥离、边坡防护以及下边坡的临时拦挡等防护措施后，取土场开采对周边环境影响较小</w:t>
            </w:r>
            <w:r>
              <w:rPr>
                <w:rFonts w:hint="eastAsia"/>
                <w:sz w:val="24"/>
              </w:rPr>
              <w:t>，</w:t>
            </w:r>
            <w:r>
              <w:rPr>
                <w:sz w:val="24"/>
              </w:rPr>
              <w:t>本项目取土场</w:t>
            </w:r>
            <w:r>
              <w:rPr>
                <w:bCs/>
                <w:sz w:val="24"/>
              </w:rPr>
              <w:t>距离坝址区平均运距0.2km</w:t>
            </w:r>
            <w:r>
              <w:rPr>
                <w:rFonts w:hint="eastAsia"/>
                <w:bCs/>
                <w:sz w:val="24"/>
              </w:rPr>
              <w:t>，</w:t>
            </w:r>
            <w:r>
              <w:rPr>
                <w:sz w:val="24"/>
              </w:rPr>
              <w:t>运输便利，符合《生产建设项目水土保持技术标准》的相关要求取土场的设置是合理的。</w:t>
            </w:r>
          </w:p>
          <w:p>
            <w:pPr>
              <w:ind w:firstLine="510" w:firstLineChars="200"/>
            </w:pPr>
            <w:r>
              <w:rPr>
                <w:bCs/>
                <w:sz w:val="24"/>
              </w:rPr>
              <w:t>综上所述，本项目取土场选址合理。</w:t>
            </w:r>
          </w:p>
        </w:tc>
      </w:tr>
    </w:tbl>
    <w:p>
      <w:pPr>
        <w:pStyle w:val="25"/>
        <w:jc w:val="center"/>
        <w:rPr>
          <w:rFonts w:ascii="Times New Roman" w:hAnsi="Times New Roman" w:eastAsia="黑体"/>
          <w:snapToGrid w:val="0"/>
          <w:sz w:val="36"/>
          <w:szCs w:val="36"/>
        </w:rPr>
        <w:sectPr>
          <w:pgSz w:w="11905" w:h="16838"/>
          <w:pgMar w:top="1417" w:right="1417" w:bottom="1417" w:left="1417" w:header="850" w:footer="964" w:gutter="0"/>
          <w:cols w:space="720" w:num="1"/>
          <w:docGrid w:type="linesAndChars" w:linePitch="466" w:charSpace="3276"/>
        </w:sectPr>
      </w:pPr>
    </w:p>
    <w:p>
      <w:pPr>
        <w:pStyle w:val="25"/>
        <w:spacing w:before="0" w:beforeAutospacing="0" w:after="0" w:afterAutospacing="0"/>
        <w:jc w:val="center"/>
        <w:outlineLvl w:val="0"/>
        <w:rPr>
          <w:rFonts w:ascii="Times New Roman" w:hAnsi="Times New Roman" w:eastAsia="黑体"/>
          <w:snapToGrid w:val="0"/>
          <w:sz w:val="30"/>
          <w:szCs w:val="30"/>
        </w:rPr>
      </w:pPr>
      <w:bookmarkStart w:id="19" w:name="_Toc18299"/>
      <w:bookmarkStart w:id="20" w:name="_Toc22526"/>
      <w:r>
        <w:rPr>
          <w:rFonts w:ascii="Times New Roman" w:hAnsi="Times New Roman" w:eastAsia="黑体"/>
          <w:snapToGrid w:val="0"/>
          <w:sz w:val="30"/>
          <w:szCs w:val="30"/>
        </w:rPr>
        <w:t>五、主要生态环境保护措施</w:t>
      </w:r>
      <w:bookmarkEnd w:id="19"/>
      <w:bookmarkEnd w:id="20"/>
    </w:p>
    <w:tbl>
      <w:tblPr>
        <w:tblStyle w:val="28"/>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tcBorders>
              <w:tl2br w:val="nil"/>
              <w:tr2bl w:val="nil"/>
            </w:tcBorders>
            <w:noWrap/>
            <w:tcMar>
              <w:left w:w="28" w:type="dxa"/>
              <w:right w:w="28" w:type="dxa"/>
            </w:tcMar>
            <w:vAlign w:val="center"/>
          </w:tcPr>
          <w:p>
            <w:pPr>
              <w:adjustRightInd w:val="0"/>
              <w:snapToGrid w:val="0"/>
              <w:jc w:val="center"/>
              <w:rPr>
                <w:b/>
                <w:sz w:val="24"/>
                <w:szCs w:val="21"/>
              </w:rPr>
            </w:pPr>
            <w:r>
              <w:rPr>
                <w:b/>
                <w:sz w:val="24"/>
                <w:szCs w:val="21"/>
              </w:rPr>
              <w:t>施工期生态环境保护措施</w:t>
            </w:r>
          </w:p>
        </w:tc>
        <w:tc>
          <w:tcPr>
            <w:tcW w:w="8457" w:type="dxa"/>
            <w:tcBorders>
              <w:tl2br w:val="nil"/>
              <w:tr2bl w:val="nil"/>
            </w:tcBorders>
            <w:noWrap/>
          </w:tcPr>
          <w:p>
            <w:pPr>
              <w:autoSpaceDE w:val="0"/>
              <w:autoSpaceDN w:val="0"/>
              <w:spacing w:before="240" w:after="60"/>
              <w:jc w:val="left"/>
              <w:rPr>
                <w:rFonts w:eastAsia="黑体"/>
                <w:kern w:val="0"/>
                <w:sz w:val="24"/>
              </w:rPr>
            </w:pPr>
            <w:r>
              <w:rPr>
                <w:rFonts w:eastAsia="黑体"/>
                <w:kern w:val="0"/>
                <w:sz w:val="24"/>
              </w:rPr>
              <w:t>1、生态保护措施</w:t>
            </w:r>
          </w:p>
          <w:p>
            <w:pPr>
              <w:kinsoku w:val="0"/>
              <w:wordWrap w:val="0"/>
              <w:topLinePunct/>
              <w:ind w:firstLine="510" w:firstLineChars="200"/>
              <w:rPr>
                <w:sz w:val="24"/>
              </w:rPr>
            </w:pPr>
            <w:r>
              <w:rPr>
                <w:sz w:val="24"/>
              </w:rPr>
              <w:t>根据施工期生态环境影响范围、程度，建设单位实施了以下生态环境保护措施：</w:t>
            </w:r>
          </w:p>
          <w:p>
            <w:pPr>
              <w:kinsoku w:val="0"/>
              <w:wordWrap w:val="0"/>
              <w:topLinePunct/>
              <w:ind w:firstLine="510" w:firstLineChars="200"/>
              <w:rPr>
                <w:sz w:val="24"/>
              </w:rPr>
            </w:pPr>
            <w:r>
              <w:rPr>
                <w:sz w:val="24"/>
              </w:rPr>
              <w:t>1.1工程占地避让措施</w:t>
            </w:r>
          </w:p>
          <w:p>
            <w:pPr>
              <w:kinsoku w:val="0"/>
              <w:wordWrap w:val="0"/>
              <w:topLinePunct/>
              <w:ind w:firstLine="510" w:firstLineChars="200"/>
              <w:rPr>
                <w:sz w:val="24"/>
              </w:rPr>
            </w:pPr>
            <w:r>
              <w:rPr>
                <w:sz w:val="24"/>
              </w:rPr>
              <w:t>①优化工程布置，工程临时占地布设在植被覆盖度低的地段，减少对沿线自然生态和植被的破坏。</w:t>
            </w:r>
          </w:p>
          <w:p>
            <w:pPr>
              <w:kinsoku w:val="0"/>
              <w:wordWrap w:val="0"/>
              <w:topLinePunct/>
              <w:ind w:firstLine="510" w:firstLineChars="200"/>
              <w:rPr>
                <w:sz w:val="24"/>
              </w:rPr>
            </w:pPr>
            <w:r>
              <w:rPr>
                <w:sz w:val="24"/>
              </w:rPr>
              <w:t>②严格按照设计文件确定施工占地土地范围，开工前对施工临时设施的规划要进行严格的审查，严禁占用项目区外周边耕地、其他草地等。</w:t>
            </w:r>
          </w:p>
          <w:p>
            <w:pPr>
              <w:kinsoku w:val="0"/>
              <w:wordWrap w:val="0"/>
              <w:topLinePunct/>
              <w:ind w:firstLine="510" w:firstLineChars="200"/>
              <w:rPr>
                <w:sz w:val="24"/>
              </w:rPr>
            </w:pPr>
            <w:r>
              <w:rPr>
                <w:sz w:val="24"/>
              </w:rPr>
              <w:t>③施工中尽量减少对自然环境的影响，合理规划施工场地、固定行车路线，施工车辆和施工机械按规定路线行驶，不得随意碾压线路以外，限制扩大人为活动范围，侵占地表植被。</w:t>
            </w:r>
          </w:p>
          <w:p>
            <w:pPr>
              <w:kinsoku w:val="0"/>
              <w:wordWrap w:val="0"/>
              <w:topLinePunct/>
              <w:ind w:firstLine="510" w:firstLineChars="200"/>
              <w:rPr>
                <w:sz w:val="24"/>
              </w:rPr>
            </w:pPr>
            <w:r>
              <w:rPr>
                <w:sz w:val="24"/>
              </w:rPr>
              <w:t>1.2生态影响减缓措施</w:t>
            </w:r>
          </w:p>
          <w:p>
            <w:pPr>
              <w:kinsoku w:val="0"/>
              <w:wordWrap w:val="0"/>
              <w:topLinePunct/>
              <w:ind w:firstLine="510" w:firstLineChars="200"/>
              <w:rPr>
                <w:sz w:val="24"/>
              </w:rPr>
            </w:pPr>
            <w:r>
              <w:rPr>
                <w:sz w:val="24"/>
              </w:rPr>
              <w:t>（1）土地利用减缓措施</w:t>
            </w:r>
          </w:p>
          <w:p>
            <w:pPr>
              <w:kinsoku w:val="0"/>
              <w:wordWrap w:val="0"/>
              <w:topLinePunct/>
              <w:ind w:firstLine="510" w:firstLineChars="200"/>
              <w:rPr>
                <w:sz w:val="24"/>
              </w:rPr>
            </w:pPr>
            <w:r>
              <w:rPr>
                <w:sz w:val="24"/>
              </w:rPr>
              <w:t>①施工人员进场后，应立即进行生态保护教育，严格施工纪律，不准踩踏、损毁征地范围之外的自然植被，要求施工人员在施工过程中文明施工，自觉树立保护生态和保护植被的意识。</w:t>
            </w:r>
          </w:p>
          <w:p>
            <w:pPr>
              <w:kinsoku w:val="0"/>
              <w:wordWrap w:val="0"/>
              <w:topLinePunct/>
              <w:ind w:firstLine="510" w:firstLineChars="200"/>
              <w:rPr>
                <w:sz w:val="24"/>
              </w:rPr>
            </w:pPr>
            <w:r>
              <w:rPr>
                <w:sz w:val="24"/>
              </w:rPr>
              <w:t>②项目施工过程中加强对周边植被的保护，并且加强施工管理，禁止将生活污水直接倒入植被周围。</w:t>
            </w:r>
          </w:p>
          <w:p>
            <w:pPr>
              <w:kinsoku w:val="0"/>
              <w:wordWrap w:val="0"/>
              <w:topLinePunct/>
              <w:ind w:firstLine="510" w:firstLineChars="200"/>
              <w:rPr>
                <w:sz w:val="24"/>
              </w:rPr>
            </w:pPr>
            <w:r>
              <w:rPr>
                <w:sz w:val="24"/>
              </w:rPr>
              <w:t>③在施工开挖作业过程中，对施工场地及临时取土场地表上层20cm厚的高肥力土壤腐殖质层进行剥离和保存，作为工程建设结束后临时用地植被补偿恢复和景观绿化工程所需的耕植土。</w:t>
            </w:r>
          </w:p>
          <w:p>
            <w:pPr>
              <w:kinsoku w:val="0"/>
              <w:wordWrap w:val="0"/>
              <w:topLinePunct/>
              <w:ind w:firstLine="510" w:firstLineChars="200"/>
              <w:rPr>
                <w:sz w:val="24"/>
              </w:rPr>
            </w:pPr>
            <w:r>
              <w:rPr>
                <w:sz w:val="24"/>
              </w:rPr>
              <w:t>④施工物料集中堆放在指定位置，严禁随意堆放。物料堆场采取底部硬化处理、开挖排水沟截留雨水措施，并采取围挡、遮盖等防风措施，防止施工物料通过风吹扬尘、雨水冲刷进入沿线生态系统。</w:t>
            </w:r>
          </w:p>
          <w:p>
            <w:pPr>
              <w:kinsoku w:val="0"/>
              <w:wordWrap w:val="0"/>
              <w:topLinePunct/>
              <w:ind w:firstLine="510" w:firstLineChars="200"/>
              <w:rPr>
                <w:sz w:val="24"/>
              </w:rPr>
            </w:pPr>
            <w:r>
              <w:rPr>
                <w:sz w:val="24"/>
              </w:rPr>
              <w:t>⑤施工机械位置和施工人员活动范围要求限定在施工作业范围内，施工机械及其他建筑材料不得乱停乱放，防止破坏区域自然植被。施工作业范围全部控制在本次水库除险加固工程建设的用地范围之内。</w:t>
            </w:r>
          </w:p>
          <w:p>
            <w:pPr>
              <w:kinsoku w:val="0"/>
              <w:wordWrap w:val="0"/>
              <w:topLinePunct/>
              <w:ind w:firstLine="510" w:firstLineChars="200"/>
              <w:rPr>
                <w:sz w:val="24"/>
              </w:rPr>
            </w:pPr>
            <w:r>
              <w:rPr>
                <w:sz w:val="24"/>
              </w:rPr>
              <w:t>（2）植物影响减缓措施</w:t>
            </w:r>
          </w:p>
          <w:p>
            <w:pPr>
              <w:kinsoku w:val="0"/>
              <w:wordWrap w:val="0"/>
              <w:topLinePunct/>
              <w:ind w:firstLine="510" w:firstLineChars="200"/>
              <w:rPr>
                <w:sz w:val="24"/>
              </w:rPr>
            </w:pPr>
            <w:r>
              <w:rPr>
                <w:sz w:val="24"/>
              </w:rPr>
              <w:t>①严格划定项目施工红线，禁止随意超越红线进行施工。</w:t>
            </w:r>
          </w:p>
          <w:p>
            <w:pPr>
              <w:kinsoku w:val="0"/>
              <w:wordWrap w:val="0"/>
              <w:topLinePunct/>
              <w:ind w:firstLine="510" w:firstLineChars="200"/>
              <w:rPr>
                <w:sz w:val="24"/>
              </w:rPr>
            </w:pPr>
            <w:r>
              <w:rPr>
                <w:sz w:val="24"/>
              </w:rPr>
              <w:t>②根据实地情况做好绿化设计，施工后期对后坝坡进行草皮护坡，取土场区土地复垦恢复绿化，采用现代工程技术进行土地平整、土壤结构改良等，以恢复土地的生态功能。</w:t>
            </w:r>
          </w:p>
          <w:p>
            <w:pPr>
              <w:kinsoku w:val="0"/>
              <w:wordWrap w:val="0"/>
              <w:topLinePunct/>
              <w:ind w:firstLine="510" w:firstLineChars="200"/>
              <w:rPr>
                <w:sz w:val="24"/>
              </w:rPr>
            </w:pPr>
            <w:r>
              <w:rPr>
                <w:sz w:val="24"/>
              </w:rPr>
              <w:t>③项目开工前，对施工人员进行培训，要求严格保护沿线植被，加强管理，尽量减少对生态的破坏。</w:t>
            </w:r>
          </w:p>
          <w:p>
            <w:pPr>
              <w:kinsoku w:val="0"/>
              <w:wordWrap w:val="0"/>
              <w:topLinePunct/>
              <w:ind w:firstLine="510" w:firstLineChars="200"/>
              <w:rPr>
                <w:sz w:val="24"/>
              </w:rPr>
            </w:pPr>
            <w:r>
              <w:rPr>
                <w:sz w:val="24"/>
              </w:rPr>
              <w:t>④项目施工前，同林业部门联系，明确需要占用的林草数量和品种，确定是否涉及珍稀保护植被，并尽可能对原有树木进行移栽。</w:t>
            </w:r>
          </w:p>
          <w:p>
            <w:pPr>
              <w:kinsoku w:val="0"/>
              <w:wordWrap w:val="0"/>
              <w:topLinePunct/>
              <w:ind w:firstLine="510" w:firstLineChars="200"/>
              <w:rPr>
                <w:sz w:val="24"/>
              </w:rPr>
            </w:pPr>
            <w:r>
              <w:rPr>
                <w:sz w:val="24"/>
              </w:rPr>
              <w:t>⑤植被恢复时禁止引种带有病虫害的植物，尽量选用乡土植物，少用或不用外来植物。</w:t>
            </w:r>
          </w:p>
          <w:p>
            <w:pPr>
              <w:kinsoku w:val="0"/>
              <w:wordWrap w:val="0"/>
              <w:topLinePunct/>
              <w:ind w:firstLine="510" w:firstLineChars="200"/>
              <w:rPr>
                <w:sz w:val="24"/>
              </w:rPr>
            </w:pPr>
            <w:r>
              <w:rPr>
                <w:sz w:val="24"/>
              </w:rPr>
              <w:t>（3）动物影响减缓措施</w:t>
            </w:r>
          </w:p>
          <w:p>
            <w:pPr>
              <w:kinsoku w:val="0"/>
              <w:wordWrap w:val="0"/>
              <w:topLinePunct/>
              <w:ind w:firstLine="510" w:firstLineChars="200"/>
              <w:rPr>
                <w:sz w:val="24"/>
              </w:rPr>
            </w:pPr>
            <w:r>
              <w:rPr>
                <w:sz w:val="24"/>
              </w:rPr>
              <w:t>①施工前开展施工占地区陆生动物洞穴、窝巢的清查，避免破坏动物栖息的巢穴，若施工过程中发现动物的卵、幼体或受伤个体等，应及时交由专业人员护理。</w:t>
            </w:r>
          </w:p>
          <w:p>
            <w:pPr>
              <w:kinsoku w:val="0"/>
              <w:wordWrap w:val="0"/>
              <w:topLinePunct/>
              <w:ind w:firstLine="510" w:firstLineChars="200"/>
              <w:rPr>
                <w:sz w:val="24"/>
              </w:rPr>
            </w:pPr>
            <w:r>
              <w:rPr>
                <w:sz w:val="24"/>
              </w:rPr>
              <w:t>②合理安排施工时间，施工尽量安排在白天进行，避免夜间施工对野生动物正常栖息生活造成影响。</w:t>
            </w:r>
          </w:p>
          <w:p>
            <w:pPr>
              <w:kinsoku w:val="0"/>
              <w:wordWrap w:val="0"/>
              <w:topLinePunct/>
              <w:ind w:firstLine="510" w:firstLineChars="200"/>
              <w:rPr>
                <w:sz w:val="24"/>
              </w:rPr>
            </w:pPr>
            <w:r>
              <w:rPr>
                <w:sz w:val="24"/>
              </w:rPr>
              <w:t>③禁止高噪声设备在晨昏和夜间运行，减少噪声对动物的干扰。</w:t>
            </w:r>
          </w:p>
          <w:p>
            <w:pPr>
              <w:kinsoku w:val="0"/>
              <w:wordWrap w:val="0"/>
              <w:topLinePunct/>
              <w:ind w:firstLine="510" w:firstLineChars="200"/>
              <w:rPr>
                <w:sz w:val="24"/>
              </w:rPr>
            </w:pPr>
            <w:r>
              <w:rPr>
                <w:sz w:val="24"/>
              </w:rPr>
              <w:t>④建立长期生态监测机制，跟踪评估工程对动植物群落的影响，及时调整保护措施，确保生物多样性的持续性。</w:t>
            </w:r>
          </w:p>
          <w:p>
            <w:pPr>
              <w:kinsoku w:val="0"/>
              <w:wordWrap w:val="0"/>
              <w:topLinePunct/>
              <w:ind w:firstLine="510" w:firstLineChars="200"/>
              <w:rPr>
                <w:sz w:val="24"/>
              </w:rPr>
            </w:pPr>
            <w:r>
              <w:rPr>
                <w:sz w:val="24"/>
              </w:rPr>
              <w:t>1.3生态环境恢复措施</w:t>
            </w:r>
          </w:p>
          <w:p>
            <w:pPr>
              <w:kinsoku w:val="0"/>
              <w:wordWrap w:val="0"/>
              <w:topLinePunct/>
              <w:ind w:firstLine="510" w:firstLineChars="200"/>
              <w:rPr>
                <w:sz w:val="24"/>
              </w:rPr>
            </w:pPr>
            <w:r>
              <w:rPr>
                <w:sz w:val="24"/>
              </w:rPr>
              <w:t>（1）工程占地影响恢复措施</w:t>
            </w:r>
          </w:p>
          <w:p>
            <w:pPr>
              <w:kinsoku w:val="0"/>
              <w:wordWrap w:val="0"/>
              <w:topLinePunct/>
              <w:ind w:firstLine="510" w:firstLineChars="200"/>
              <w:rPr>
                <w:sz w:val="24"/>
              </w:rPr>
            </w:pPr>
            <w:r>
              <w:rPr>
                <w:sz w:val="24"/>
              </w:rPr>
              <w:t>①合理安排施工进度，将施工措施计划做深做细，尽量减少临时工程占地，缩短临时占地使用时间，及时恢复土地原有功能。</w:t>
            </w:r>
          </w:p>
          <w:p>
            <w:pPr>
              <w:kinsoku w:val="0"/>
              <w:wordWrap w:val="0"/>
              <w:topLinePunct/>
              <w:ind w:firstLine="510" w:firstLineChars="200"/>
              <w:rPr>
                <w:sz w:val="24"/>
              </w:rPr>
            </w:pPr>
            <w:r>
              <w:rPr>
                <w:sz w:val="24"/>
              </w:rPr>
              <w:t>②材料按照要求堆放在用地范围内，避免对用地范围以外的植被及表土产生扰动，临时的堆土随着工程的实施及时地利用。</w:t>
            </w:r>
          </w:p>
          <w:p>
            <w:pPr>
              <w:kinsoku w:val="0"/>
              <w:wordWrap w:val="0"/>
              <w:topLinePunct/>
              <w:ind w:firstLine="510" w:firstLineChars="200"/>
              <w:rPr>
                <w:sz w:val="24"/>
              </w:rPr>
            </w:pPr>
            <w:r>
              <w:rPr>
                <w:sz w:val="24"/>
              </w:rPr>
              <w:t>③运输车辆沿既定运输道路行驶，施工机械及其他建筑材料不得乱停乱放，施工作业范围全部控制在本次用地范围之内。</w:t>
            </w:r>
          </w:p>
          <w:p>
            <w:pPr>
              <w:kinsoku w:val="0"/>
              <w:wordWrap w:val="0"/>
              <w:topLinePunct/>
              <w:ind w:firstLine="510" w:firstLineChars="200"/>
              <w:rPr>
                <w:sz w:val="24"/>
              </w:rPr>
            </w:pPr>
            <w:r>
              <w:rPr>
                <w:sz w:val="24"/>
              </w:rPr>
              <w:t>④施工活动结束按照水土保持方案的要求对临时用地进行清理、平整，用保存的表层耕植土恢复植被，进一步做好水土保持工作。</w:t>
            </w:r>
          </w:p>
          <w:p>
            <w:pPr>
              <w:kinsoku w:val="0"/>
              <w:wordWrap w:val="0"/>
              <w:topLinePunct/>
              <w:ind w:firstLine="510" w:firstLineChars="200"/>
              <w:rPr>
                <w:sz w:val="24"/>
              </w:rPr>
            </w:pPr>
            <w:r>
              <w:rPr>
                <w:sz w:val="24"/>
              </w:rPr>
              <w:t>⑤严格按照征地补偿方案认真执行补偿制度，补偿款应用于发展当地经济补偿当地居民因征地损失的经济收入。</w:t>
            </w:r>
          </w:p>
          <w:p>
            <w:pPr>
              <w:kinsoku w:val="0"/>
              <w:wordWrap w:val="0"/>
              <w:topLinePunct/>
              <w:ind w:firstLine="510" w:firstLineChars="200"/>
              <w:rPr>
                <w:sz w:val="24"/>
              </w:rPr>
            </w:pPr>
            <w:r>
              <w:rPr>
                <w:sz w:val="24"/>
              </w:rPr>
              <w:t>采取以上恢复措施，工程占地对生态环境影响降至最低，施工期结束后工程占地对当地生态环境影响也随之消失。</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（2）植被影响恢复措施</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①施工人员进场后，进行了生态保护教育，不准踩踏、损毁征地范围之外的树木和草木，施工人员在施工过程中文明施工，自觉树立保护生态和保护植被的意识。</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②项目施工过程中对周边树木、植被的保护，并且加强施工管理，禁止将生活污水直接倒入树木周围，防止腐蚀树木根茎。</w:t>
            </w:r>
          </w:p>
          <w:p>
            <w:pPr>
              <w:pStyle w:val="52"/>
              <w:adjustRightInd/>
              <w:snapToGrid/>
              <w:spacing w:beforeLines="0" w:afterLines="0" w:line="240" w:lineRule="auto"/>
              <w:ind w:firstLine="510" w:firstLineChars="200"/>
              <w:jc w:val="both"/>
              <w:rPr>
                <w:rFonts w:ascii="Times New Roman"/>
                <w:sz w:val="24"/>
                <w:szCs w:val="24"/>
              </w:rPr>
            </w:pPr>
            <w:r>
              <w:rPr>
                <w:rFonts w:ascii="Times New Roman"/>
                <w:sz w:val="24"/>
              </w:rPr>
              <w:t>③因项目实施而引起的经济补偿工作全部由建设单位配合当地人民政府及园林部门解决。</w:t>
            </w:r>
          </w:p>
          <w:p>
            <w:pPr>
              <w:ind w:firstLine="510" w:firstLineChars="200"/>
              <w:rPr>
                <w:sz w:val="24"/>
              </w:rPr>
            </w:pPr>
            <w:r>
              <w:rPr>
                <w:sz w:val="24"/>
              </w:rPr>
              <w:t>④施工结束后，及时对临时用地上的建筑物进行拆除，用保存的表层耕植回填表面复垦或恢复植被。</w:t>
            </w:r>
          </w:p>
          <w:p>
            <w:pPr>
              <w:ind w:firstLine="510" w:firstLineChars="200"/>
              <w:rPr>
                <w:sz w:val="24"/>
              </w:rPr>
            </w:pPr>
            <w:r>
              <w:rPr>
                <w:sz w:val="24"/>
              </w:rPr>
              <w:t>⑤施工物料集中堆放在指定位置，严禁随意堆放。物料堆场采取底部硬化处理、开挖排水沟截留雨水措施，并采取围挡、遮盖等防风措施，防止施工物料通过风吹扬尘、雨水冲刷进入水库。</w:t>
            </w:r>
          </w:p>
          <w:p>
            <w:pPr>
              <w:ind w:firstLine="510" w:firstLineChars="200"/>
              <w:rPr>
                <w:sz w:val="24"/>
              </w:rPr>
            </w:pPr>
            <w:r>
              <w:rPr>
                <w:sz w:val="24"/>
              </w:rPr>
              <w:t>⑥施工机械位置和施工人员活动范围要求限定在施工作业范围内，施工机械及其他建筑材料不得乱停乱放，防止破坏区域自然植被。施工作业范围全部控制在本次用地范围之内。</w:t>
            </w:r>
          </w:p>
          <w:p>
            <w:pPr>
              <w:ind w:firstLine="510" w:firstLineChars="200"/>
              <w:rPr>
                <w:sz w:val="24"/>
              </w:rPr>
            </w:pPr>
            <w:r>
              <w:rPr>
                <w:sz w:val="24"/>
              </w:rPr>
              <w:t>采取以上恢复措施，项目施工对植被影响降至最低，施工期结束后工程对当地植被影响也随之消失。</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（3）野生动物影响恢复措施</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减小项目施工对用地范围内野生动物的活动、栖息影响，建设单位采取以下措施：</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①施工机械应采用噪声较小的设备，合理组织施工行为，降低噪声干扰对无法避免或者无法降低的，需要选择对动物影响最小的时段进行。</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②文明施工，加强施工人员教育，降低对动物种群动态的人为干扰工程竣工后，临时用地区渐渐恢复植被，野生动物又会重新回到原来的栖息地，对陆生野生动物的影响较小，由于永久用地的植被无法恢复原貌，原来栖息的陆生动物不能再回到原来的栖息场所，使得一些动物只能迁徙到其他地方生存，由于工程区附近的动物基本上都是常见种，而且工程区周围的生态环境基础较好，可以让陆生野生动物找到新的栖息地。</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采取以上恢复措施，项目施工对野生动物影响降至最低，施工期结束后工程对当地野生动物影响也随之消失。</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（4）对雅石沟水库的影响防治措施</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为了减少项目除险加固过程中对雅石沟水库水体造成影响，建设单位</w:t>
            </w:r>
            <w:r>
              <w:rPr>
                <w:rFonts w:hint="eastAsia" w:ascii="Times New Roman"/>
                <w:sz w:val="24"/>
              </w:rPr>
              <w:t>应</w:t>
            </w:r>
            <w:r>
              <w:rPr>
                <w:rFonts w:ascii="Times New Roman"/>
                <w:sz w:val="24"/>
              </w:rPr>
              <w:t>在施工中采取以下措施</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①对开挖土石方采取临时围挡防护措施，减少水土流失，减少工程建设对雅石沟水库水质的影响。</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②工程水土流失的防治重点时段在建设期，做好临时堆土的围挡，同时提出有针对性的管理措施。</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③工程建设过程中加强巡视、监督，对造成水土流失的不规范行为予以及时制止，从而减少水土流失。</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④工程结束后，按照水土保持方案要求，对临时占地进行生态修复。</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采取以上恢复措施，项目施工对雅石沟水库影响降至最低，施工期结束后工程对雅石沟水库影响也随之消失。</w:t>
            </w:r>
          </w:p>
          <w:p>
            <w:pPr>
              <w:ind w:firstLine="510" w:firstLineChars="200"/>
              <w:rPr>
                <w:sz w:val="24"/>
              </w:rPr>
            </w:pPr>
            <w:r>
              <w:rPr>
                <w:sz w:val="24"/>
              </w:rPr>
              <w:t>（5）水土流失防治措施</w:t>
            </w:r>
          </w:p>
          <w:p>
            <w:pPr>
              <w:pStyle w:val="6"/>
              <w:spacing w:line="240" w:lineRule="auto"/>
              <w:ind w:firstLine="512"/>
              <w:rPr>
                <w:rFonts w:ascii="Times New Roman" w:hAnsi="Times New Roman"/>
              </w:rPr>
            </w:pPr>
            <w:r>
              <w:rPr>
                <w:rFonts w:ascii="Times New Roman" w:hAnsi="Times New Roman"/>
                <w:lang w:val="zh-CN"/>
              </w:rPr>
              <w:t>由于雅石沟水库坝址区及库区现状植被较好，大坝上游坡、下游坡防护已经在主体工程设计中计算，本次不重复考虑，本次补充施工期降尘洒水。</w:t>
            </w:r>
          </w:p>
          <w:p>
            <w:pPr>
              <w:ind w:firstLine="510" w:firstLineChars="200"/>
              <w:rPr>
                <w:sz w:val="24"/>
              </w:rPr>
            </w:pPr>
            <w:r>
              <w:rPr>
                <w:sz w:val="24"/>
              </w:rPr>
              <w:t>①主体工程区</w:t>
            </w:r>
          </w:p>
          <w:p>
            <w:pPr>
              <w:ind w:firstLine="510" w:firstLineChars="200"/>
              <w:rPr>
                <w:sz w:val="24"/>
              </w:rPr>
            </w:pPr>
            <w:r>
              <w:rPr>
                <w:sz w:val="24"/>
              </w:rPr>
              <w:t>主体工程主要包括溢洪道维护、后坝坡修复及排水沟设置等，主体工程施工完毕后，对施工扰动裸露区域进行土地整治，以备后期植被恢复；施工方式采用人工及拖拉机牵引铧犁耕翻地，整地深度30cm，整地面积0.54hm</w:t>
            </w:r>
            <w:r>
              <w:rPr>
                <w:sz w:val="24"/>
                <w:vertAlign w:val="superscript"/>
              </w:rPr>
              <w:t>2</w:t>
            </w:r>
            <w:r>
              <w:rPr>
                <w:sz w:val="24"/>
              </w:rPr>
              <w:t>。</w:t>
            </w:r>
          </w:p>
          <w:p>
            <w:pPr>
              <w:pStyle w:val="9"/>
              <w:snapToGrid/>
              <w:spacing w:before="0" w:after="0" w:line="240" w:lineRule="auto"/>
              <w:ind w:right="0" w:firstLine="510" w:firstLineChars="200"/>
            </w:pPr>
            <w:r>
              <w:rPr>
                <w:sz w:val="24"/>
              </w:rPr>
              <w:t>土地整治结束后，对施工扰动的0.54hm</w:t>
            </w:r>
            <w:r>
              <w:rPr>
                <w:sz w:val="24"/>
                <w:vertAlign w:val="superscript"/>
              </w:rPr>
              <w:t>2</w:t>
            </w:r>
            <w:r>
              <w:rPr>
                <w:sz w:val="24"/>
              </w:rPr>
              <w:t>草地区域通过种草措施进行植被恢复。草种选用油蒿、扁穗冰草进行混播，混播比为按单位面积播种量的1:1，播种量油蒿为50kg/hm</w:t>
            </w:r>
            <w:r>
              <w:rPr>
                <w:sz w:val="24"/>
                <w:vertAlign w:val="superscript"/>
              </w:rPr>
              <w:t>2</w:t>
            </w:r>
            <w:r>
              <w:rPr>
                <w:sz w:val="24"/>
              </w:rPr>
              <w:t>，扁穗冰草为60kg/hm</w:t>
            </w:r>
            <w:r>
              <w:rPr>
                <w:sz w:val="24"/>
                <w:vertAlign w:val="superscript"/>
              </w:rPr>
              <w:t>2</w:t>
            </w:r>
            <w:r>
              <w:rPr>
                <w:sz w:val="24"/>
              </w:rPr>
              <w:t>，种草选在雨季进行，播种前采取草籽包衣或拌成泥丸后掺沙撒播，种草面积为0.54hm</w:t>
            </w:r>
            <w:r>
              <w:rPr>
                <w:sz w:val="24"/>
                <w:vertAlign w:val="superscript"/>
              </w:rPr>
              <w:t>2</w:t>
            </w:r>
            <w:r>
              <w:rPr>
                <w:sz w:val="24"/>
              </w:rPr>
              <w:t>。</w:t>
            </w:r>
          </w:p>
          <w:p>
            <w:pPr>
              <w:ind w:firstLine="510" w:firstLineChars="200"/>
              <w:rPr>
                <w:sz w:val="24"/>
              </w:rPr>
            </w:pPr>
            <w:r>
              <w:rPr>
                <w:rFonts w:hint="eastAsia"/>
                <w:sz w:val="24"/>
              </w:rPr>
              <w:t>②</w:t>
            </w:r>
            <w:r>
              <w:rPr>
                <w:sz w:val="24"/>
              </w:rPr>
              <w:t>取土场区</w:t>
            </w:r>
          </w:p>
          <w:p>
            <w:pPr>
              <w:ind w:firstLine="510" w:firstLineChars="200"/>
              <w:rPr>
                <w:sz w:val="24"/>
              </w:rPr>
            </w:pPr>
            <w:r>
              <w:rPr>
                <w:sz w:val="24"/>
              </w:rPr>
              <w:t>表土剥离与回覆：对临时占地区域进行表土剥离，剥离的表土就地堆放于四周边缘，待取土结束后进行土地平整，表土剥离厚度30cm，剥离面积1.40hm</w:t>
            </w:r>
            <w:r>
              <w:rPr>
                <w:sz w:val="24"/>
                <w:vertAlign w:val="superscript"/>
              </w:rPr>
              <w:t>2</w:t>
            </w:r>
            <w:r>
              <w:rPr>
                <w:sz w:val="24"/>
              </w:rPr>
              <w:t>，剥离量共计4200m</w:t>
            </w:r>
            <w:r>
              <w:rPr>
                <w:sz w:val="24"/>
                <w:vertAlign w:val="superscript"/>
              </w:rPr>
              <w:t>3</w:t>
            </w:r>
            <w:r>
              <w:rPr>
                <w:sz w:val="24"/>
              </w:rPr>
              <w:t>。取土期间对集中堆放表土进行密目网苫盖，对裸露地表采取洒水降尘的措施。</w:t>
            </w:r>
          </w:p>
          <w:p>
            <w:pPr>
              <w:ind w:firstLine="510" w:firstLineChars="200"/>
              <w:rPr>
                <w:sz w:val="24"/>
              </w:rPr>
            </w:pPr>
            <w:r>
              <w:rPr>
                <w:sz w:val="24"/>
              </w:rPr>
              <w:t>机械土地整治：取土结束后，对取土场全部占地区域进行土地整治，以备后期原有植被恢复。整地方式为机械土地整治，施工方式采用人工施农家肥，拖拉机牵引铧犁耕翻地，整地深度30cm。整地面积7.00hm</w:t>
            </w:r>
            <w:r>
              <w:rPr>
                <w:sz w:val="24"/>
                <w:vertAlign w:val="superscript"/>
              </w:rPr>
              <w:t>2</w:t>
            </w:r>
            <w:r>
              <w:rPr>
                <w:sz w:val="24"/>
              </w:rPr>
              <w:t>。</w:t>
            </w:r>
          </w:p>
          <w:p>
            <w:pPr>
              <w:ind w:firstLine="510" w:firstLineChars="200"/>
              <w:rPr>
                <w:sz w:val="24"/>
              </w:rPr>
            </w:pPr>
            <w:r>
              <w:rPr>
                <w:sz w:val="24"/>
              </w:rPr>
              <w:t>植被恢复：土地整治后，对弃土场临时占用的地类通过种草措施进行水土流失防治。草种选择、混播比及播种量同主体工程区，种草面积为 7.0hm</w:t>
            </w:r>
            <w:r>
              <w:rPr>
                <w:sz w:val="24"/>
                <w:vertAlign w:val="superscript"/>
              </w:rPr>
              <w:t>2</w:t>
            </w:r>
            <w:r>
              <w:rPr>
                <w:sz w:val="24"/>
              </w:rPr>
              <w:t>。</w:t>
            </w:r>
          </w:p>
          <w:p>
            <w:pPr>
              <w:ind w:firstLine="510" w:firstLineChars="200"/>
              <w:rPr>
                <w:sz w:val="24"/>
              </w:rPr>
            </w:pPr>
            <w:r>
              <w:rPr>
                <w:rFonts w:hint="eastAsia"/>
                <w:sz w:val="24"/>
              </w:rPr>
              <w:t>③</w:t>
            </w:r>
            <w:r>
              <w:rPr>
                <w:sz w:val="24"/>
              </w:rPr>
              <w:t>施工生产生活区</w:t>
            </w:r>
          </w:p>
          <w:p>
            <w:pPr>
              <w:ind w:firstLine="510" w:firstLineChars="200"/>
              <w:rPr>
                <w:sz w:val="24"/>
              </w:rPr>
            </w:pPr>
            <w:r>
              <w:rPr>
                <w:sz w:val="24"/>
              </w:rPr>
              <w:t>表土剥离与回覆：对施工生产生活区临时占地区域进行表土剥离，剥离的表土就地堆放于相应区域的一角，与施工材料分开堆放，待施工结束后进行回覆平整。表土剥离厚度30cm，剥离面积0.32hm</w:t>
            </w:r>
            <w:r>
              <w:rPr>
                <w:sz w:val="24"/>
                <w:vertAlign w:val="superscript"/>
              </w:rPr>
              <w:t>2</w:t>
            </w:r>
            <w:r>
              <w:rPr>
                <w:sz w:val="24"/>
              </w:rPr>
              <w:t>，剥离量共计960m</w:t>
            </w:r>
            <w:r>
              <w:rPr>
                <w:sz w:val="24"/>
                <w:vertAlign w:val="superscript"/>
              </w:rPr>
              <w:t>3</w:t>
            </w:r>
            <w:r>
              <w:rPr>
                <w:sz w:val="24"/>
              </w:rPr>
              <w:t>。施工期间进行洒水降尘，对堆放的施工材料进行苫盖。</w:t>
            </w:r>
          </w:p>
          <w:p>
            <w:pPr>
              <w:ind w:firstLine="510" w:firstLineChars="200"/>
              <w:rPr>
                <w:sz w:val="24"/>
              </w:rPr>
            </w:pPr>
            <w:r>
              <w:rPr>
                <w:sz w:val="24"/>
              </w:rPr>
              <w:t>机械土地整治：场地清理结束后，对施工生产生活区占地区域进行相应的表土回覆及土地整治，以备后期复耕或植被恢复所用。整地方式为机械土地整治，施工方式采用人工施农家肥，拖拉机牵引铧犁耕翻地，整地深度30cm，整地面积0.32hm</w:t>
            </w:r>
            <w:r>
              <w:rPr>
                <w:sz w:val="24"/>
                <w:vertAlign w:val="superscript"/>
              </w:rPr>
              <w:t>2</w:t>
            </w:r>
            <w:r>
              <w:rPr>
                <w:sz w:val="24"/>
              </w:rPr>
              <w:t>。</w:t>
            </w:r>
          </w:p>
          <w:p>
            <w:pPr>
              <w:pStyle w:val="9"/>
              <w:snapToGrid/>
              <w:spacing w:before="0" w:after="0" w:line="240" w:lineRule="auto"/>
              <w:ind w:right="0" w:firstLine="510" w:firstLineChars="200"/>
              <w:rPr>
                <w:sz w:val="24"/>
              </w:rPr>
            </w:pPr>
            <w:r>
              <w:rPr>
                <w:sz w:val="24"/>
              </w:rPr>
              <w:t>植被恢复：土地整治结束后，对临时占用的0.32hm</w:t>
            </w:r>
            <w:r>
              <w:rPr>
                <w:sz w:val="24"/>
                <w:vertAlign w:val="superscript"/>
              </w:rPr>
              <w:t>2</w:t>
            </w:r>
            <w:r>
              <w:rPr>
                <w:sz w:val="24"/>
              </w:rPr>
              <w:t>草地区域通过种草措施进行植被恢复。草种选择、混播比及播种量同主体工程区，种草面积为0.32hm</w:t>
            </w:r>
            <w:r>
              <w:rPr>
                <w:sz w:val="24"/>
                <w:vertAlign w:val="superscript"/>
              </w:rPr>
              <w:t>2</w:t>
            </w:r>
            <w:r>
              <w:rPr>
                <w:sz w:val="24"/>
              </w:rPr>
              <w:t>。</w:t>
            </w:r>
          </w:p>
          <w:p>
            <w:pPr>
              <w:pStyle w:val="9"/>
              <w:snapToGrid/>
              <w:spacing w:before="0" w:after="0" w:line="240" w:lineRule="auto"/>
              <w:ind w:right="0" w:firstLine="510" w:firstLineChars="200"/>
              <w:rPr>
                <w:sz w:val="24"/>
              </w:rPr>
            </w:pPr>
            <w:r>
              <w:rPr>
                <w:sz w:val="24"/>
              </w:rPr>
              <w:t>1.4生态环境补偿措施</w:t>
            </w:r>
          </w:p>
          <w:p>
            <w:pPr>
              <w:pStyle w:val="9"/>
              <w:snapToGrid/>
              <w:spacing w:before="0" w:after="0" w:line="240" w:lineRule="auto"/>
              <w:ind w:right="0" w:firstLine="510" w:firstLineChars="200"/>
              <w:rPr>
                <w:sz w:val="24"/>
              </w:rPr>
            </w:pPr>
            <w:r>
              <w:rPr>
                <w:sz w:val="24"/>
              </w:rPr>
              <w:t>①对于无法恢复的生态系统，可以通过支付生态补偿金的方式，作为对受影响区域的经济补偿。</w:t>
            </w:r>
          </w:p>
          <w:p>
            <w:pPr>
              <w:pStyle w:val="9"/>
              <w:snapToGrid/>
              <w:spacing w:before="0" w:after="0" w:line="240" w:lineRule="auto"/>
              <w:ind w:right="0" w:firstLine="510" w:firstLineChars="200"/>
              <w:rPr>
                <w:sz w:val="24"/>
              </w:rPr>
            </w:pPr>
            <w:r>
              <w:rPr>
                <w:sz w:val="24"/>
              </w:rPr>
              <w:t>②建设单位应按照水土保持方案中有关绿化要求实施水库工程护坡绿化工作，在一定程度上补偿、恢复因工程施工破坏的部分原有植被。</w:t>
            </w:r>
          </w:p>
          <w:p>
            <w:pPr>
              <w:pStyle w:val="9"/>
              <w:snapToGrid/>
              <w:spacing w:before="0" w:after="0" w:line="240" w:lineRule="auto"/>
              <w:ind w:right="0" w:firstLine="510" w:firstLineChars="200"/>
              <w:rPr>
                <w:sz w:val="24"/>
              </w:rPr>
            </w:pPr>
            <w:r>
              <w:rPr>
                <w:sz w:val="24"/>
              </w:rPr>
              <w:t>③严格按照征地补偿方案认真执行补偿制度，补偿款应用于发展当地经济补偿当地居民因征地损失的经济收入。</w:t>
            </w:r>
          </w:p>
          <w:p>
            <w:pPr>
              <w:autoSpaceDE w:val="0"/>
              <w:autoSpaceDN w:val="0"/>
              <w:spacing w:before="240" w:after="60"/>
              <w:jc w:val="left"/>
              <w:rPr>
                <w:rFonts w:eastAsia="黑体"/>
                <w:kern w:val="0"/>
                <w:sz w:val="24"/>
              </w:rPr>
            </w:pPr>
            <w:r>
              <w:rPr>
                <w:rFonts w:eastAsia="黑体"/>
                <w:kern w:val="0"/>
                <w:sz w:val="24"/>
              </w:rPr>
              <w:t>2、大气环境保护措施</w:t>
            </w:r>
          </w:p>
          <w:p>
            <w:pPr>
              <w:pStyle w:val="22"/>
              <w:spacing w:line="240" w:lineRule="auto"/>
              <w:ind w:left="0" w:leftChars="0" w:firstLine="510" w:firstLineChars="200"/>
              <w:rPr>
                <w:spacing w:val="0"/>
              </w:rPr>
            </w:pPr>
            <w:r>
              <w:rPr>
                <w:spacing w:val="0"/>
              </w:rPr>
              <w:t>（1）扬尘</w:t>
            </w:r>
          </w:p>
          <w:p>
            <w:pPr>
              <w:pStyle w:val="22"/>
              <w:spacing w:line="240" w:lineRule="auto"/>
              <w:ind w:left="0" w:leftChars="0" w:firstLine="510" w:firstLineChars="200"/>
              <w:rPr>
                <w:spacing w:val="0"/>
              </w:rPr>
            </w:pPr>
            <w:r>
              <w:rPr>
                <w:spacing w:val="0"/>
              </w:rPr>
              <w:t>施工期间对大气环境的影响主要表现为施工期扬尘。施工开挖、施工材料装卸等会使作业点周围50m范围内产生较大的扬尘，其产生量和浓度与施工期的天气状况、施工防护程度、施工方式、物料粒态等有关。扬尘的产生具有时间变化程度大、漂移距离近、产生影响的距离和范围小的特征。因此，工程在施工过程中必须做好降尘措施。</w:t>
            </w:r>
          </w:p>
          <w:p>
            <w:pPr>
              <w:pStyle w:val="22"/>
              <w:spacing w:line="240" w:lineRule="auto"/>
              <w:ind w:left="0" w:leftChars="0" w:firstLine="510" w:firstLineChars="200"/>
              <w:rPr>
                <w:spacing w:val="0"/>
              </w:rPr>
            </w:pPr>
            <w:r>
              <w:rPr>
                <w:spacing w:val="0"/>
              </w:rPr>
              <w:t>为使施工期间扬尘对周围环境的影响降至最低程度，根据国家、自治区《大气污染防治行动计划》的要求，针对本工程的施工特点，主要采取如下减缓措施：</w:t>
            </w:r>
          </w:p>
          <w:p>
            <w:pPr>
              <w:pStyle w:val="22"/>
              <w:spacing w:line="240" w:lineRule="auto"/>
              <w:ind w:left="0" w:leftChars="0" w:firstLine="510" w:firstLineChars="200"/>
              <w:rPr>
                <w:spacing w:val="0"/>
              </w:rPr>
            </w:pPr>
            <w:r>
              <w:rPr>
                <w:spacing w:val="0"/>
              </w:rPr>
              <w:t>①制度保障。建立完善建设施工扬尘防治专项措施报备制度。新开工程提交的安全文明施工保证措施。施工单位应根据《建设工程施工现场管理规定》的规定设置现场平面布置图、工程概况牌、安全生产牌、消防保卫牌、文明施工牌、环境保护牌、管理人员名单及监督电话牌等内容。</w:t>
            </w:r>
          </w:p>
          <w:p>
            <w:pPr>
              <w:pStyle w:val="22"/>
              <w:spacing w:line="240" w:lineRule="auto"/>
              <w:ind w:left="0" w:leftChars="0" w:firstLine="510" w:firstLineChars="200"/>
              <w:rPr>
                <w:spacing w:val="0"/>
              </w:rPr>
            </w:pPr>
            <w:r>
              <w:rPr>
                <w:spacing w:val="0"/>
              </w:rPr>
              <w:t>②规范操作。施工作业应符合技术操作规程，落实扬尘污染防治措施；对施工现场进行科学管理，砂石料应统一堆放于砂石料存放区，砂石料存放区位于施工生产生活区内，搬运时注意尽量减少扬尘，多余的砂石料及建筑材料应及时清运；施工单位应有专人负责逸散性材料、建筑垃圾、渣土等覆盖、洒水作业和车辆清洗作业。</w:t>
            </w:r>
          </w:p>
          <w:p>
            <w:pPr>
              <w:pStyle w:val="22"/>
              <w:spacing w:line="240" w:lineRule="auto"/>
              <w:ind w:left="0" w:leftChars="0" w:firstLine="510" w:firstLineChars="200"/>
              <w:rPr>
                <w:spacing w:val="0"/>
              </w:rPr>
            </w:pPr>
            <w:r>
              <w:rPr>
                <w:spacing w:val="0"/>
              </w:rPr>
              <w:t>③围挡封闭。施工围挡应沿施工现场四周连续设置，做到坚固、平稳、整洁、美观。施工围挡周边应保持卫生整洁，严禁大门、围挡外放置建筑材料等。工程结束前，不得拆除施工现场围挡。当妨碍施工必须拆除时，应设置临时围挡。</w:t>
            </w:r>
          </w:p>
          <w:p>
            <w:pPr>
              <w:pStyle w:val="22"/>
              <w:spacing w:line="240" w:lineRule="auto"/>
              <w:ind w:left="0" w:leftChars="0" w:firstLine="510" w:firstLineChars="200"/>
              <w:rPr>
                <w:spacing w:val="0"/>
              </w:rPr>
            </w:pPr>
            <w:r>
              <w:rPr>
                <w:spacing w:val="0"/>
              </w:rPr>
              <w:t>④物料苫盖。施工现场裸土应采取密目网覆盖措施。施工现场建筑材料和其他易飞扬的细颗粒建筑材料应密闭存放或采取密目网覆盖等措施。</w:t>
            </w:r>
          </w:p>
          <w:p>
            <w:pPr>
              <w:pStyle w:val="22"/>
              <w:spacing w:line="240" w:lineRule="auto"/>
              <w:ind w:left="0" w:leftChars="0" w:firstLine="510" w:firstLineChars="200"/>
              <w:rPr>
                <w:spacing w:val="0"/>
              </w:rPr>
            </w:pPr>
            <w:r>
              <w:rPr>
                <w:spacing w:val="0"/>
              </w:rPr>
              <w:t>⑤洒水抑尘。施工现场应采用机械喷雾与人工洒水相结合的方式有效控制施工扬尘，临时堆场通过洒水降低物料含水率，施工现场主要道路两旁、扬尘作业场区及建筑物外立面设置喷淋降尘设施。</w:t>
            </w:r>
          </w:p>
          <w:p>
            <w:pPr>
              <w:pStyle w:val="22"/>
              <w:spacing w:line="240" w:lineRule="auto"/>
              <w:ind w:left="0" w:leftChars="0" w:firstLine="510" w:firstLineChars="200"/>
              <w:rPr>
                <w:spacing w:val="0"/>
              </w:rPr>
            </w:pPr>
            <w:r>
              <w:rPr>
                <w:spacing w:val="0"/>
              </w:rPr>
              <w:t>⑥运输密闭、清洗车辆。施工现场出入口应设置车辆冲洗设施，安排人员负责车辆冲洗，检查车辆密闭情况。土方作业时，施工现场出入口安排人员及时清扫。运输土石方、散装物料、建筑垃圾等车辆，密闭且冲洗后方可驶出施工现场，严禁车辆带泥上路。散装车辆装运土方的高度不得超过马槽的高度，文明装卸和驾驶，在装卸点须对散落在车顶、密目网外部等处的物料进行清扫。</w:t>
            </w:r>
          </w:p>
          <w:p>
            <w:pPr>
              <w:pStyle w:val="22"/>
              <w:spacing w:line="240" w:lineRule="auto"/>
              <w:ind w:left="0" w:leftChars="0" w:firstLine="510" w:firstLineChars="200"/>
              <w:rPr>
                <w:spacing w:val="0"/>
              </w:rPr>
            </w:pPr>
            <w:r>
              <w:rPr>
                <w:spacing w:val="0"/>
              </w:rPr>
              <w:t>⑦道路硬化、路面清洁。施工现场出入口及现场内主要道路进行砾石硬质覆盖，及时清扫施工现场道路，保持路面整洁。</w:t>
            </w:r>
          </w:p>
          <w:p>
            <w:pPr>
              <w:pStyle w:val="22"/>
              <w:spacing w:line="240" w:lineRule="auto"/>
              <w:ind w:left="0" w:leftChars="0" w:firstLine="510" w:firstLineChars="200"/>
              <w:rPr>
                <w:spacing w:val="0"/>
              </w:rPr>
            </w:pPr>
            <w:r>
              <w:rPr>
                <w:spacing w:val="0"/>
              </w:rPr>
              <w:t>⑧严禁在大风天气下施工，风速超过五级时应停止施工作业，同时作业处覆以防尘网。</w:t>
            </w:r>
          </w:p>
          <w:p>
            <w:pPr>
              <w:pStyle w:val="22"/>
              <w:spacing w:line="240" w:lineRule="auto"/>
              <w:ind w:left="0" w:leftChars="0" w:firstLine="510" w:firstLineChars="200"/>
              <w:rPr>
                <w:spacing w:val="0"/>
              </w:rPr>
            </w:pPr>
            <w:r>
              <w:rPr>
                <w:spacing w:val="0"/>
              </w:rPr>
              <w:t>采取上述措施后，施工扬尘对周围环境的影响较小。</w:t>
            </w:r>
          </w:p>
          <w:p>
            <w:pPr>
              <w:pStyle w:val="22"/>
              <w:spacing w:line="240" w:lineRule="auto"/>
              <w:ind w:left="0" w:leftChars="0" w:firstLine="510" w:firstLineChars="200"/>
              <w:rPr>
                <w:spacing w:val="0"/>
              </w:rPr>
            </w:pPr>
            <w:r>
              <w:rPr>
                <w:spacing w:val="0"/>
              </w:rPr>
              <w:t>（2）机械尾气</w:t>
            </w:r>
          </w:p>
          <w:p>
            <w:pPr>
              <w:pStyle w:val="22"/>
              <w:spacing w:line="240" w:lineRule="auto"/>
              <w:ind w:left="0" w:leftChars="0" w:firstLine="510" w:firstLineChars="200"/>
              <w:rPr>
                <w:spacing w:val="0"/>
              </w:rPr>
            </w:pPr>
            <w:r>
              <w:rPr>
                <w:spacing w:val="0"/>
              </w:rPr>
              <w:t>施工机械和车辆尾气主要含有HC、NOx、CO等，根据本项目初步设计，尾气排放量较小，属于间歇性排放，扩散稀释后对周围环境影响较小。为使施工期尾气对周围环境的影响降至最低，应采取如下措施：</w:t>
            </w:r>
          </w:p>
          <w:p>
            <w:pPr>
              <w:pStyle w:val="22"/>
              <w:spacing w:line="240" w:lineRule="auto"/>
              <w:ind w:left="0" w:leftChars="0" w:firstLine="510" w:firstLineChars="200"/>
              <w:rPr>
                <w:spacing w:val="0"/>
              </w:rPr>
            </w:pPr>
            <w:r>
              <w:rPr>
                <w:spacing w:val="0"/>
              </w:rPr>
              <w:t>①加强对施工机械及车辆使用管理和保养维修，合理降低使用次数，提高使用效率，禁止施工机械超负荷工作和运输车辆超载；不得使用劣质燃料。</w:t>
            </w:r>
          </w:p>
          <w:p>
            <w:pPr>
              <w:pStyle w:val="22"/>
              <w:spacing w:line="240" w:lineRule="auto"/>
              <w:ind w:left="0" w:leftChars="0" w:firstLine="510" w:firstLineChars="200"/>
              <w:rPr>
                <w:spacing w:val="0"/>
              </w:rPr>
            </w:pPr>
            <w:r>
              <w:rPr>
                <w:spacing w:val="0"/>
              </w:rPr>
              <w:t>②施工现场应合理布置运输车辆行驶路线，配合有关部门搞好施工期周围道路的交通组织，保证行驶速度，减少怠速时间，以减少车辆尾气的排放。施工期大气影响是暂时的，随着施工期的结束，影响也随之结束。</w:t>
            </w:r>
          </w:p>
          <w:p>
            <w:pPr>
              <w:pStyle w:val="22"/>
              <w:spacing w:line="240" w:lineRule="auto"/>
              <w:ind w:left="0" w:leftChars="0" w:firstLine="510" w:firstLineChars="200"/>
              <w:rPr>
                <w:spacing w:val="0"/>
              </w:rPr>
            </w:pPr>
            <w:r>
              <w:rPr>
                <w:spacing w:val="0"/>
              </w:rPr>
              <w:t xml:space="preserve">（3）沥青烟 </w:t>
            </w:r>
          </w:p>
          <w:p>
            <w:pPr>
              <w:pStyle w:val="22"/>
              <w:spacing w:line="240" w:lineRule="auto"/>
              <w:ind w:left="0" w:leftChars="0" w:firstLine="510" w:firstLineChars="200"/>
              <w:rPr>
                <w:spacing w:val="0"/>
              </w:rPr>
            </w:pPr>
            <w:r>
              <w:rPr>
                <w:spacing w:val="0"/>
              </w:rPr>
              <w:t>工程本身不进行沥青拌合，故仅在沥青摊铺过程中会产生少量的沥青烟雾。项目施工过程中产生的沥青烟尘较少，项目所在区域环境空气质量较好，环境容量大，周边地势空旷，沥青烟能迅速地扩散。</w:t>
            </w:r>
          </w:p>
          <w:p>
            <w:pPr>
              <w:pStyle w:val="22"/>
              <w:spacing w:line="240" w:lineRule="auto"/>
              <w:ind w:left="0" w:leftChars="0" w:firstLine="510" w:firstLineChars="200"/>
              <w:rPr>
                <w:spacing w:val="0"/>
              </w:rPr>
            </w:pPr>
            <w:r>
              <w:rPr>
                <w:spacing w:val="0"/>
              </w:rPr>
              <w:t>（4）钢筋工程废气</w:t>
            </w:r>
          </w:p>
          <w:p>
            <w:pPr>
              <w:pStyle w:val="22"/>
              <w:spacing w:line="240" w:lineRule="auto"/>
              <w:ind w:left="0" w:leftChars="0" w:firstLine="510" w:firstLineChars="200"/>
              <w:rPr>
                <w:b/>
                <w:bCs/>
                <w:spacing w:val="0"/>
              </w:rPr>
            </w:pPr>
            <w:r>
              <w:rPr>
                <w:spacing w:val="0"/>
              </w:rPr>
              <w:t>本工程钢筋切割工序产生少量金属粉尘，采用带有集尘装置的切割机进行切割，减少逸散，切割粉尘经自然沉降对环境影响较小。钢筋焊接过程中产生的焊接烟尘较少，优先选用低烟尘、低毒性的焊接材料，减少有害物质的产生项目所在区域环境空气质量较好，环境容量大，周边地势空旷，焊接烟尘能迅速地扩散。</w:t>
            </w:r>
          </w:p>
          <w:p>
            <w:pPr>
              <w:autoSpaceDE w:val="0"/>
              <w:autoSpaceDN w:val="0"/>
              <w:spacing w:before="240" w:after="60"/>
              <w:jc w:val="left"/>
              <w:rPr>
                <w:rFonts w:eastAsia="黑体"/>
                <w:kern w:val="0"/>
                <w:sz w:val="24"/>
              </w:rPr>
            </w:pPr>
            <w:r>
              <w:rPr>
                <w:rFonts w:eastAsia="黑体"/>
                <w:kern w:val="0"/>
                <w:sz w:val="24"/>
              </w:rPr>
              <w:t>3、声环境保护措施</w:t>
            </w:r>
          </w:p>
          <w:p>
            <w:pPr>
              <w:ind w:firstLine="510" w:firstLineChars="200"/>
              <w:rPr>
                <w:sz w:val="24"/>
              </w:rPr>
            </w:pPr>
            <w:r>
              <w:rPr>
                <w:sz w:val="24"/>
              </w:rPr>
              <w:t>本项目主体工程施工过程中采取了以下降噪措施：</w:t>
            </w:r>
          </w:p>
          <w:p>
            <w:pPr>
              <w:ind w:firstLine="510" w:firstLineChars="200"/>
              <w:rPr>
                <w:sz w:val="24"/>
              </w:rPr>
            </w:pPr>
            <w:r>
              <w:rPr>
                <w:sz w:val="24"/>
              </w:rPr>
              <w:t>①合理布置，禁止夜间作业，车辆限速行驶，经过集中居民点等处禁止鸣喇叭。</w:t>
            </w:r>
          </w:p>
          <w:p>
            <w:pPr>
              <w:ind w:firstLine="510" w:firstLineChars="200"/>
              <w:rPr>
                <w:sz w:val="24"/>
              </w:rPr>
            </w:pPr>
            <w:r>
              <w:rPr>
                <w:sz w:val="24"/>
              </w:rPr>
              <w:t>②施工机械选用符合国家规定要求的机械，加强设备的维护和保养，保持机械润滑，减少运行噪声。</w:t>
            </w:r>
          </w:p>
          <w:p>
            <w:pPr>
              <w:ind w:firstLine="510" w:firstLineChars="200"/>
              <w:rPr>
                <w:sz w:val="24"/>
              </w:rPr>
            </w:pPr>
            <w:r>
              <w:rPr>
                <w:sz w:val="24"/>
              </w:rPr>
              <w:t>③对施工场地内高噪声设备采取隔声、吸声等综合降噪措施。</w:t>
            </w:r>
          </w:p>
          <w:p>
            <w:pPr>
              <w:ind w:firstLine="510" w:firstLineChars="200"/>
              <w:rPr>
                <w:sz w:val="24"/>
              </w:rPr>
            </w:pPr>
            <w:r>
              <w:rPr>
                <w:sz w:val="24"/>
              </w:rPr>
              <w:t>④设置围栏，设置基础减振、隔声消声等措施。</w:t>
            </w:r>
          </w:p>
          <w:p>
            <w:pPr>
              <w:autoSpaceDE w:val="0"/>
              <w:autoSpaceDN w:val="0"/>
              <w:spacing w:before="240" w:after="60"/>
              <w:jc w:val="left"/>
              <w:rPr>
                <w:rFonts w:eastAsia="黑体"/>
                <w:kern w:val="0"/>
                <w:sz w:val="24"/>
              </w:rPr>
            </w:pPr>
            <w:r>
              <w:rPr>
                <w:rFonts w:eastAsia="黑体"/>
                <w:kern w:val="0"/>
                <w:sz w:val="24"/>
              </w:rPr>
              <w:t>4、地表水环境保护措施</w:t>
            </w:r>
          </w:p>
          <w:p>
            <w:pPr>
              <w:ind w:firstLine="510" w:firstLineChars="200"/>
              <w:rPr>
                <w:sz w:val="24"/>
              </w:rPr>
            </w:pPr>
            <w:r>
              <w:rPr>
                <w:sz w:val="24"/>
              </w:rPr>
              <w:t>工程施工期施工废水经沉淀池处理后全部回用不外排。生活污水依托周边村庄旱厕，定期清掏用于周边绿化施肥，洗漱废水用于场区洒水抑尘，不直接排入地下，对区域地下水水质影响不大。</w:t>
            </w:r>
          </w:p>
          <w:p>
            <w:pPr>
              <w:ind w:firstLine="510" w:firstLineChars="200"/>
              <w:rPr>
                <w:sz w:val="24"/>
              </w:rPr>
            </w:pPr>
            <w:r>
              <w:rPr>
                <w:sz w:val="24"/>
              </w:rPr>
              <w:t>为保障大坝施工条件，施工安排在非汛期，不需要施工导流。本工程水下作业的工程量较小，对水体的扰动的影响主要是土石填筑料的卸料抛填与拆除过程导致下游SS浓度暂时升高，影响程度总体不大。</w:t>
            </w:r>
          </w:p>
          <w:p>
            <w:pPr>
              <w:autoSpaceDE w:val="0"/>
              <w:autoSpaceDN w:val="0"/>
              <w:spacing w:before="240" w:after="60"/>
              <w:jc w:val="left"/>
              <w:rPr>
                <w:rFonts w:eastAsia="黑体"/>
                <w:kern w:val="0"/>
                <w:sz w:val="24"/>
              </w:rPr>
            </w:pPr>
            <w:r>
              <w:rPr>
                <w:rFonts w:eastAsia="黑体"/>
                <w:kern w:val="0"/>
                <w:sz w:val="24"/>
              </w:rPr>
              <w:t>5、固体废弃物污染防治措施</w:t>
            </w:r>
          </w:p>
          <w:p>
            <w:pPr>
              <w:kinsoku w:val="0"/>
              <w:wordWrap w:val="0"/>
              <w:topLinePunct/>
              <w:ind w:firstLine="510" w:firstLineChars="200"/>
              <w:rPr>
                <w:sz w:val="24"/>
              </w:rPr>
            </w:pPr>
            <w:r>
              <w:rPr>
                <w:sz w:val="24"/>
              </w:rPr>
              <w:t>（1）施工固体废物</w:t>
            </w:r>
          </w:p>
          <w:p>
            <w:pPr>
              <w:ind w:firstLine="510" w:firstLineChars="200"/>
              <w:rPr>
                <w:sz w:val="24"/>
              </w:rPr>
            </w:pPr>
            <w:r>
              <w:rPr>
                <w:sz w:val="24"/>
              </w:rPr>
              <w:t>施工期翻修、改造过程中拆除下来可利用的块石、混凝土块等材料就地用于护坡、防冲等次要部位，拆除废旧混凝土及浆砌石等废旧建筑材料共计约193.62m</w:t>
            </w:r>
            <w:r>
              <w:rPr>
                <w:sz w:val="24"/>
                <w:vertAlign w:val="superscript"/>
              </w:rPr>
              <w:t>3</w:t>
            </w:r>
            <w:r>
              <w:rPr>
                <w:sz w:val="24"/>
              </w:rPr>
              <w:t>，要求统一运至约30km处的垃圾填埋场统一填埋处理。运输车辆严禁超载，应设置布篷遮盖，防止固体废物沿途洒落而造成对沿途环境的影响。建设工程竣工之前，施工单位应当按照规定，及时拆除施工现场围栏以及其他施工临时设施，平整施工场地，清除场内工程渣土及其他废弃物。</w:t>
            </w:r>
          </w:p>
          <w:p>
            <w:pPr>
              <w:ind w:firstLine="510" w:firstLineChars="200"/>
              <w:rPr>
                <w:sz w:val="24"/>
              </w:rPr>
            </w:pPr>
            <w:r>
              <w:rPr>
                <w:sz w:val="24"/>
              </w:rPr>
              <w:t>（2）施工人员的生活垃圾</w:t>
            </w:r>
          </w:p>
          <w:p>
            <w:pPr>
              <w:ind w:firstLine="510" w:firstLineChars="200"/>
              <w:rPr>
                <w:sz w:val="24"/>
              </w:rPr>
            </w:pPr>
            <w:r>
              <w:rPr>
                <w:sz w:val="24"/>
              </w:rPr>
              <w:t>施工人员的生活垃圾统一收集，统一处理；专人负责施工区的环境卫生，定期清运处理。</w:t>
            </w:r>
          </w:p>
          <w:p>
            <w:pPr>
              <w:autoSpaceDE w:val="0"/>
              <w:autoSpaceDN w:val="0"/>
              <w:spacing w:before="240" w:after="60"/>
              <w:jc w:val="left"/>
              <w:rPr>
                <w:rFonts w:eastAsia="黑体"/>
                <w:kern w:val="0"/>
                <w:sz w:val="24"/>
              </w:rPr>
            </w:pPr>
            <w:r>
              <w:rPr>
                <w:rFonts w:eastAsia="黑体"/>
                <w:kern w:val="0"/>
                <w:sz w:val="24"/>
              </w:rPr>
              <w:t>6、环境管理</w:t>
            </w:r>
          </w:p>
          <w:p>
            <w:pPr>
              <w:pStyle w:val="9"/>
              <w:snapToGrid/>
              <w:spacing w:before="0" w:after="0" w:line="240" w:lineRule="auto"/>
              <w:ind w:right="0" w:firstLine="510" w:firstLineChars="200"/>
              <w:rPr>
                <w:sz w:val="24"/>
              </w:rPr>
            </w:pPr>
            <w:r>
              <w:rPr>
                <w:sz w:val="24"/>
              </w:rPr>
              <w:t>6.1施工环境管理措施</w:t>
            </w:r>
          </w:p>
          <w:p>
            <w:pPr>
              <w:pStyle w:val="9"/>
              <w:snapToGrid/>
              <w:spacing w:before="0" w:after="0" w:line="240" w:lineRule="auto"/>
              <w:ind w:right="0" w:firstLine="510" w:firstLineChars="200"/>
              <w:rPr>
                <w:sz w:val="24"/>
              </w:rPr>
            </w:pPr>
            <w:r>
              <w:rPr>
                <w:sz w:val="24"/>
              </w:rPr>
              <w:t>本环评就项目施工期环境管理提出如下要求：</w:t>
            </w:r>
          </w:p>
          <w:p>
            <w:pPr>
              <w:pStyle w:val="9"/>
              <w:snapToGrid/>
              <w:spacing w:before="0" w:after="0" w:line="240" w:lineRule="auto"/>
              <w:ind w:right="0" w:firstLine="510" w:firstLineChars="200"/>
              <w:rPr>
                <w:sz w:val="24"/>
              </w:rPr>
            </w:pPr>
            <w:r>
              <w:rPr>
                <w:sz w:val="24"/>
              </w:rPr>
              <w:t>①建设单位与施工单位签订项目承包合同中，应包括有关项目施工期间环境保护条款，包括项目施工中生态环境保护（水土保持）、施工期间环境污染控制、施工人员环保教育及相关奖惩条款。</w:t>
            </w:r>
          </w:p>
          <w:p>
            <w:pPr>
              <w:pStyle w:val="9"/>
              <w:snapToGrid/>
              <w:spacing w:before="0" w:after="0" w:line="240" w:lineRule="auto"/>
              <w:ind w:right="0" w:firstLine="510" w:firstLineChars="200"/>
              <w:rPr>
                <w:sz w:val="24"/>
              </w:rPr>
            </w:pPr>
            <w:r>
              <w:rPr>
                <w:sz w:val="24"/>
              </w:rPr>
              <w:t>②施工单位应增强环保意识，加强驻地和施工现场的环境管理，合理安排施工计划，切实做到组织计划严谨，文明施工。</w:t>
            </w:r>
          </w:p>
          <w:p>
            <w:pPr>
              <w:pStyle w:val="9"/>
              <w:snapToGrid/>
              <w:spacing w:before="0" w:after="0" w:line="240" w:lineRule="auto"/>
              <w:ind w:right="0" w:firstLine="510" w:firstLineChars="200"/>
              <w:rPr>
                <w:sz w:val="24"/>
              </w:rPr>
            </w:pPr>
            <w:r>
              <w:rPr>
                <w:sz w:val="24"/>
              </w:rPr>
              <w:t>③施工单位应特别注意项目施工水土保持，尽可能保护好管道沿线土壤植被。</w:t>
            </w:r>
          </w:p>
          <w:p>
            <w:pPr>
              <w:pStyle w:val="9"/>
              <w:snapToGrid/>
              <w:spacing w:before="0" w:after="0" w:line="240" w:lineRule="auto"/>
              <w:ind w:right="0" w:firstLine="510" w:firstLineChars="200"/>
              <w:rPr>
                <w:sz w:val="24"/>
              </w:rPr>
            </w:pPr>
            <w:r>
              <w:rPr>
                <w:sz w:val="24"/>
              </w:rPr>
              <w:t>④施工现场应加强环境管理，施工场地采取降尘措施，项目施工完毕后由施工单位及时清理和恢复施工现场，妥善处理生活垃圾与挖填方，减少扬尘；施工现场应执行《建筑施工场界环境噪声排放标准》（GB12523-2011）中的规定和要求。施工期环境管理措施见下表。</w:t>
            </w:r>
          </w:p>
          <w:p>
            <w:pPr>
              <w:pStyle w:val="23"/>
              <w:adjustRightInd w:val="0"/>
              <w:snapToGrid w:val="0"/>
              <w:spacing w:after="0" w:line="240" w:lineRule="auto"/>
              <w:jc w:val="center"/>
            </w:pPr>
            <w:r>
              <w:rPr>
                <w:rFonts w:eastAsia="黑体"/>
                <w:sz w:val="24"/>
              </w:rPr>
              <w:t>表5-1  施工期环境管理措施一览表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8"/>
              <w:gridCol w:w="7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tcBorders>
                    <w:tl2br w:val="nil"/>
                    <w:tr2bl w:val="nil"/>
                  </w:tcBorders>
                  <w:noWrap/>
                  <w:vAlign w:val="center"/>
                </w:tcPr>
                <w:p>
                  <w:pPr>
                    <w:pStyle w:val="23"/>
                    <w:adjustRightInd w:val="0"/>
                    <w:snapToGrid w:val="0"/>
                    <w:spacing w:after="0" w:line="240" w:lineRule="auto"/>
                    <w:jc w:val="center"/>
                    <w:rPr>
                      <w:b/>
                      <w:bCs/>
                    </w:rPr>
                  </w:pPr>
                  <w:r>
                    <w:rPr>
                      <w:b/>
                      <w:bCs/>
                    </w:rPr>
                    <w:t>序号</w:t>
                  </w:r>
                </w:p>
              </w:tc>
              <w:tc>
                <w:tcPr>
                  <w:tcW w:w="7303" w:type="dxa"/>
                  <w:tcBorders>
                    <w:tl2br w:val="nil"/>
                    <w:tr2bl w:val="nil"/>
                  </w:tcBorders>
                  <w:noWrap/>
                  <w:vAlign w:val="center"/>
                </w:tcPr>
                <w:p>
                  <w:pPr>
                    <w:pStyle w:val="23"/>
                    <w:adjustRightInd w:val="0"/>
                    <w:snapToGrid w:val="0"/>
                    <w:spacing w:after="0" w:line="240" w:lineRule="auto"/>
                    <w:jc w:val="center"/>
                    <w:rPr>
                      <w:b/>
                      <w:bCs/>
                    </w:rPr>
                  </w:pPr>
                  <w:r>
                    <w:rPr>
                      <w:b/>
                      <w:bCs/>
                    </w:rPr>
                    <w:t>拟采取管理措施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tcBorders>
                    <w:tl2br w:val="nil"/>
                    <w:tr2bl w:val="nil"/>
                  </w:tcBorders>
                  <w:noWrap/>
                  <w:vAlign w:val="center"/>
                </w:tcPr>
                <w:p>
                  <w:pPr>
                    <w:pStyle w:val="23"/>
                    <w:adjustRightInd w:val="0"/>
                    <w:snapToGrid w:val="0"/>
                    <w:spacing w:after="0" w:line="240" w:lineRule="auto"/>
                    <w:jc w:val="center"/>
                  </w:pPr>
                  <w:r>
                    <w:t>1</w:t>
                  </w:r>
                </w:p>
              </w:tc>
              <w:tc>
                <w:tcPr>
                  <w:tcW w:w="7303" w:type="dxa"/>
                  <w:tcBorders>
                    <w:tl2br w:val="nil"/>
                    <w:tr2bl w:val="nil"/>
                  </w:tcBorders>
                  <w:noWrap/>
                  <w:vAlign w:val="center"/>
                </w:tcPr>
                <w:p>
                  <w:pPr>
                    <w:pStyle w:val="23"/>
                    <w:adjustRightInd w:val="0"/>
                    <w:snapToGrid w:val="0"/>
                    <w:spacing w:after="0" w:line="240" w:lineRule="auto"/>
                    <w:jc w:val="center"/>
                  </w:pPr>
                  <w:r>
                    <w:t>审查施工单位现场管理机构的环境管理体系，检查环境污染防治措施是否落实，评价施工单位是否具备开工条件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tcBorders>
                    <w:tl2br w:val="nil"/>
                    <w:tr2bl w:val="nil"/>
                  </w:tcBorders>
                  <w:noWrap/>
                  <w:vAlign w:val="center"/>
                </w:tcPr>
                <w:p>
                  <w:pPr>
                    <w:pStyle w:val="23"/>
                    <w:adjustRightInd w:val="0"/>
                    <w:snapToGrid w:val="0"/>
                    <w:spacing w:after="0" w:line="240" w:lineRule="auto"/>
                    <w:jc w:val="center"/>
                  </w:pPr>
                  <w:r>
                    <w:t>2</w:t>
                  </w:r>
                </w:p>
              </w:tc>
              <w:tc>
                <w:tcPr>
                  <w:tcW w:w="7303" w:type="dxa"/>
                  <w:tcBorders>
                    <w:tl2br w:val="nil"/>
                    <w:tr2bl w:val="nil"/>
                  </w:tcBorders>
                  <w:noWrap/>
                  <w:vAlign w:val="center"/>
                </w:tcPr>
                <w:p>
                  <w:pPr>
                    <w:pStyle w:val="23"/>
                    <w:adjustRightInd w:val="0"/>
                    <w:snapToGrid w:val="0"/>
                    <w:spacing w:after="0" w:line="240" w:lineRule="auto"/>
                    <w:jc w:val="center"/>
                  </w:pPr>
                  <w:r>
                    <w:t>对施工过程中防治水、气、声、固废污染及生态破坏的工程设施和管理措施进行巡视、检查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tcBorders>
                    <w:tl2br w:val="nil"/>
                    <w:tr2bl w:val="nil"/>
                  </w:tcBorders>
                  <w:noWrap/>
                  <w:vAlign w:val="center"/>
                </w:tcPr>
                <w:p>
                  <w:pPr>
                    <w:pStyle w:val="23"/>
                    <w:adjustRightInd w:val="0"/>
                    <w:snapToGrid w:val="0"/>
                    <w:spacing w:after="0" w:line="240" w:lineRule="auto"/>
                    <w:jc w:val="center"/>
                  </w:pPr>
                  <w:r>
                    <w:t>3</w:t>
                  </w:r>
                </w:p>
              </w:tc>
              <w:tc>
                <w:tcPr>
                  <w:tcW w:w="7303" w:type="dxa"/>
                  <w:tcBorders>
                    <w:tl2br w:val="nil"/>
                    <w:tr2bl w:val="nil"/>
                  </w:tcBorders>
                  <w:noWrap/>
                  <w:vAlign w:val="center"/>
                </w:tcPr>
                <w:p>
                  <w:pPr>
                    <w:pStyle w:val="23"/>
                    <w:adjustRightInd w:val="0"/>
                    <w:snapToGrid w:val="0"/>
                    <w:spacing w:after="0" w:line="240" w:lineRule="auto"/>
                    <w:jc w:val="center"/>
                  </w:pPr>
                  <w:r>
                    <w:t>落实项目区土石方去向及产生扬尘的治理措施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dxa"/>
                  <w:tcBorders>
                    <w:tl2br w:val="nil"/>
                    <w:tr2bl w:val="nil"/>
                  </w:tcBorders>
                  <w:noWrap/>
                  <w:vAlign w:val="center"/>
                </w:tcPr>
                <w:p>
                  <w:pPr>
                    <w:pStyle w:val="23"/>
                    <w:adjustRightInd w:val="0"/>
                    <w:snapToGrid w:val="0"/>
                    <w:spacing w:after="0" w:line="240" w:lineRule="auto"/>
                    <w:jc w:val="center"/>
                  </w:pPr>
                  <w:r>
                    <w:t>4</w:t>
                  </w:r>
                </w:p>
              </w:tc>
              <w:tc>
                <w:tcPr>
                  <w:tcW w:w="7303" w:type="dxa"/>
                  <w:tcBorders>
                    <w:tl2br w:val="nil"/>
                    <w:tr2bl w:val="nil"/>
                  </w:tcBorders>
                  <w:noWrap/>
                  <w:vAlign w:val="center"/>
                </w:tcPr>
                <w:p>
                  <w:pPr>
                    <w:pStyle w:val="23"/>
                    <w:adjustRightInd w:val="0"/>
                    <w:snapToGrid w:val="0"/>
                    <w:spacing w:after="0" w:line="240" w:lineRule="auto"/>
                    <w:jc w:val="center"/>
                  </w:pPr>
                  <w:r>
                    <w:t>落实项目施工期造成植被破坏等生态补偿、恢复措施</w:t>
                  </w:r>
                </w:p>
              </w:tc>
            </w:tr>
          </w:tbl>
          <w:p>
            <w:pPr>
              <w:pStyle w:val="23"/>
              <w:spacing w:after="0" w:line="240" w:lineRule="auto"/>
              <w:ind w:firstLine="510" w:firstLineChars="200"/>
              <w:rPr>
                <w:sz w:val="24"/>
              </w:rPr>
            </w:pPr>
            <w:r>
              <w:rPr>
                <w:sz w:val="24"/>
              </w:rPr>
              <w:t>6.2施工环境监测计划</w:t>
            </w:r>
          </w:p>
          <w:p>
            <w:pPr>
              <w:pStyle w:val="23"/>
              <w:spacing w:after="0" w:line="240" w:lineRule="auto"/>
              <w:ind w:firstLine="510" w:firstLineChars="200"/>
              <w:rPr>
                <w:sz w:val="24"/>
              </w:rPr>
            </w:pPr>
            <w:r>
              <w:rPr>
                <w:sz w:val="24"/>
              </w:rPr>
              <w:t>根据项目施工特点和周期制定施工期环境监测计划，施工期主要监测内容有区域环境空气、生态系统的影响范围和影响程度。本项目施工期监测计划见表5-2。</w:t>
            </w:r>
          </w:p>
          <w:p>
            <w:pPr>
              <w:pStyle w:val="23"/>
              <w:adjustRightInd w:val="0"/>
              <w:snapToGrid w:val="0"/>
              <w:spacing w:after="0" w:line="240" w:lineRule="auto"/>
              <w:jc w:val="center"/>
            </w:pPr>
            <w:r>
              <w:rPr>
                <w:rFonts w:eastAsia="黑体"/>
                <w:sz w:val="24"/>
              </w:rPr>
              <w:t>表5-2  本项目施工期环境监测计划表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33"/>
              <w:gridCol w:w="705"/>
              <w:gridCol w:w="705"/>
              <w:gridCol w:w="2160"/>
              <w:gridCol w:w="1605"/>
              <w:gridCol w:w="1830"/>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3" w:type="dxa"/>
                  <w:tcBorders>
                    <w:tl2br w:val="nil"/>
                    <w:tr2bl w:val="nil"/>
                  </w:tcBorders>
                  <w:noWrap/>
                  <w:vAlign w:val="center"/>
                </w:tcPr>
                <w:p>
                  <w:pPr>
                    <w:pStyle w:val="23"/>
                    <w:adjustRightInd w:val="0"/>
                    <w:snapToGrid w:val="0"/>
                    <w:spacing w:after="0" w:line="240" w:lineRule="auto"/>
                    <w:jc w:val="center"/>
                    <w:rPr>
                      <w:b/>
                      <w:bCs/>
                    </w:rPr>
                  </w:pPr>
                  <w:r>
                    <w:rPr>
                      <w:b/>
                      <w:bCs/>
                    </w:rPr>
                    <w:t>实施阶段</w:t>
                  </w:r>
                </w:p>
              </w:tc>
              <w:tc>
                <w:tcPr>
                  <w:tcW w:w="705" w:type="dxa"/>
                  <w:tcBorders>
                    <w:tl2br w:val="nil"/>
                    <w:tr2bl w:val="nil"/>
                  </w:tcBorders>
                  <w:noWrap/>
                  <w:vAlign w:val="center"/>
                </w:tcPr>
                <w:p>
                  <w:pPr>
                    <w:pStyle w:val="23"/>
                    <w:adjustRightInd w:val="0"/>
                    <w:snapToGrid w:val="0"/>
                    <w:spacing w:after="0" w:line="240" w:lineRule="auto"/>
                    <w:jc w:val="center"/>
                    <w:rPr>
                      <w:b/>
                      <w:bCs/>
                    </w:rPr>
                  </w:pPr>
                  <w:r>
                    <w:rPr>
                      <w:b/>
                      <w:bCs/>
                    </w:rPr>
                    <w:t>监测内容</w:t>
                  </w:r>
                </w:p>
              </w:tc>
              <w:tc>
                <w:tcPr>
                  <w:tcW w:w="705" w:type="dxa"/>
                  <w:tcBorders>
                    <w:tl2br w:val="nil"/>
                    <w:tr2bl w:val="nil"/>
                  </w:tcBorders>
                  <w:noWrap/>
                  <w:vAlign w:val="center"/>
                </w:tcPr>
                <w:p>
                  <w:pPr>
                    <w:pStyle w:val="23"/>
                    <w:adjustRightInd w:val="0"/>
                    <w:snapToGrid w:val="0"/>
                    <w:spacing w:after="0" w:line="240" w:lineRule="auto"/>
                    <w:jc w:val="center"/>
                    <w:rPr>
                      <w:b/>
                      <w:bCs/>
                    </w:rPr>
                  </w:pPr>
                  <w:r>
                    <w:rPr>
                      <w:b/>
                      <w:bCs/>
                    </w:rPr>
                    <w:t>监测项目</w:t>
                  </w:r>
                </w:p>
              </w:tc>
              <w:tc>
                <w:tcPr>
                  <w:tcW w:w="2160" w:type="dxa"/>
                  <w:tcBorders>
                    <w:tl2br w:val="nil"/>
                    <w:tr2bl w:val="nil"/>
                  </w:tcBorders>
                  <w:noWrap/>
                  <w:vAlign w:val="center"/>
                </w:tcPr>
                <w:p>
                  <w:pPr>
                    <w:pStyle w:val="23"/>
                    <w:adjustRightInd w:val="0"/>
                    <w:snapToGrid w:val="0"/>
                    <w:spacing w:after="0" w:line="240" w:lineRule="auto"/>
                    <w:jc w:val="center"/>
                    <w:rPr>
                      <w:b/>
                      <w:bCs/>
                    </w:rPr>
                  </w:pPr>
                  <w:r>
                    <w:rPr>
                      <w:b/>
                      <w:bCs/>
                    </w:rPr>
                    <w:t>监测点位</w:t>
                  </w:r>
                </w:p>
              </w:tc>
              <w:tc>
                <w:tcPr>
                  <w:tcW w:w="1605" w:type="dxa"/>
                  <w:tcBorders>
                    <w:tl2br w:val="nil"/>
                    <w:tr2bl w:val="nil"/>
                  </w:tcBorders>
                  <w:noWrap/>
                  <w:vAlign w:val="center"/>
                </w:tcPr>
                <w:p>
                  <w:pPr>
                    <w:pStyle w:val="23"/>
                    <w:adjustRightInd w:val="0"/>
                    <w:snapToGrid w:val="0"/>
                    <w:spacing w:after="0" w:line="240" w:lineRule="auto"/>
                    <w:jc w:val="center"/>
                    <w:rPr>
                      <w:b/>
                      <w:bCs/>
                    </w:rPr>
                  </w:pPr>
                  <w:r>
                    <w:rPr>
                      <w:b/>
                      <w:bCs/>
                    </w:rPr>
                    <w:t>监测时间、频次</w:t>
                  </w:r>
                </w:p>
              </w:tc>
              <w:tc>
                <w:tcPr>
                  <w:tcW w:w="1830" w:type="dxa"/>
                  <w:tcBorders>
                    <w:tl2br w:val="nil"/>
                    <w:tr2bl w:val="nil"/>
                  </w:tcBorders>
                  <w:noWrap/>
                  <w:vAlign w:val="center"/>
                </w:tcPr>
                <w:p>
                  <w:pPr>
                    <w:pStyle w:val="23"/>
                    <w:adjustRightInd w:val="0"/>
                    <w:snapToGrid w:val="0"/>
                    <w:spacing w:after="0" w:line="240" w:lineRule="auto"/>
                    <w:jc w:val="center"/>
                    <w:rPr>
                      <w:b/>
                      <w:bCs/>
                    </w:rPr>
                  </w:pPr>
                  <w:r>
                    <w:rPr>
                      <w:b/>
                      <w:bCs/>
                    </w:rPr>
                    <w:t>执行标准</w:t>
                  </w:r>
                </w:p>
              </w:tc>
              <w:tc>
                <w:tcPr>
                  <w:tcW w:w="673" w:type="dxa"/>
                  <w:tcBorders>
                    <w:tl2br w:val="nil"/>
                    <w:tr2bl w:val="nil"/>
                  </w:tcBorders>
                  <w:noWrap/>
                  <w:vAlign w:val="center"/>
                </w:tcPr>
                <w:p>
                  <w:pPr>
                    <w:pStyle w:val="23"/>
                    <w:adjustRightInd w:val="0"/>
                    <w:snapToGrid w:val="0"/>
                    <w:spacing w:after="0" w:line="240" w:lineRule="auto"/>
                    <w:jc w:val="center"/>
                    <w:rPr>
                      <w:b/>
                      <w:bCs/>
                    </w:rPr>
                  </w:pPr>
                  <w:r>
                    <w:rPr>
                      <w:b/>
                      <w:bCs/>
                    </w:rPr>
                    <w:t>责任主体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3" w:type="dxa"/>
                  <w:vMerge w:val="restart"/>
                  <w:tcBorders>
                    <w:tl2br w:val="nil"/>
                    <w:tr2bl w:val="nil"/>
                  </w:tcBorders>
                  <w:noWrap/>
                  <w:vAlign w:val="center"/>
                </w:tcPr>
                <w:p>
                  <w:pPr>
                    <w:pStyle w:val="23"/>
                    <w:adjustRightInd w:val="0"/>
                    <w:snapToGrid w:val="0"/>
                    <w:spacing w:after="0" w:line="240" w:lineRule="auto"/>
                    <w:jc w:val="center"/>
                  </w:pPr>
                  <w:r>
                    <w:t>施工期</w:t>
                  </w:r>
                </w:p>
              </w:tc>
              <w:tc>
                <w:tcPr>
                  <w:tcW w:w="705" w:type="dxa"/>
                  <w:tcBorders>
                    <w:tl2br w:val="nil"/>
                    <w:tr2bl w:val="nil"/>
                  </w:tcBorders>
                  <w:noWrap/>
                  <w:vAlign w:val="center"/>
                </w:tcPr>
                <w:p>
                  <w:pPr>
                    <w:pStyle w:val="23"/>
                    <w:adjustRightInd w:val="0"/>
                    <w:snapToGrid w:val="0"/>
                    <w:spacing w:after="0" w:line="240" w:lineRule="auto"/>
                    <w:jc w:val="center"/>
                  </w:pPr>
                  <w:r>
                    <w:t>环境空气</w:t>
                  </w:r>
                </w:p>
              </w:tc>
              <w:tc>
                <w:tcPr>
                  <w:tcW w:w="705" w:type="dxa"/>
                  <w:tcBorders>
                    <w:tl2br w:val="nil"/>
                    <w:tr2bl w:val="nil"/>
                  </w:tcBorders>
                  <w:noWrap/>
                  <w:vAlign w:val="center"/>
                </w:tcPr>
                <w:p>
                  <w:pPr>
                    <w:pStyle w:val="23"/>
                    <w:adjustRightInd w:val="0"/>
                    <w:snapToGrid w:val="0"/>
                    <w:spacing w:after="0" w:line="240" w:lineRule="auto"/>
                    <w:jc w:val="center"/>
                  </w:pPr>
                  <w:r>
                    <w:t>TSP</w:t>
                  </w:r>
                </w:p>
              </w:tc>
              <w:tc>
                <w:tcPr>
                  <w:tcW w:w="2160" w:type="dxa"/>
                  <w:tcBorders>
                    <w:tl2br w:val="nil"/>
                    <w:tr2bl w:val="nil"/>
                  </w:tcBorders>
                  <w:noWrap/>
                  <w:vAlign w:val="center"/>
                </w:tcPr>
                <w:p>
                  <w:pPr>
                    <w:pStyle w:val="23"/>
                    <w:adjustRightInd w:val="0"/>
                    <w:snapToGrid w:val="0"/>
                    <w:spacing w:after="0" w:line="240" w:lineRule="auto"/>
                    <w:jc w:val="center"/>
                  </w:pPr>
                  <w:r>
                    <w:t>施工现场</w:t>
                  </w:r>
                </w:p>
              </w:tc>
              <w:tc>
                <w:tcPr>
                  <w:tcW w:w="1605" w:type="dxa"/>
                  <w:tcBorders>
                    <w:tl2br w:val="nil"/>
                    <w:tr2bl w:val="nil"/>
                  </w:tcBorders>
                  <w:noWrap/>
                  <w:vAlign w:val="center"/>
                </w:tcPr>
                <w:p>
                  <w:pPr>
                    <w:pStyle w:val="23"/>
                    <w:adjustRightInd w:val="0"/>
                    <w:snapToGrid w:val="0"/>
                    <w:spacing w:after="0" w:line="240" w:lineRule="auto"/>
                    <w:jc w:val="center"/>
                  </w:pPr>
                  <w:r>
                    <w:t>施工期高峰期1次，每次连续监测2天</w:t>
                  </w:r>
                </w:p>
              </w:tc>
              <w:tc>
                <w:tcPr>
                  <w:tcW w:w="1830" w:type="dxa"/>
                  <w:tcBorders>
                    <w:tl2br w:val="nil"/>
                    <w:tr2bl w:val="nil"/>
                  </w:tcBorders>
                  <w:noWrap/>
                  <w:vAlign w:val="center"/>
                </w:tcPr>
                <w:p>
                  <w:pPr>
                    <w:pStyle w:val="23"/>
                    <w:adjustRightInd w:val="0"/>
                    <w:snapToGrid w:val="0"/>
                    <w:spacing w:after="0" w:line="240" w:lineRule="auto"/>
                    <w:jc w:val="center"/>
                  </w:pPr>
                  <w:r>
                    <w:t>《大气污染物综合排放标准》（GB16297-1996）无组织排放标准</w:t>
                  </w:r>
                </w:p>
              </w:tc>
              <w:tc>
                <w:tcPr>
                  <w:tcW w:w="673" w:type="dxa"/>
                  <w:tcBorders>
                    <w:tl2br w:val="nil"/>
                    <w:tr2bl w:val="nil"/>
                  </w:tcBorders>
                  <w:noWrap/>
                  <w:vAlign w:val="center"/>
                </w:tcPr>
                <w:p>
                  <w:pPr>
                    <w:pStyle w:val="23"/>
                    <w:adjustRightInd w:val="0"/>
                    <w:snapToGrid w:val="0"/>
                    <w:spacing w:after="0" w:line="240" w:lineRule="auto"/>
                    <w:jc w:val="center"/>
                  </w:pPr>
                  <w:r>
                    <w:t>彭阳县水务局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3" w:type="dxa"/>
                  <w:vMerge w:val="continue"/>
                  <w:tcBorders>
                    <w:tl2br w:val="nil"/>
                    <w:tr2bl w:val="nil"/>
                  </w:tcBorders>
                  <w:noWrap/>
                  <w:vAlign w:val="center"/>
                </w:tcPr>
                <w:p>
                  <w:pPr>
                    <w:pStyle w:val="23"/>
                    <w:adjustRightInd w:val="0"/>
                    <w:snapToGrid w:val="0"/>
                    <w:spacing w:after="0" w:line="240" w:lineRule="auto"/>
                    <w:jc w:val="center"/>
                  </w:pPr>
                </w:p>
              </w:tc>
              <w:tc>
                <w:tcPr>
                  <w:tcW w:w="705" w:type="dxa"/>
                  <w:tcBorders>
                    <w:tl2br w:val="nil"/>
                    <w:tr2bl w:val="nil"/>
                  </w:tcBorders>
                  <w:noWrap/>
                  <w:vAlign w:val="center"/>
                </w:tcPr>
                <w:p>
                  <w:pPr>
                    <w:pStyle w:val="23"/>
                    <w:adjustRightInd w:val="0"/>
                    <w:snapToGrid w:val="0"/>
                    <w:spacing w:after="0" w:line="240" w:lineRule="auto"/>
                    <w:jc w:val="center"/>
                  </w:pPr>
                  <w:r>
                    <w:t>噪声</w:t>
                  </w:r>
                </w:p>
              </w:tc>
              <w:tc>
                <w:tcPr>
                  <w:tcW w:w="705" w:type="dxa"/>
                  <w:tcBorders>
                    <w:tl2br w:val="nil"/>
                    <w:tr2bl w:val="nil"/>
                  </w:tcBorders>
                  <w:noWrap/>
                  <w:vAlign w:val="center"/>
                </w:tcPr>
                <w:p>
                  <w:pPr>
                    <w:pStyle w:val="23"/>
                    <w:adjustRightInd w:val="0"/>
                    <w:snapToGrid w:val="0"/>
                    <w:spacing w:after="0" w:line="240" w:lineRule="auto"/>
                    <w:jc w:val="center"/>
                  </w:pPr>
                  <w:r>
                    <w:t>等效连续A声级</w:t>
                  </w:r>
                </w:p>
              </w:tc>
              <w:tc>
                <w:tcPr>
                  <w:tcW w:w="2160" w:type="dxa"/>
                  <w:tcBorders>
                    <w:tl2br w:val="nil"/>
                    <w:tr2bl w:val="nil"/>
                  </w:tcBorders>
                  <w:noWrap/>
                  <w:vAlign w:val="center"/>
                </w:tcPr>
                <w:p>
                  <w:pPr>
                    <w:pStyle w:val="23"/>
                    <w:adjustRightInd w:val="0"/>
                    <w:snapToGrid w:val="0"/>
                    <w:spacing w:after="0" w:line="240" w:lineRule="auto"/>
                    <w:jc w:val="center"/>
                  </w:pPr>
                  <w:r>
                    <w:t>施工现场</w:t>
                  </w:r>
                </w:p>
              </w:tc>
              <w:tc>
                <w:tcPr>
                  <w:tcW w:w="1605" w:type="dxa"/>
                  <w:tcBorders>
                    <w:tl2br w:val="nil"/>
                    <w:tr2bl w:val="nil"/>
                  </w:tcBorders>
                  <w:noWrap/>
                  <w:vAlign w:val="center"/>
                </w:tcPr>
                <w:p>
                  <w:pPr>
                    <w:pStyle w:val="23"/>
                    <w:adjustRightInd w:val="0"/>
                    <w:snapToGrid w:val="0"/>
                    <w:spacing w:after="0" w:line="240" w:lineRule="auto"/>
                    <w:jc w:val="center"/>
                  </w:pPr>
                  <w:r>
                    <w:t>施工期高峰期监测1期，每次连续监测2天</w:t>
                  </w:r>
                </w:p>
              </w:tc>
              <w:tc>
                <w:tcPr>
                  <w:tcW w:w="1830" w:type="dxa"/>
                  <w:tcBorders>
                    <w:tl2br w:val="nil"/>
                    <w:tr2bl w:val="nil"/>
                  </w:tcBorders>
                  <w:noWrap/>
                  <w:vAlign w:val="center"/>
                </w:tcPr>
                <w:p>
                  <w:pPr>
                    <w:pStyle w:val="23"/>
                    <w:adjustRightInd w:val="0"/>
                    <w:snapToGrid w:val="0"/>
                    <w:spacing w:after="0" w:line="240" w:lineRule="auto"/>
                    <w:jc w:val="center"/>
                  </w:pPr>
                  <w:r>
                    <w:t>《建筑施工场界环境噪声排放标准》（GB12523-2011）</w:t>
                  </w:r>
                </w:p>
              </w:tc>
              <w:tc>
                <w:tcPr>
                  <w:tcW w:w="673" w:type="dxa"/>
                  <w:tcBorders>
                    <w:tl2br w:val="nil"/>
                    <w:tr2bl w:val="nil"/>
                  </w:tcBorders>
                  <w:noWrap/>
                  <w:vAlign w:val="center"/>
                </w:tcPr>
                <w:p>
                  <w:pPr>
                    <w:pStyle w:val="23"/>
                    <w:adjustRightInd w:val="0"/>
                    <w:snapToGrid w:val="0"/>
                    <w:spacing w:after="0" w:line="240" w:lineRule="auto"/>
                    <w:jc w:val="center"/>
                  </w:pPr>
                  <w:r>
                    <w:t>彭阳县水务局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3" w:type="dxa"/>
                  <w:vMerge w:val="continue"/>
                  <w:tcBorders>
                    <w:tl2br w:val="nil"/>
                    <w:tr2bl w:val="nil"/>
                  </w:tcBorders>
                  <w:noWrap/>
                  <w:vAlign w:val="center"/>
                </w:tcPr>
                <w:p>
                  <w:pPr>
                    <w:pStyle w:val="23"/>
                    <w:adjustRightInd w:val="0"/>
                    <w:snapToGrid w:val="0"/>
                    <w:spacing w:after="0" w:line="240" w:lineRule="auto"/>
                    <w:jc w:val="center"/>
                  </w:pPr>
                </w:p>
              </w:tc>
              <w:tc>
                <w:tcPr>
                  <w:tcW w:w="705" w:type="dxa"/>
                  <w:tcBorders>
                    <w:tl2br w:val="nil"/>
                    <w:tr2bl w:val="nil"/>
                  </w:tcBorders>
                  <w:noWrap/>
                  <w:vAlign w:val="center"/>
                </w:tcPr>
                <w:p>
                  <w:pPr>
                    <w:pStyle w:val="23"/>
                    <w:adjustRightInd w:val="0"/>
                    <w:snapToGrid w:val="0"/>
                    <w:spacing w:after="0" w:line="240" w:lineRule="auto"/>
                    <w:jc w:val="center"/>
                  </w:pPr>
                  <w:r>
                    <w:t>植被生态监测</w:t>
                  </w:r>
                </w:p>
              </w:tc>
              <w:tc>
                <w:tcPr>
                  <w:tcW w:w="705" w:type="dxa"/>
                  <w:tcBorders>
                    <w:tl2br w:val="nil"/>
                    <w:tr2bl w:val="nil"/>
                  </w:tcBorders>
                  <w:noWrap/>
                  <w:vAlign w:val="center"/>
                </w:tcPr>
                <w:p>
                  <w:pPr>
                    <w:pStyle w:val="23"/>
                    <w:adjustRightInd w:val="0"/>
                    <w:snapToGrid w:val="0"/>
                    <w:spacing w:after="0" w:line="240" w:lineRule="auto"/>
                    <w:jc w:val="center"/>
                  </w:pPr>
                  <w:r>
                    <w:t>植被</w:t>
                  </w:r>
                </w:p>
              </w:tc>
              <w:tc>
                <w:tcPr>
                  <w:tcW w:w="2160" w:type="dxa"/>
                  <w:tcBorders>
                    <w:tl2br w:val="nil"/>
                    <w:tr2bl w:val="nil"/>
                  </w:tcBorders>
                  <w:noWrap/>
                  <w:vAlign w:val="center"/>
                </w:tcPr>
                <w:p>
                  <w:pPr>
                    <w:pStyle w:val="23"/>
                    <w:adjustRightInd w:val="0"/>
                    <w:snapToGrid w:val="0"/>
                    <w:spacing w:after="0" w:line="240" w:lineRule="auto"/>
                    <w:jc w:val="center"/>
                  </w:pPr>
                  <w:r>
                    <w:t>采用样方调查方式监测项目区内植被恢复情况，分析恢复效果。对草本植物，监测种类、株数、茎高、盖度、生物量</w:t>
                  </w:r>
                </w:p>
              </w:tc>
              <w:tc>
                <w:tcPr>
                  <w:tcW w:w="1605" w:type="dxa"/>
                  <w:tcBorders>
                    <w:tl2br w:val="nil"/>
                    <w:tr2bl w:val="nil"/>
                  </w:tcBorders>
                  <w:noWrap/>
                  <w:vAlign w:val="center"/>
                </w:tcPr>
                <w:p>
                  <w:pPr>
                    <w:pStyle w:val="23"/>
                    <w:adjustRightInd w:val="0"/>
                    <w:snapToGrid w:val="0"/>
                    <w:spacing w:after="0" w:line="240" w:lineRule="auto"/>
                    <w:jc w:val="center"/>
                  </w:pPr>
                  <w:r>
                    <w:t>完工后2年，对植被成活情况实施人工监测，春、夏、秋，每个季节监测1次</w:t>
                  </w:r>
                </w:p>
              </w:tc>
              <w:tc>
                <w:tcPr>
                  <w:tcW w:w="1830" w:type="dxa"/>
                  <w:tcBorders>
                    <w:tl2br w:val="nil"/>
                    <w:tr2bl w:val="nil"/>
                  </w:tcBorders>
                  <w:noWrap/>
                  <w:vAlign w:val="center"/>
                </w:tcPr>
                <w:p>
                  <w:pPr>
                    <w:pStyle w:val="23"/>
                    <w:adjustRightInd w:val="0"/>
                    <w:snapToGrid w:val="0"/>
                    <w:spacing w:after="0" w:line="240" w:lineRule="auto"/>
                    <w:jc w:val="center"/>
                  </w:pPr>
                  <w:r>
                    <w:t>/</w:t>
                  </w:r>
                </w:p>
              </w:tc>
              <w:tc>
                <w:tcPr>
                  <w:tcW w:w="673" w:type="dxa"/>
                  <w:tcBorders>
                    <w:tl2br w:val="nil"/>
                    <w:tr2bl w:val="nil"/>
                  </w:tcBorders>
                  <w:noWrap/>
                  <w:vAlign w:val="center"/>
                </w:tcPr>
                <w:p>
                  <w:pPr>
                    <w:pStyle w:val="23"/>
                    <w:adjustRightInd w:val="0"/>
                    <w:snapToGrid w:val="0"/>
                    <w:spacing w:after="0" w:line="240" w:lineRule="auto"/>
                    <w:jc w:val="center"/>
                  </w:pPr>
                  <w:r>
                    <w:t>彭阳县水务局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3" w:type="dxa"/>
                  <w:vMerge w:val="continue"/>
                  <w:tcBorders>
                    <w:tl2br w:val="nil"/>
                    <w:tr2bl w:val="nil"/>
                  </w:tcBorders>
                  <w:noWrap/>
                  <w:vAlign w:val="center"/>
                </w:tcPr>
                <w:p>
                  <w:pPr>
                    <w:pStyle w:val="23"/>
                    <w:adjustRightInd w:val="0"/>
                    <w:snapToGrid w:val="0"/>
                    <w:spacing w:after="0" w:line="240" w:lineRule="auto"/>
                    <w:jc w:val="center"/>
                  </w:pPr>
                </w:p>
              </w:tc>
              <w:tc>
                <w:tcPr>
                  <w:tcW w:w="705" w:type="dxa"/>
                  <w:tcBorders>
                    <w:tl2br w:val="nil"/>
                    <w:tr2bl w:val="nil"/>
                  </w:tcBorders>
                  <w:noWrap/>
                  <w:vAlign w:val="center"/>
                </w:tcPr>
                <w:p>
                  <w:pPr>
                    <w:pStyle w:val="23"/>
                    <w:adjustRightInd w:val="0"/>
                    <w:snapToGrid w:val="0"/>
                    <w:spacing w:after="0" w:line="240" w:lineRule="auto"/>
                    <w:jc w:val="center"/>
                  </w:pPr>
                  <w:r>
                    <w:t>动物生态监测</w:t>
                  </w:r>
                </w:p>
              </w:tc>
              <w:tc>
                <w:tcPr>
                  <w:tcW w:w="705" w:type="dxa"/>
                  <w:tcBorders>
                    <w:tl2br w:val="nil"/>
                    <w:tr2bl w:val="nil"/>
                  </w:tcBorders>
                  <w:noWrap/>
                  <w:vAlign w:val="center"/>
                </w:tcPr>
                <w:p>
                  <w:pPr>
                    <w:pStyle w:val="23"/>
                    <w:adjustRightInd w:val="0"/>
                    <w:snapToGrid w:val="0"/>
                    <w:spacing w:after="0" w:line="240" w:lineRule="auto"/>
                    <w:jc w:val="center"/>
                  </w:pPr>
                  <w:r>
                    <w:t>动物</w:t>
                  </w:r>
                </w:p>
              </w:tc>
              <w:tc>
                <w:tcPr>
                  <w:tcW w:w="2160" w:type="dxa"/>
                  <w:tcBorders>
                    <w:tl2br w:val="nil"/>
                    <w:tr2bl w:val="nil"/>
                  </w:tcBorders>
                  <w:noWrap/>
                  <w:vAlign w:val="center"/>
                </w:tcPr>
                <w:p>
                  <w:pPr>
                    <w:pStyle w:val="23"/>
                    <w:adjustRightInd w:val="0"/>
                    <w:snapToGrid w:val="0"/>
                    <w:spacing w:after="0" w:line="240" w:lineRule="auto"/>
                    <w:jc w:val="center"/>
                  </w:pPr>
                  <w:r>
                    <w:t>采用样方调查方式监测项目区内野生动物活动情况，并与建设前情况进行比较，分析前后变化。采用实地调查与公众调查相结合的方式，集中于野生动物分布较多的区域。重点调查动物（以鸟类与兽类为主）的种类，出现频率，并分析其栖息地环境变化与恢复状况</w:t>
                  </w:r>
                </w:p>
              </w:tc>
              <w:tc>
                <w:tcPr>
                  <w:tcW w:w="1605" w:type="dxa"/>
                  <w:tcBorders>
                    <w:tl2br w:val="nil"/>
                    <w:tr2bl w:val="nil"/>
                  </w:tcBorders>
                  <w:noWrap/>
                  <w:vAlign w:val="center"/>
                </w:tcPr>
                <w:p>
                  <w:pPr>
                    <w:pStyle w:val="23"/>
                    <w:adjustRightInd w:val="0"/>
                    <w:snapToGrid w:val="0"/>
                    <w:spacing w:after="0" w:line="240" w:lineRule="auto"/>
                    <w:jc w:val="center"/>
                  </w:pPr>
                  <w:r>
                    <w:t>完工后2年，每个季度监测1次</w:t>
                  </w:r>
                </w:p>
              </w:tc>
              <w:tc>
                <w:tcPr>
                  <w:tcW w:w="1830" w:type="dxa"/>
                  <w:tcBorders>
                    <w:tl2br w:val="nil"/>
                    <w:tr2bl w:val="nil"/>
                  </w:tcBorders>
                  <w:noWrap/>
                  <w:vAlign w:val="center"/>
                </w:tcPr>
                <w:p>
                  <w:pPr>
                    <w:pStyle w:val="23"/>
                    <w:adjustRightInd w:val="0"/>
                    <w:snapToGrid w:val="0"/>
                    <w:spacing w:after="0" w:line="240" w:lineRule="auto"/>
                    <w:jc w:val="center"/>
                  </w:pPr>
                  <w:r>
                    <w:t>/</w:t>
                  </w:r>
                </w:p>
              </w:tc>
              <w:tc>
                <w:tcPr>
                  <w:tcW w:w="673" w:type="dxa"/>
                  <w:tcBorders>
                    <w:tl2br w:val="nil"/>
                    <w:tr2bl w:val="nil"/>
                  </w:tcBorders>
                  <w:noWrap/>
                  <w:vAlign w:val="center"/>
                </w:tcPr>
                <w:p>
                  <w:pPr>
                    <w:pStyle w:val="23"/>
                    <w:adjustRightInd w:val="0"/>
                    <w:snapToGrid w:val="0"/>
                    <w:spacing w:after="0" w:line="240" w:lineRule="auto"/>
                    <w:jc w:val="center"/>
                  </w:pPr>
                  <w:r>
                    <w:t>彭阳县水务局</w:t>
                  </w:r>
                </w:p>
              </w:tc>
            </w:tr>
          </w:tbl>
          <w:p>
            <w:pPr>
              <w:pStyle w:val="2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3" w:hRule="atLeast"/>
          <w:jc w:val="center"/>
        </w:trPr>
        <w:tc>
          <w:tcPr>
            <w:tcW w:w="753" w:type="dxa"/>
            <w:tcBorders>
              <w:tl2br w:val="nil"/>
              <w:tr2bl w:val="nil"/>
            </w:tcBorders>
            <w:noWrap/>
            <w:tcMar>
              <w:left w:w="28" w:type="dxa"/>
              <w:right w:w="28" w:type="dxa"/>
            </w:tcMar>
            <w:vAlign w:val="center"/>
          </w:tcPr>
          <w:p>
            <w:pPr>
              <w:adjustRightInd w:val="0"/>
              <w:snapToGrid w:val="0"/>
              <w:jc w:val="center"/>
              <w:rPr>
                <w:b/>
                <w:sz w:val="24"/>
                <w:szCs w:val="21"/>
              </w:rPr>
            </w:pPr>
            <w:r>
              <w:rPr>
                <w:b/>
                <w:sz w:val="24"/>
                <w:szCs w:val="21"/>
              </w:rPr>
              <w:t>运营期生态环境保护措施</w:t>
            </w:r>
          </w:p>
        </w:tc>
        <w:tc>
          <w:tcPr>
            <w:tcW w:w="8457" w:type="dxa"/>
            <w:tcBorders>
              <w:tl2br w:val="nil"/>
              <w:tr2bl w:val="nil"/>
            </w:tcBorders>
            <w:noWrap/>
          </w:tcPr>
          <w:p>
            <w:pPr>
              <w:ind w:firstLine="510" w:firstLineChars="200"/>
              <w:rPr>
                <w:b/>
                <w:sz w:val="24"/>
                <w:szCs w:val="21"/>
              </w:rPr>
            </w:pPr>
            <w:r>
              <w:rPr>
                <w:bCs/>
                <w:sz w:val="24"/>
                <w:szCs w:val="21"/>
              </w:rPr>
              <w:t>本项目为水库除险加固项目，本项目整治完成后，运营期无“三废”产生。</w:t>
            </w:r>
          </w:p>
          <w:p>
            <w:pPr>
              <w:autoSpaceDE w:val="0"/>
              <w:autoSpaceDN w:val="0"/>
              <w:spacing w:before="240" w:after="60"/>
              <w:jc w:val="left"/>
              <w:rPr>
                <w:rFonts w:eastAsia="黑体"/>
                <w:kern w:val="0"/>
                <w:sz w:val="24"/>
              </w:rPr>
            </w:pPr>
            <w:r>
              <w:rPr>
                <w:rFonts w:eastAsia="黑体"/>
                <w:kern w:val="0"/>
                <w:sz w:val="24"/>
              </w:rPr>
              <w:t>1、生态环境保护措施</w:t>
            </w:r>
          </w:p>
          <w:p>
            <w:pPr>
              <w:ind w:firstLine="510" w:firstLineChars="200"/>
              <w:rPr>
                <w:bCs/>
                <w:sz w:val="24"/>
                <w:szCs w:val="21"/>
              </w:rPr>
            </w:pPr>
            <w:r>
              <w:rPr>
                <w:bCs/>
                <w:sz w:val="24"/>
                <w:szCs w:val="21"/>
              </w:rPr>
              <w:t>（1）陆生生态</w:t>
            </w:r>
          </w:p>
          <w:p>
            <w:pPr>
              <w:ind w:firstLine="510" w:firstLineChars="200"/>
              <w:rPr>
                <w:bCs/>
                <w:sz w:val="24"/>
                <w:szCs w:val="21"/>
              </w:rPr>
            </w:pPr>
            <w:r>
              <w:rPr>
                <w:bCs/>
                <w:sz w:val="24"/>
                <w:szCs w:val="21"/>
              </w:rPr>
              <w:t>水库除险加固后与水库除险加固前相比较，不改变现状水库设计运行参数，除险加固后水土流失进一步减少，运营期对生态的影响为正效益。</w:t>
            </w:r>
          </w:p>
          <w:p>
            <w:pPr>
              <w:ind w:firstLine="510" w:firstLineChars="200"/>
              <w:rPr>
                <w:bCs/>
                <w:sz w:val="24"/>
                <w:szCs w:val="21"/>
              </w:rPr>
            </w:pPr>
            <w:r>
              <w:rPr>
                <w:bCs/>
                <w:sz w:val="24"/>
                <w:szCs w:val="21"/>
              </w:rPr>
              <w:t>（2）水生生态</w:t>
            </w:r>
          </w:p>
          <w:p>
            <w:pPr>
              <w:ind w:firstLine="510" w:firstLineChars="200"/>
              <w:rPr>
                <w:bCs/>
                <w:sz w:val="24"/>
                <w:szCs w:val="21"/>
              </w:rPr>
            </w:pPr>
            <w:r>
              <w:rPr>
                <w:bCs/>
                <w:sz w:val="24"/>
                <w:szCs w:val="21"/>
              </w:rPr>
              <w:t>运营期建设单位应按照有关部门做好沿岸的水土保持工程和绿化工程的维护和管理工作。按照生态环境、水政等部门做好水库水体的保护工作。沿岸严禁未经生态环境局批准，私自设立废水排放口，严禁私自排放生活污水。按照水政、市政、生态环境、城管、环卫等部门做好水库周边的环境和景观的管理工作。加强巡查，严禁在水库周边倾倒垃圾及其他杂物，严禁在水库边圈养禽畜，严禁在水库边搭盖建筑物。及时清除水库周边及水面垃圾、杂质，保持水库周边及水面清洁和美观。水库除险加固后以后，更有利于防止水土流失，岸上雨水径流中夹带的污染物质不易直接排入河道和水库，势必会改善水库的水质因此，原有的被利用的水域水质将有明显改善，对生态环境有正效益。</w:t>
            </w:r>
          </w:p>
          <w:p>
            <w:pPr>
              <w:autoSpaceDE w:val="0"/>
              <w:autoSpaceDN w:val="0"/>
              <w:spacing w:before="240" w:after="60"/>
              <w:jc w:val="left"/>
              <w:rPr>
                <w:rFonts w:eastAsia="黑体"/>
                <w:kern w:val="0"/>
                <w:sz w:val="24"/>
              </w:rPr>
            </w:pPr>
            <w:r>
              <w:rPr>
                <w:rFonts w:eastAsia="黑体"/>
                <w:kern w:val="0"/>
                <w:sz w:val="24"/>
              </w:rPr>
              <w:t>2、大气环境保护措施</w:t>
            </w:r>
          </w:p>
          <w:p>
            <w:pPr>
              <w:ind w:firstLine="510" w:firstLineChars="200"/>
              <w:rPr>
                <w:b/>
                <w:sz w:val="24"/>
                <w:szCs w:val="21"/>
              </w:rPr>
            </w:pPr>
            <w:r>
              <w:rPr>
                <w:bCs/>
                <w:sz w:val="24"/>
                <w:szCs w:val="21"/>
              </w:rPr>
              <w:t>本项目运营期自身不产生废气，不会对大气环境造成影响。</w:t>
            </w:r>
          </w:p>
          <w:p>
            <w:pPr>
              <w:autoSpaceDE w:val="0"/>
              <w:autoSpaceDN w:val="0"/>
              <w:spacing w:before="240" w:after="60"/>
              <w:jc w:val="left"/>
              <w:rPr>
                <w:rFonts w:eastAsia="黑体"/>
                <w:kern w:val="0"/>
                <w:sz w:val="24"/>
              </w:rPr>
            </w:pPr>
            <w:r>
              <w:rPr>
                <w:rFonts w:eastAsia="黑体"/>
                <w:kern w:val="0"/>
                <w:sz w:val="24"/>
              </w:rPr>
              <w:t>3、地表水环境保护措施</w:t>
            </w:r>
          </w:p>
          <w:p>
            <w:pPr>
              <w:ind w:firstLine="510" w:firstLineChars="200"/>
              <w:rPr>
                <w:bCs/>
                <w:sz w:val="24"/>
                <w:szCs w:val="21"/>
              </w:rPr>
            </w:pPr>
            <w:r>
              <w:rPr>
                <w:bCs/>
                <w:sz w:val="24"/>
                <w:szCs w:val="21"/>
              </w:rPr>
              <w:t>（1）灌溉水</w:t>
            </w:r>
          </w:p>
          <w:p>
            <w:pPr>
              <w:ind w:firstLine="510" w:firstLineChars="200"/>
              <w:rPr>
                <w:bCs/>
                <w:sz w:val="24"/>
                <w:szCs w:val="21"/>
              </w:rPr>
            </w:pPr>
            <w:r>
              <w:rPr>
                <w:bCs/>
                <w:sz w:val="24"/>
                <w:szCs w:val="21"/>
              </w:rPr>
              <w:t>水库除险加固后以后，更有利于防止水土流失，会改善水库的水质灌溉水质与除险加固之前相比，得到了一定程度的改善。</w:t>
            </w:r>
          </w:p>
          <w:p>
            <w:pPr>
              <w:ind w:firstLine="510" w:firstLineChars="200"/>
              <w:rPr>
                <w:bCs/>
                <w:sz w:val="24"/>
                <w:szCs w:val="21"/>
              </w:rPr>
            </w:pPr>
            <w:r>
              <w:rPr>
                <w:bCs/>
                <w:sz w:val="24"/>
                <w:szCs w:val="21"/>
              </w:rPr>
              <w:t>（2）对水库所在河流影响</w:t>
            </w:r>
          </w:p>
          <w:p>
            <w:pPr>
              <w:ind w:firstLine="510" w:firstLineChars="200"/>
              <w:rPr>
                <w:bCs/>
                <w:sz w:val="24"/>
                <w:szCs w:val="21"/>
              </w:rPr>
            </w:pPr>
            <w:r>
              <w:rPr>
                <w:bCs/>
                <w:sz w:val="24"/>
                <w:szCs w:val="21"/>
              </w:rPr>
              <w:t>加强水库所在流域农业面源和农村生活污水的控制，减少污染物排入水库，同时建议在库位建设拦渣设施、建设小规模生态湿地进一步净化入库流水中的污染物。</w:t>
            </w:r>
          </w:p>
          <w:p>
            <w:pPr>
              <w:ind w:firstLine="510" w:firstLineChars="200"/>
              <w:rPr>
                <w:bCs/>
                <w:sz w:val="24"/>
                <w:szCs w:val="21"/>
              </w:rPr>
            </w:pPr>
            <w:r>
              <w:rPr>
                <w:bCs/>
                <w:sz w:val="24"/>
                <w:szCs w:val="21"/>
              </w:rPr>
              <w:t>（3）生活污水</w:t>
            </w:r>
          </w:p>
          <w:p>
            <w:pPr>
              <w:ind w:firstLine="510" w:firstLineChars="200"/>
              <w:rPr>
                <w:bCs/>
                <w:sz w:val="24"/>
                <w:szCs w:val="21"/>
              </w:rPr>
            </w:pPr>
            <w:r>
              <w:rPr>
                <w:bCs/>
                <w:sz w:val="24"/>
                <w:szCs w:val="21"/>
              </w:rPr>
              <w:t>本项目运营期不新增劳动定员，无生活污水产生。</w:t>
            </w:r>
          </w:p>
          <w:p>
            <w:pPr>
              <w:autoSpaceDE w:val="0"/>
              <w:autoSpaceDN w:val="0"/>
              <w:spacing w:before="240" w:after="60"/>
              <w:jc w:val="left"/>
              <w:rPr>
                <w:rFonts w:eastAsia="黑体"/>
                <w:kern w:val="0"/>
                <w:sz w:val="24"/>
              </w:rPr>
            </w:pPr>
            <w:r>
              <w:rPr>
                <w:rFonts w:eastAsia="黑体"/>
                <w:kern w:val="0"/>
                <w:sz w:val="24"/>
              </w:rPr>
              <w:t>4、声环境保护措施</w:t>
            </w:r>
          </w:p>
          <w:p>
            <w:pPr>
              <w:kinsoku w:val="0"/>
              <w:wordWrap w:val="0"/>
              <w:topLinePunct/>
              <w:ind w:firstLine="510" w:firstLineChars="200"/>
              <w:rPr>
                <w:kern w:val="0"/>
                <w:sz w:val="24"/>
              </w:rPr>
            </w:pPr>
            <w:r>
              <w:rPr>
                <w:kern w:val="0"/>
                <w:sz w:val="24"/>
              </w:rPr>
              <w:t>运营期无产噪设备。</w:t>
            </w:r>
          </w:p>
          <w:p>
            <w:pPr>
              <w:autoSpaceDE w:val="0"/>
              <w:autoSpaceDN w:val="0"/>
              <w:spacing w:before="240" w:after="60"/>
              <w:jc w:val="left"/>
              <w:rPr>
                <w:rFonts w:eastAsia="黑体"/>
                <w:kern w:val="0"/>
                <w:sz w:val="24"/>
              </w:rPr>
            </w:pPr>
            <w:r>
              <w:rPr>
                <w:rFonts w:eastAsia="黑体"/>
                <w:kern w:val="0"/>
                <w:sz w:val="24"/>
              </w:rPr>
              <w:t>5、固废环境保护措施</w:t>
            </w:r>
          </w:p>
          <w:p>
            <w:pPr>
              <w:ind w:firstLine="510" w:firstLineChars="200"/>
              <w:rPr>
                <w:bCs/>
                <w:sz w:val="24"/>
                <w:szCs w:val="21"/>
              </w:rPr>
            </w:pPr>
            <w:r>
              <w:rPr>
                <w:bCs/>
                <w:sz w:val="24"/>
                <w:szCs w:val="21"/>
              </w:rPr>
              <w:t>本项目运营期无固废产生。</w:t>
            </w:r>
          </w:p>
          <w:p>
            <w:pPr>
              <w:autoSpaceDE w:val="0"/>
              <w:autoSpaceDN w:val="0"/>
              <w:spacing w:before="240" w:after="60"/>
              <w:jc w:val="left"/>
              <w:rPr>
                <w:rFonts w:eastAsia="黑体"/>
                <w:kern w:val="0"/>
                <w:sz w:val="24"/>
              </w:rPr>
            </w:pPr>
            <w:r>
              <w:rPr>
                <w:rFonts w:eastAsia="黑体"/>
                <w:kern w:val="0"/>
                <w:sz w:val="24"/>
              </w:rPr>
              <w:t>6、环境管理与监测计划</w:t>
            </w:r>
          </w:p>
          <w:p>
            <w:pPr>
              <w:pStyle w:val="86"/>
              <w:spacing w:line="240" w:lineRule="auto"/>
              <w:ind w:firstLine="512"/>
            </w:pPr>
            <w:r>
              <w:t>（1）环境管理</w:t>
            </w:r>
          </w:p>
          <w:p>
            <w:pPr>
              <w:pStyle w:val="86"/>
              <w:spacing w:line="240" w:lineRule="auto"/>
              <w:ind w:firstLine="512"/>
            </w:pPr>
            <w:r>
              <w:t>严格按照相关法律开展工作。依据有关法律，制定生态保护与建设的规章制度，保障经费、人力和物力投入。注重科学性和可行性相结合。生态环境保护措施应满足生态系统环境功能保护的客观需求，并考虑在现有技术和经济水平上可能实施的保护措施和所能达到的保护水平。提高针对性和注重实效。充分认识项目对自然、半自然生态系统的破坏性，加大生态重建与生态补偿的力度，注重生态保护措施的落实。加强监督管理能力建设。运营期主要管理内容为：对工程环境保护设计中有关生态保护和生态恢复的各项措施的实施效果进行检查和监督。</w:t>
            </w:r>
          </w:p>
          <w:p>
            <w:pPr>
              <w:pStyle w:val="86"/>
              <w:spacing w:line="240" w:lineRule="auto"/>
              <w:ind w:firstLine="512"/>
            </w:pPr>
            <w:r>
              <w:t>（2）环境监测</w:t>
            </w:r>
          </w:p>
          <w:p>
            <w:pPr>
              <w:ind w:firstLine="510" w:firstLineChars="200"/>
              <w:rPr>
                <w:rFonts w:eastAsia="黑体"/>
                <w:kern w:val="0"/>
                <w:sz w:val="24"/>
              </w:rPr>
            </w:pPr>
            <w:r>
              <w:rPr>
                <w:sz w:val="24"/>
              </w:rPr>
              <w:t>环境监测应按国家和地方的环保要求进行，应采用国家规定的标准监测方法，并应按照规定，定期向有关环境保护主管部门上报监测结果。本项目运营期主要监测内容为地表水环境监测和生态监测，对运营过程中实际产生的不利影响以及生态保护的有效性进行跟踪监测，并提出补救方案或者改进措施。本项目运营期的监测计划见表5-3。</w:t>
            </w:r>
          </w:p>
          <w:p>
            <w:pPr>
              <w:tabs>
                <w:tab w:val="left" w:pos="1745"/>
              </w:tabs>
              <w:kinsoku w:val="0"/>
              <w:overflowPunct w:val="0"/>
              <w:autoSpaceDE w:val="0"/>
              <w:autoSpaceDN w:val="0"/>
              <w:adjustRightInd w:val="0"/>
              <w:snapToGrid w:val="0"/>
              <w:jc w:val="center"/>
              <w:rPr>
                <w:kern w:val="0"/>
              </w:rPr>
            </w:pPr>
            <w:r>
              <w:rPr>
                <w:rFonts w:eastAsia="黑体"/>
                <w:kern w:val="0"/>
                <w:sz w:val="24"/>
              </w:rPr>
              <w:t>表5-3  本项目运营期环境监测计划表</w:t>
            </w:r>
          </w:p>
          <w:p>
            <w:pPr>
              <w:kinsoku w:val="0"/>
              <w:overflowPunct w:val="0"/>
              <w:spacing w:before="9" w:line="20" w:lineRule="exact"/>
              <w:rPr>
                <w:sz w:val="2"/>
                <w:szCs w:val="2"/>
              </w:rPr>
            </w:pPr>
          </w:p>
          <w:tbl>
            <w:tblPr>
              <w:tblStyle w:val="2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02"/>
              <w:gridCol w:w="621"/>
              <w:gridCol w:w="3219"/>
              <w:gridCol w:w="1396"/>
              <w:gridCol w:w="1591"/>
              <w:gridCol w:w="88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6" w:type="pct"/>
                  <w:noWrap/>
                  <w:vAlign w:val="center"/>
                </w:tcPr>
                <w:p>
                  <w:pPr>
                    <w:adjustRightInd w:val="0"/>
                    <w:snapToGrid w:val="0"/>
                    <w:jc w:val="center"/>
                    <w:rPr>
                      <w:b/>
                      <w:szCs w:val="21"/>
                    </w:rPr>
                  </w:pPr>
                  <w:r>
                    <w:rPr>
                      <w:b/>
                      <w:szCs w:val="21"/>
                    </w:rPr>
                    <w:t>实施</w:t>
                  </w:r>
                </w:p>
                <w:p>
                  <w:pPr>
                    <w:adjustRightInd w:val="0"/>
                    <w:snapToGrid w:val="0"/>
                    <w:jc w:val="center"/>
                    <w:rPr>
                      <w:b/>
                      <w:szCs w:val="21"/>
                    </w:rPr>
                  </w:pPr>
                  <w:r>
                    <w:rPr>
                      <w:b/>
                      <w:szCs w:val="21"/>
                    </w:rPr>
                    <w:t>阶段</w:t>
                  </w:r>
                </w:p>
              </w:tc>
              <w:tc>
                <w:tcPr>
                  <w:tcW w:w="378" w:type="pct"/>
                  <w:noWrap/>
                  <w:vAlign w:val="center"/>
                </w:tcPr>
                <w:p>
                  <w:pPr>
                    <w:adjustRightInd w:val="0"/>
                    <w:snapToGrid w:val="0"/>
                    <w:jc w:val="center"/>
                    <w:rPr>
                      <w:b/>
                      <w:szCs w:val="21"/>
                    </w:rPr>
                  </w:pPr>
                  <w:r>
                    <w:rPr>
                      <w:b/>
                      <w:szCs w:val="21"/>
                    </w:rPr>
                    <w:t>监测</w:t>
                  </w:r>
                </w:p>
                <w:p>
                  <w:pPr>
                    <w:adjustRightInd w:val="0"/>
                    <w:snapToGrid w:val="0"/>
                    <w:jc w:val="center"/>
                    <w:rPr>
                      <w:b/>
                      <w:szCs w:val="21"/>
                    </w:rPr>
                  </w:pPr>
                  <w:r>
                    <w:rPr>
                      <w:b/>
                      <w:szCs w:val="21"/>
                    </w:rPr>
                    <w:t>内容</w:t>
                  </w:r>
                </w:p>
              </w:tc>
              <w:tc>
                <w:tcPr>
                  <w:tcW w:w="1959" w:type="pct"/>
                  <w:noWrap/>
                  <w:vAlign w:val="center"/>
                </w:tcPr>
                <w:p>
                  <w:pPr>
                    <w:adjustRightInd w:val="0"/>
                    <w:snapToGrid w:val="0"/>
                    <w:jc w:val="center"/>
                    <w:rPr>
                      <w:b/>
                      <w:szCs w:val="21"/>
                    </w:rPr>
                  </w:pPr>
                  <w:r>
                    <w:rPr>
                      <w:b/>
                      <w:szCs w:val="21"/>
                    </w:rPr>
                    <w:t>监测项目</w:t>
                  </w:r>
                </w:p>
              </w:tc>
              <w:tc>
                <w:tcPr>
                  <w:tcW w:w="849" w:type="pct"/>
                  <w:noWrap/>
                  <w:vAlign w:val="center"/>
                </w:tcPr>
                <w:p>
                  <w:pPr>
                    <w:adjustRightInd w:val="0"/>
                    <w:snapToGrid w:val="0"/>
                    <w:jc w:val="center"/>
                    <w:rPr>
                      <w:b/>
                      <w:szCs w:val="21"/>
                    </w:rPr>
                  </w:pPr>
                  <w:r>
                    <w:rPr>
                      <w:b/>
                      <w:szCs w:val="21"/>
                    </w:rPr>
                    <w:t>监测点位</w:t>
                  </w:r>
                </w:p>
              </w:tc>
              <w:tc>
                <w:tcPr>
                  <w:tcW w:w="968" w:type="pct"/>
                  <w:noWrap/>
                  <w:vAlign w:val="center"/>
                </w:tcPr>
                <w:p>
                  <w:pPr>
                    <w:adjustRightInd w:val="0"/>
                    <w:snapToGrid w:val="0"/>
                    <w:jc w:val="center"/>
                    <w:rPr>
                      <w:b/>
                      <w:szCs w:val="21"/>
                    </w:rPr>
                  </w:pPr>
                  <w:r>
                    <w:rPr>
                      <w:b/>
                      <w:snapToGrid w:val="0"/>
                      <w:kern w:val="0"/>
                      <w:szCs w:val="21"/>
                    </w:rPr>
                    <w:t>监测时间、频次</w:t>
                  </w:r>
                </w:p>
              </w:tc>
              <w:tc>
                <w:tcPr>
                  <w:tcW w:w="537" w:type="pct"/>
                  <w:noWrap/>
                  <w:vAlign w:val="center"/>
                </w:tcPr>
                <w:p>
                  <w:pPr>
                    <w:adjustRightInd w:val="0"/>
                    <w:snapToGrid w:val="0"/>
                    <w:jc w:val="center"/>
                    <w:rPr>
                      <w:b/>
                      <w:snapToGrid w:val="0"/>
                      <w:kern w:val="0"/>
                      <w:szCs w:val="21"/>
                    </w:rPr>
                  </w:pPr>
                  <w:r>
                    <w:rPr>
                      <w:b/>
                      <w:snapToGrid w:val="0"/>
                      <w:kern w:val="0"/>
                      <w:szCs w:val="21"/>
                    </w:rPr>
                    <w:t>责任主体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6" w:type="pct"/>
                  <w:vMerge w:val="restart"/>
                  <w:noWrap/>
                  <w:vAlign w:val="center"/>
                </w:tcPr>
                <w:p>
                  <w:pPr>
                    <w:adjustRightInd w:val="0"/>
                    <w:snapToGrid w:val="0"/>
                    <w:jc w:val="center"/>
                    <w:rPr>
                      <w:b/>
                      <w:szCs w:val="21"/>
                    </w:rPr>
                  </w:pPr>
                  <w:r>
                    <w:rPr>
                      <w:b/>
                      <w:szCs w:val="21"/>
                    </w:rPr>
                    <w:t>营</w:t>
                  </w:r>
                </w:p>
                <w:p>
                  <w:pPr>
                    <w:adjustRightInd w:val="0"/>
                    <w:snapToGrid w:val="0"/>
                    <w:jc w:val="center"/>
                    <w:rPr>
                      <w:b/>
                      <w:szCs w:val="21"/>
                    </w:rPr>
                  </w:pPr>
                  <w:r>
                    <w:rPr>
                      <w:b/>
                      <w:szCs w:val="21"/>
                    </w:rPr>
                    <w:t>运</w:t>
                  </w:r>
                </w:p>
                <w:p>
                  <w:pPr>
                    <w:adjustRightInd w:val="0"/>
                    <w:snapToGrid w:val="0"/>
                    <w:jc w:val="center"/>
                    <w:rPr>
                      <w:b/>
                      <w:szCs w:val="21"/>
                    </w:rPr>
                  </w:pPr>
                  <w:r>
                    <w:rPr>
                      <w:b/>
                      <w:szCs w:val="21"/>
                    </w:rPr>
                    <w:t>期</w:t>
                  </w:r>
                </w:p>
              </w:tc>
              <w:tc>
                <w:tcPr>
                  <w:tcW w:w="378" w:type="pct"/>
                  <w:noWrap/>
                  <w:vAlign w:val="center"/>
                </w:tcPr>
                <w:p>
                  <w:pPr>
                    <w:adjustRightInd w:val="0"/>
                    <w:snapToGrid w:val="0"/>
                    <w:jc w:val="center"/>
                    <w:rPr>
                      <w:szCs w:val="21"/>
                    </w:rPr>
                  </w:pPr>
                  <w:r>
                    <w:rPr>
                      <w:szCs w:val="21"/>
                    </w:rPr>
                    <w:t>地表水</w:t>
                  </w:r>
                </w:p>
              </w:tc>
              <w:tc>
                <w:tcPr>
                  <w:tcW w:w="1959" w:type="pct"/>
                  <w:noWrap/>
                  <w:vAlign w:val="center"/>
                </w:tcPr>
                <w:p>
                  <w:pPr>
                    <w:adjustRightInd w:val="0"/>
                    <w:snapToGrid w:val="0"/>
                    <w:jc w:val="center"/>
                    <w:rPr>
                      <w:szCs w:val="21"/>
                    </w:rPr>
                  </w:pPr>
                  <w:r>
                    <w:rPr>
                      <w:szCs w:val="21"/>
                    </w:rPr>
                    <w:t>水温、pH值、溶解氧、高锰酸盐指数、化学需氧量、五日生化需氧量、氨氮、总磷、总氮、铜、锌、氟化物、硒、砷、汞、镉、铬（六价）、铅、氰化物、挥发酚、石油类、阴离子表面活性剂、硫化物、粪大肠菌群、透明度、叶绿素a</w:t>
                  </w:r>
                </w:p>
              </w:tc>
              <w:tc>
                <w:tcPr>
                  <w:tcW w:w="849" w:type="pct"/>
                  <w:noWrap/>
                  <w:vAlign w:val="center"/>
                </w:tcPr>
                <w:p>
                  <w:pPr>
                    <w:adjustRightInd w:val="0"/>
                    <w:snapToGrid w:val="0"/>
                    <w:jc w:val="center"/>
                    <w:rPr>
                      <w:szCs w:val="21"/>
                    </w:rPr>
                  </w:pPr>
                  <w:r>
                    <w:rPr>
                      <w:szCs w:val="21"/>
                    </w:rPr>
                    <w:t>库区</w:t>
                  </w:r>
                </w:p>
              </w:tc>
              <w:tc>
                <w:tcPr>
                  <w:tcW w:w="968" w:type="pct"/>
                  <w:noWrap/>
                  <w:vAlign w:val="center"/>
                </w:tcPr>
                <w:p>
                  <w:pPr>
                    <w:adjustRightInd w:val="0"/>
                    <w:snapToGrid w:val="0"/>
                    <w:jc w:val="center"/>
                    <w:rPr>
                      <w:szCs w:val="21"/>
                    </w:rPr>
                  </w:pPr>
                  <w:r>
                    <w:rPr>
                      <w:szCs w:val="21"/>
                    </w:rPr>
                    <w:t>每年采样1次，具体采样次数视当年变化而定，一般需连续采样三天，每天一次</w:t>
                  </w:r>
                </w:p>
              </w:tc>
              <w:tc>
                <w:tcPr>
                  <w:tcW w:w="537" w:type="pct"/>
                  <w:noWrap/>
                  <w:vAlign w:val="center"/>
                </w:tcPr>
                <w:p>
                  <w:pPr>
                    <w:adjustRightInd w:val="0"/>
                    <w:snapToGrid w:val="0"/>
                    <w:jc w:val="center"/>
                    <w:rPr>
                      <w:szCs w:val="21"/>
                    </w:rPr>
                  </w:pPr>
                  <w:r>
                    <w:rPr>
                      <w:szCs w:val="21"/>
                    </w:rPr>
                    <w:t>彭阳县水务局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6" w:type="pct"/>
                  <w:vMerge w:val="continue"/>
                  <w:noWrap/>
                  <w:vAlign w:val="center"/>
                </w:tcPr>
                <w:p>
                  <w:pPr>
                    <w:adjustRightInd w:val="0"/>
                    <w:snapToGrid w:val="0"/>
                    <w:jc w:val="center"/>
                    <w:rPr>
                      <w:b/>
                      <w:szCs w:val="21"/>
                    </w:rPr>
                  </w:pPr>
                </w:p>
              </w:tc>
              <w:tc>
                <w:tcPr>
                  <w:tcW w:w="378" w:type="pct"/>
                  <w:noWrap/>
                  <w:vAlign w:val="center"/>
                </w:tcPr>
                <w:p>
                  <w:pPr>
                    <w:adjustRightInd w:val="0"/>
                    <w:snapToGrid w:val="0"/>
                    <w:jc w:val="center"/>
                    <w:rPr>
                      <w:szCs w:val="21"/>
                    </w:rPr>
                  </w:pPr>
                  <w:r>
                    <w:rPr>
                      <w:szCs w:val="21"/>
                    </w:rPr>
                    <w:t>生态</w:t>
                  </w:r>
                </w:p>
                <w:p>
                  <w:pPr>
                    <w:adjustRightInd w:val="0"/>
                    <w:snapToGrid w:val="0"/>
                    <w:jc w:val="center"/>
                    <w:rPr>
                      <w:szCs w:val="21"/>
                    </w:rPr>
                  </w:pPr>
                  <w:r>
                    <w:rPr>
                      <w:szCs w:val="21"/>
                    </w:rPr>
                    <w:t>环境</w:t>
                  </w:r>
                </w:p>
              </w:tc>
              <w:tc>
                <w:tcPr>
                  <w:tcW w:w="1959" w:type="pct"/>
                  <w:noWrap/>
                  <w:vAlign w:val="center"/>
                </w:tcPr>
                <w:p>
                  <w:pPr>
                    <w:adjustRightInd w:val="0"/>
                    <w:snapToGrid w:val="0"/>
                    <w:jc w:val="center"/>
                    <w:rPr>
                      <w:snapToGrid w:val="0"/>
                      <w:kern w:val="0"/>
                      <w:szCs w:val="21"/>
                    </w:rPr>
                  </w:pPr>
                  <w:r>
                    <w:rPr>
                      <w:snapToGrid w:val="0"/>
                      <w:kern w:val="0"/>
                      <w:szCs w:val="21"/>
                    </w:rPr>
                    <w:t>区域水土流失量的变化情况，防治措施的实施数量及效果观测，水土流失面积，取土场等临时占地恢复情况，林草措施成活率、盖度</w:t>
                  </w:r>
                </w:p>
              </w:tc>
              <w:tc>
                <w:tcPr>
                  <w:tcW w:w="849" w:type="pct"/>
                  <w:noWrap/>
                  <w:vAlign w:val="center"/>
                </w:tcPr>
                <w:p>
                  <w:pPr>
                    <w:adjustRightInd w:val="0"/>
                    <w:snapToGrid w:val="0"/>
                    <w:jc w:val="center"/>
                    <w:rPr>
                      <w:snapToGrid w:val="0"/>
                      <w:kern w:val="0"/>
                      <w:szCs w:val="21"/>
                    </w:rPr>
                  </w:pPr>
                  <w:r>
                    <w:rPr>
                      <w:snapToGrid w:val="0"/>
                      <w:kern w:val="0"/>
                      <w:szCs w:val="21"/>
                    </w:rPr>
                    <w:t>工程区域内</w:t>
                  </w:r>
                </w:p>
              </w:tc>
              <w:tc>
                <w:tcPr>
                  <w:tcW w:w="968" w:type="pct"/>
                  <w:noWrap/>
                  <w:vAlign w:val="center"/>
                </w:tcPr>
                <w:p>
                  <w:pPr>
                    <w:adjustRightInd w:val="0"/>
                    <w:snapToGrid w:val="0"/>
                    <w:jc w:val="center"/>
                    <w:rPr>
                      <w:szCs w:val="21"/>
                    </w:rPr>
                  </w:pPr>
                  <w:r>
                    <w:rPr>
                      <w:snapToGrid w:val="0"/>
                      <w:kern w:val="0"/>
                      <w:szCs w:val="21"/>
                    </w:rPr>
                    <w:t>项目完工后连续三年，1次/年</w:t>
                  </w:r>
                </w:p>
              </w:tc>
              <w:tc>
                <w:tcPr>
                  <w:tcW w:w="537" w:type="pct"/>
                  <w:noWrap/>
                  <w:vAlign w:val="center"/>
                </w:tcPr>
                <w:p>
                  <w:pPr>
                    <w:adjustRightInd w:val="0"/>
                    <w:snapToGrid w:val="0"/>
                    <w:jc w:val="center"/>
                    <w:rPr>
                      <w:snapToGrid w:val="0"/>
                      <w:kern w:val="0"/>
                      <w:szCs w:val="21"/>
                    </w:rPr>
                  </w:pPr>
                  <w:r>
                    <w:rPr>
                      <w:szCs w:val="21"/>
                    </w:rPr>
                    <w:t>彭阳县水务局</w:t>
                  </w:r>
                </w:p>
              </w:tc>
            </w:tr>
          </w:tbl>
          <w:p>
            <w:pPr>
              <w:pStyle w:val="47"/>
              <w:ind w:firstLine="512"/>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753" w:type="dxa"/>
            <w:tcBorders>
              <w:tl2br w:val="nil"/>
              <w:tr2bl w:val="nil"/>
            </w:tcBorders>
            <w:noWrap/>
            <w:vAlign w:val="center"/>
          </w:tcPr>
          <w:p>
            <w:pPr>
              <w:adjustRightInd w:val="0"/>
              <w:snapToGrid w:val="0"/>
              <w:jc w:val="center"/>
              <w:rPr>
                <w:b/>
                <w:sz w:val="24"/>
                <w:szCs w:val="21"/>
              </w:rPr>
            </w:pPr>
            <w:r>
              <w:rPr>
                <w:b/>
                <w:sz w:val="24"/>
                <w:szCs w:val="21"/>
              </w:rPr>
              <w:t>其他</w:t>
            </w:r>
          </w:p>
        </w:tc>
        <w:tc>
          <w:tcPr>
            <w:tcW w:w="8457" w:type="dxa"/>
            <w:tcBorders>
              <w:tl2br w:val="nil"/>
              <w:tr2bl w:val="nil"/>
            </w:tcBorders>
            <w:noWrap/>
            <w:vAlign w:val="center"/>
          </w:tcPr>
          <w:p>
            <w:pPr>
              <w:adjustRightInd w:val="0"/>
              <w:snapToGrid w:val="0"/>
              <w:jc w:val="center"/>
              <w:rPr>
                <w:bCs/>
                <w:sz w:val="24"/>
                <w:szCs w:val="21"/>
              </w:rPr>
            </w:pPr>
            <w:r>
              <w:rPr>
                <w:bCs/>
                <w:sz w:val="24"/>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3" w:type="dxa"/>
            <w:tcBorders>
              <w:tl2br w:val="nil"/>
              <w:tr2bl w:val="nil"/>
            </w:tcBorders>
            <w:noWrap/>
            <w:vAlign w:val="center"/>
          </w:tcPr>
          <w:p>
            <w:pPr>
              <w:adjustRightInd w:val="0"/>
              <w:snapToGrid w:val="0"/>
              <w:jc w:val="center"/>
              <w:rPr>
                <w:b/>
                <w:sz w:val="24"/>
                <w:szCs w:val="21"/>
              </w:rPr>
            </w:pPr>
            <w:r>
              <w:rPr>
                <w:b/>
                <w:sz w:val="24"/>
                <w:szCs w:val="21"/>
              </w:rPr>
              <w:t>环保投资</w:t>
            </w:r>
          </w:p>
        </w:tc>
        <w:tc>
          <w:tcPr>
            <w:tcW w:w="8457" w:type="dxa"/>
            <w:tcBorders>
              <w:tl2br w:val="nil"/>
              <w:tr2bl w:val="nil"/>
            </w:tcBorders>
            <w:noWrap/>
            <w:vAlign w:val="center"/>
          </w:tcPr>
          <w:p>
            <w:pPr>
              <w:ind w:firstLine="510" w:firstLineChars="200"/>
              <w:rPr>
                <w:kern w:val="0"/>
                <w:sz w:val="24"/>
              </w:rPr>
            </w:pPr>
            <w:r>
              <w:rPr>
                <w:kern w:val="0"/>
                <w:sz w:val="24"/>
              </w:rPr>
              <w:t>本水库除险加固工程总投资为1486.56万元，其中环保措施投资共计36.2万元，占总投资的2.44%。</w:t>
            </w:r>
          </w:p>
          <w:p>
            <w:pPr>
              <w:pStyle w:val="22"/>
              <w:adjustRightInd w:val="0"/>
              <w:snapToGrid w:val="0"/>
              <w:spacing w:line="240" w:lineRule="auto"/>
              <w:ind w:left="0" w:leftChars="0"/>
              <w:jc w:val="center"/>
              <w:rPr>
                <w:rFonts w:eastAsia="黑体"/>
                <w:spacing w:val="0"/>
                <w:kern w:val="0"/>
              </w:rPr>
            </w:pPr>
            <w:r>
              <w:rPr>
                <w:rFonts w:eastAsia="黑体"/>
                <w:spacing w:val="0"/>
                <w:kern w:val="0"/>
              </w:rPr>
              <w:t>表5-4  环保设施组成及投资估算一览表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2"/>
              <w:gridCol w:w="773"/>
              <w:gridCol w:w="954"/>
              <w:gridCol w:w="4028"/>
              <w:gridCol w:w="985"/>
              <w:gridCol w:w="7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90" w:type="pct"/>
                  <w:gridSpan w:val="3"/>
                  <w:tcBorders>
                    <w:tl2br w:val="nil"/>
                    <w:tr2bl w:val="nil"/>
                  </w:tcBorders>
                  <w:noWrap/>
                  <w:vAlign w:val="center"/>
                </w:tcPr>
                <w:p>
                  <w:pPr>
                    <w:pStyle w:val="70"/>
                    <w:snapToGrid w:val="0"/>
                    <w:rPr>
                      <w:b/>
                      <w:bCs/>
                    </w:rPr>
                  </w:pPr>
                  <w:r>
                    <w:rPr>
                      <w:b/>
                      <w:bCs/>
                    </w:rPr>
                    <w:t>类别</w:t>
                  </w:r>
                </w:p>
              </w:tc>
              <w:tc>
                <w:tcPr>
                  <w:tcW w:w="2453" w:type="pct"/>
                  <w:tcBorders>
                    <w:tl2br w:val="nil"/>
                    <w:tr2bl w:val="nil"/>
                  </w:tcBorders>
                  <w:noWrap/>
                  <w:vAlign w:val="center"/>
                </w:tcPr>
                <w:p>
                  <w:pPr>
                    <w:pStyle w:val="70"/>
                    <w:snapToGrid w:val="0"/>
                    <w:rPr>
                      <w:b/>
                      <w:bCs/>
                    </w:rPr>
                  </w:pPr>
                  <w:r>
                    <w:rPr>
                      <w:b/>
                      <w:bCs/>
                    </w:rPr>
                    <w:t>治理措施</w:t>
                  </w:r>
                </w:p>
              </w:tc>
              <w:tc>
                <w:tcPr>
                  <w:tcW w:w="600" w:type="pct"/>
                  <w:tcBorders>
                    <w:tl2br w:val="nil"/>
                    <w:tr2bl w:val="nil"/>
                  </w:tcBorders>
                  <w:noWrap/>
                  <w:vAlign w:val="center"/>
                </w:tcPr>
                <w:p>
                  <w:pPr>
                    <w:pStyle w:val="70"/>
                    <w:snapToGrid w:val="0"/>
                    <w:rPr>
                      <w:b/>
                      <w:bCs/>
                    </w:rPr>
                  </w:pPr>
                  <w:r>
                    <w:rPr>
                      <w:b/>
                      <w:bCs/>
                    </w:rPr>
                    <w:t>环保投资（万元）</w:t>
                  </w:r>
                </w:p>
              </w:tc>
              <w:tc>
                <w:tcPr>
                  <w:tcW w:w="456" w:type="pct"/>
                  <w:tcBorders>
                    <w:tl2br w:val="nil"/>
                    <w:tr2bl w:val="nil"/>
                  </w:tcBorders>
                  <w:noWrap/>
                  <w:vAlign w:val="center"/>
                </w:tcPr>
                <w:p>
                  <w:pPr>
                    <w:pStyle w:val="70"/>
                    <w:snapToGrid w:val="0"/>
                    <w:rPr>
                      <w:b/>
                      <w:bCs/>
                    </w:rPr>
                  </w:pPr>
                  <w:r>
                    <w:rPr>
                      <w:b/>
                      <w:bC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9" w:type="pct"/>
                  <w:vMerge w:val="restart"/>
                  <w:tcBorders>
                    <w:tl2br w:val="nil"/>
                    <w:tr2bl w:val="nil"/>
                  </w:tcBorders>
                  <w:noWrap/>
                  <w:vAlign w:val="center"/>
                </w:tcPr>
                <w:p>
                  <w:pPr>
                    <w:pStyle w:val="70"/>
                    <w:snapToGrid w:val="0"/>
                  </w:pPr>
                  <w:r>
                    <w:t>废水治理</w:t>
                  </w:r>
                </w:p>
              </w:tc>
              <w:tc>
                <w:tcPr>
                  <w:tcW w:w="470" w:type="pct"/>
                  <w:vMerge w:val="restart"/>
                  <w:tcBorders>
                    <w:tl2br w:val="nil"/>
                    <w:tr2bl w:val="nil"/>
                  </w:tcBorders>
                  <w:noWrap/>
                  <w:vAlign w:val="center"/>
                </w:tcPr>
                <w:p>
                  <w:pPr>
                    <w:pStyle w:val="70"/>
                    <w:snapToGrid w:val="0"/>
                  </w:pPr>
                  <w:r>
                    <w:t>施工期</w:t>
                  </w:r>
                </w:p>
              </w:tc>
              <w:tc>
                <w:tcPr>
                  <w:tcW w:w="580" w:type="pct"/>
                  <w:tcBorders>
                    <w:tl2br w:val="nil"/>
                    <w:tr2bl w:val="nil"/>
                  </w:tcBorders>
                  <w:noWrap/>
                  <w:vAlign w:val="center"/>
                </w:tcPr>
                <w:p>
                  <w:pPr>
                    <w:pStyle w:val="70"/>
                    <w:snapToGrid w:val="0"/>
                  </w:pPr>
                  <w:r>
                    <w:t>施工</w:t>
                  </w:r>
                </w:p>
                <w:p>
                  <w:pPr>
                    <w:pStyle w:val="70"/>
                    <w:snapToGrid w:val="0"/>
                  </w:pPr>
                  <w:r>
                    <w:t>废水</w:t>
                  </w:r>
                </w:p>
              </w:tc>
              <w:tc>
                <w:tcPr>
                  <w:tcW w:w="2453" w:type="pct"/>
                  <w:tcBorders>
                    <w:tl2br w:val="nil"/>
                    <w:tr2bl w:val="nil"/>
                  </w:tcBorders>
                  <w:noWrap/>
                  <w:vAlign w:val="center"/>
                </w:tcPr>
                <w:p>
                  <w:pPr>
                    <w:pStyle w:val="70"/>
                    <w:snapToGrid w:val="0"/>
                    <w:ind w:firstLine="450" w:firstLineChars="200"/>
                    <w:jc w:val="both"/>
                  </w:pPr>
                  <w:r>
                    <w:t>设置10m</w:t>
                  </w:r>
                  <w:r>
                    <w:rPr>
                      <w:vertAlign w:val="superscript"/>
                    </w:rPr>
                    <w:t>3</w:t>
                  </w:r>
                  <w:r>
                    <w:t>沉淀池，施工废水经处理后全部回用不外排。</w:t>
                  </w:r>
                </w:p>
              </w:tc>
              <w:tc>
                <w:tcPr>
                  <w:tcW w:w="600" w:type="pct"/>
                  <w:tcBorders>
                    <w:tl2br w:val="nil"/>
                    <w:tr2bl w:val="nil"/>
                  </w:tcBorders>
                  <w:noWrap/>
                  <w:vAlign w:val="center"/>
                </w:tcPr>
                <w:p>
                  <w:pPr>
                    <w:pStyle w:val="70"/>
                    <w:snapToGrid w:val="0"/>
                  </w:pPr>
                  <w:r>
                    <w:t>1.0</w:t>
                  </w:r>
                </w:p>
              </w:tc>
              <w:tc>
                <w:tcPr>
                  <w:tcW w:w="456" w:type="pct"/>
                  <w:tcBorders>
                    <w:tl2br w:val="nil"/>
                    <w:tr2bl w:val="nil"/>
                  </w:tcBorders>
                  <w:noWrap/>
                  <w:vAlign w:val="center"/>
                </w:tcPr>
                <w:p>
                  <w:pPr>
                    <w:pStyle w:val="70"/>
                    <w:snapToGrid w:val="0"/>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9" w:type="pct"/>
                  <w:tcBorders>
                    <w:tl2br w:val="nil"/>
                    <w:tr2bl w:val="nil"/>
                  </w:tcBorders>
                  <w:noWrap/>
                  <w:vAlign w:val="center"/>
                </w:tcPr>
                <w:p>
                  <w:pPr>
                    <w:pStyle w:val="70"/>
                    <w:snapToGrid w:val="0"/>
                  </w:pPr>
                  <w:r>
                    <w:t>大气治理</w:t>
                  </w:r>
                </w:p>
              </w:tc>
              <w:tc>
                <w:tcPr>
                  <w:tcW w:w="470" w:type="pct"/>
                  <w:tcBorders>
                    <w:tl2br w:val="nil"/>
                    <w:tr2bl w:val="nil"/>
                  </w:tcBorders>
                  <w:noWrap/>
                  <w:vAlign w:val="center"/>
                </w:tcPr>
                <w:p>
                  <w:pPr>
                    <w:pStyle w:val="70"/>
                    <w:snapToGrid w:val="0"/>
                  </w:pPr>
                  <w:r>
                    <w:t>施工期</w:t>
                  </w:r>
                </w:p>
              </w:tc>
              <w:tc>
                <w:tcPr>
                  <w:tcW w:w="580" w:type="pct"/>
                  <w:tcBorders>
                    <w:tl2br w:val="nil"/>
                    <w:tr2bl w:val="nil"/>
                  </w:tcBorders>
                  <w:noWrap/>
                  <w:vAlign w:val="center"/>
                </w:tcPr>
                <w:p>
                  <w:pPr>
                    <w:pStyle w:val="70"/>
                    <w:snapToGrid w:val="0"/>
                  </w:pPr>
                  <w:r>
                    <w:t>施工</w:t>
                  </w:r>
                </w:p>
                <w:p>
                  <w:pPr>
                    <w:pStyle w:val="70"/>
                    <w:snapToGrid w:val="0"/>
                  </w:pPr>
                  <w:r>
                    <w:t>扬尘</w:t>
                  </w:r>
                </w:p>
              </w:tc>
              <w:tc>
                <w:tcPr>
                  <w:tcW w:w="2453" w:type="pct"/>
                  <w:tcBorders>
                    <w:tl2br w:val="nil"/>
                    <w:tr2bl w:val="nil"/>
                  </w:tcBorders>
                  <w:noWrap/>
                  <w:vAlign w:val="center"/>
                </w:tcPr>
                <w:p>
                  <w:pPr>
                    <w:pStyle w:val="70"/>
                    <w:snapToGrid w:val="0"/>
                    <w:ind w:firstLine="450" w:firstLineChars="200"/>
                    <w:jc w:val="both"/>
                  </w:pPr>
                  <w:r>
                    <w:t>采用湿法作业、加盖篷布、对散料堆场采用水喷淋防尘、严格执行“六必须”“六不准”等。</w:t>
                  </w:r>
                </w:p>
              </w:tc>
              <w:tc>
                <w:tcPr>
                  <w:tcW w:w="600" w:type="pct"/>
                  <w:tcBorders>
                    <w:tl2br w:val="nil"/>
                    <w:tr2bl w:val="nil"/>
                  </w:tcBorders>
                  <w:noWrap/>
                  <w:vAlign w:val="center"/>
                </w:tcPr>
                <w:p>
                  <w:pPr>
                    <w:pStyle w:val="70"/>
                    <w:snapToGrid w:val="0"/>
                  </w:pPr>
                  <w:r>
                    <w:t>5.0</w:t>
                  </w:r>
                </w:p>
              </w:tc>
              <w:tc>
                <w:tcPr>
                  <w:tcW w:w="456" w:type="pct"/>
                  <w:tcBorders>
                    <w:tl2br w:val="nil"/>
                    <w:tr2bl w:val="nil"/>
                  </w:tcBorders>
                  <w:noWrap/>
                  <w:vAlign w:val="center"/>
                </w:tcPr>
                <w:p>
                  <w:pPr>
                    <w:adjustRightInd w:val="0"/>
                    <w:snapToGrid w:val="0"/>
                    <w:jc w:val="center"/>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9" w:type="pct"/>
                  <w:vMerge w:val="restart"/>
                  <w:tcBorders>
                    <w:tl2br w:val="nil"/>
                    <w:tr2bl w:val="nil"/>
                  </w:tcBorders>
                  <w:noWrap/>
                  <w:vAlign w:val="center"/>
                </w:tcPr>
                <w:p>
                  <w:pPr>
                    <w:pStyle w:val="70"/>
                    <w:snapToGrid w:val="0"/>
                  </w:pPr>
                  <w:r>
                    <w:t>噪声治理</w:t>
                  </w:r>
                </w:p>
              </w:tc>
              <w:tc>
                <w:tcPr>
                  <w:tcW w:w="470" w:type="pct"/>
                  <w:tcBorders>
                    <w:tl2br w:val="nil"/>
                    <w:tr2bl w:val="nil"/>
                  </w:tcBorders>
                  <w:noWrap/>
                  <w:vAlign w:val="center"/>
                </w:tcPr>
                <w:p>
                  <w:pPr>
                    <w:pStyle w:val="70"/>
                    <w:snapToGrid w:val="0"/>
                  </w:pPr>
                  <w:r>
                    <w:t>施工期</w:t>
                  </w:r>
                </w:p>
              </w:tc>
              <w:tc>
                <w:tcPr>
                  <w:tcW w:w="580" w:type="pct"/>
                  <w:tcBorders>
                    <w:tl2br w:val="nil"/>
                    <w:tr2bl w:val="nil"/>
                  </w:tcBorders>
                  <w:noWrap/>
                  <w:vAlign w:val="center"/>
                </w:tcPr>
                <w:p>
                  <w:pPr>
                    <w:pStyle w:val="70"/>
                    <w:snapToGrid w:val="0"/>
                  </w:pPr>
                  <w:r>
                    <w:t>施工</w:t>
                  </w:r>
                </w:p>
                <w:p>
                  <w:pPr>
                    <w:pStyle w:val="70"/>
                    <w:snapToGrid w:val="0"/>
                  </w:pPr>
                  <w:r>
                    <w:t>噪声</w:t>
                  </w:r>
                </w:p>
              </w:tc>
              <w:tc>
                <w:tcPr>
                  <w:tcW w:w="2453" w:type="pct"/>
                  <w:tcBorders>
                    <w:tl2br w:val="nil"/>
                    <w:tr2bl w:val="nil"/>
                  </w:tcBorders>
                  <w:noWrap/>
                  <w:vAlign w:val="center"/>
                </w:tcPr>
                <w:p>
                  <w:pPr>
                    <w:pStyle w:val="70"/>
                    <w:snapToGrid w:val="0"/>
                    <w:ind w:firstLine="450" w:firstLineChars="200"/>
                    <w:jc w:val="both"/>
                  </w:pPr>
                  <w:r>
                    <w:t>合理布局、采用低噪声机械或设备、加强设备维护、合理安排施工时间。</w:t>
                  </w:r>
                </w:p>
              </w:tc>
              <w:tc>
                <w:tcPr>
                  <w:tcW w:w="600" w:type="pct"/>
                  <w:tcBorders>
                    <w:tl2br w:val="nil"/>
                    <w:tr2bl w:val="nil"/>
                  </w:tcBorders>
                  <w:noWrap/>
                  <w:vAlign w:val="center"/>
                </w:tcPr>
                <w:p>
                  <w:pPr>
                    <w:pStyle w:val="70"/>
                    <w:snapToGrid w:val="0"/>
                  </w:pPr>
                  <w:r>
                    <w:t>2.0</w:t>
                  </w:r>
                </w:p>
              </w:tc>
              <w:tc>
                <w:tcPr>
                  <w:tcW w:w="456" w:type="pct"/>
                  <w:tcBorders>
                    <w:tl2br w:val="nil"/>
                    <w:tr2bl w:val="nil"/>
                  </w:tcBorders>
                  <w:noWrap/>
                  <w:vAlign w:val="center"/>
                </w:tcPr>
                <w:p>
                  <w:pPr>
                    <w:adjustRightInd w:val="0"/>
                    <w:snapToGrid w:val="0"/>
                    <w:jc w:val="center"/>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9" w:type="pct"/>
                  <w:vMerge w:val="restart"/>
                  <w:tcBorders>
                    <w:tl2br w:val="nil"/>
                    <w:tr2bl w:val="nil"/>
                  </w:tcBorders>
                  <w:noWrap/>
                  <w:vAlign w:val="center"/>
                </w:tcPr>
                <w:p>
                  <w:pPr>
                    <w:pStyle w:val="70"/>
                    <w:snapToGrid w:val="0"/>
                  </w:pPr>
                  <w:r>
                    <w:t>固废治理</w:t>
                  </w:r>
                </w:p>
              </w:tc>
              <w:tc>
                <w:tcPr>
                  <w:tcW w:w="470" w:type="pct"/>
                  <w:vMerge w:val="restart"/>
                  <w:tcBorders>
                    <w:tl2br w:val="nil"/>
                    <w:tr2bl w:val="nil"/>
                  </w:tcBorders>
                  <w:noWrap/>
                  <w:vAlign w:val="center"/>
                </w:tcPr>
                <w:p>
                  <w:pPr>
                    <w:pStyle w:val="70"/>
                    <w:snapToGrid w:val="0"/>
                  </w:pPr>
                  <w:r>
                    <w:t>施工期</w:t>
                  </w:r>
                </w:p>
              </w:tc>
              <w:tc>
                <w:tcPr>
                  <w:tcW w:w="580" w:type="pct"/>
                  <w:tcBorders>
                    <w:tl2br w:val="nil"/>
                    <w:tr2bl w:val="nil"/>
                  </w:tcBorders>
                  <w:noWrap/>
                  <w:vAlign w:val="center"/>
                </w:tcPr>
                <w:p>
                  <w:pPr>
                    <w:pStyle w:val="70"/>
                    <w:snapToGrid w:val="0"/>
                  </w:pPr>
                  <w:r>
                    <w:t>建筑垃圾</w:t>
                  </w:r>
                </w:p>
              </w:tc>
              <w:tc>
                <w:tcPr>
                  <w:tcW w:w="2453" w:type="pct"/>
                  <w:tcBorders>
                    <w:tl2br w:val="nil"/>
                    <w:tr2bl w:val="nil"/>
                  </w:tcBorders>
                  <w:noWrap/>
                  <w:vAlign w:val="center"/>
                </w:tcPr>
                <w:p>
                  <w:pPr>
                    <w:pStyle w:val="70"/>
                    <w:snapToGrid w:val="0"/>
                    <w:ind w:firstLine="450" w:firstLineChars="200"/>
                    <w:jc w:val="both"/>
                  </w:pPr>
                  <w:r>
                    <w:t>运至垃圾填埋场。</w:t>
                  </w:r>
                </w:p>
              </w:tc>
              <w:tc>
                <w:tcPr>
                  <w:tcW w:w="600" w:type="pct"/>
                  <w:tcBorders>
                    <w:tl2br w:val="nil"/>
                    <w:tr2bl w:val="nil"/>
                  </w:tcBorders>
                  <w:noWrap/>
                  <w:vAlign w:val="center"/>
                </w:tcPr>
                <w:p>
                  <w:pPr>
                    <w:pStyle w:val="70"/>
                    <w:snapToGrid w:val="0"/>
                  </w:pPr>
                  <w:r>
                    <w:t>2.7</w:t>
                  </w:r>
                </w:p>
              </w:tc>
              <w:tc>
                <w:tcPr>
                  <w:tcW w:w="456" w:type="pct"/>
                  <w:tcBorders>
                    <w:tl2br w:val="nil"/>
                    <w:tr2bl w:val="nil"/>
                  </w:tcBorders>
                  <w:noWrap/>
                  <w:vAlign w:val="center"/>
                </w:tcPr>
                <w:p>
                  <w:pPr>
                    <w:adjustRightInd w:val="0"/>
                    <w:snapToGrid w:val="0"/>
                    <w:jc w:val="center"/>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9" w:type="pct"/>
                  <w:vMerge w:val="continue"/>
                  <w:tcBorders>
                    <w:tl2br w:val="nil"/>
                    <w:tr2bl w:val="nil"/>
                  </w:tcBorders>
                  <w:noWrap/>
                  <w:vAlign w:val="center"/>
                </w:tcPr>
                <w:p>
                  <w:pPr>
                    <w:pStyle w:val="70"/>
                    <w:snapToGrid w:val="0"/>
                  </w:pPr>
                </w:p>
              </w:tc>
              <w:tc>
                <w:tcPr>
                  <w:tcW w:w="470" w:type="pct"/>
                  <w:vMerge w:val="continue"/>
                  <w:tcBorders>
                    <w:tl2br w:val="nil"/>
                    <w:tr2bl w:val="nil"/>
                  </w:tcBorders>
                  <w:noWrap/>
                  <w:vAlign w:val="center"/>
                </w:tcPr>
                <w:p>
                  <w:pPr>
                    <w:pStyle w:val="70"/>
                    <w:snapToGrid w:val="0"/>
                  </w:pPr>
                </w:p>
              </w:tc>
              <w:tc>
                <w:tcPr>
                  <w:tcW w:w="580" w:type="pct"/>
                  <w:tcBorders>
                    <w:tl2br w:val="nil"/>
                    <w:tr2bl w:val="nil"/>
                  </w:tcBorders>
                  <w:noWrap/>
                  <w:vAlign w:val="center"/>
                </w:tcPr>
                <w:p>
                  <w:pPr>
                    <w:pStyle w:val="70"/>
                    <w:snapToGrid w:val="0"/>
                  </w:pPr>
                  <w:r>
                    <w:t>生活</w:t>
                  </w:r>
                </w:p>
                <w:p>
                  <w:pPr>
                    <w:pStyle w:val="70"/>
                    <w:snapToGrid w:val="0"/>
                  </w:pPr>
                  <w:r>
                    <w:t>垃圾</w:t>
                  </w:r>
                </w:p>
              </w:tc>
              <w:tc>
                <w:tcPr>
                  <w:tcW w:w="2453" w:type="pct"/>
                  <w:tcBorders>
                    <w:tl2br w:val="nil"/>
                    <w:tr2bl w:val="nil"/>
                  </w:tcBorders>
                  <w:noWrap/>
                  <w:vAlign w:val="center"/>
                </w:tcPr>
                <w:p>
                  <w:pPr>
                    <w:pStyle w:val="70"/>
                    <w:snapToGrid w:val="0"/>
                    <w:ind w:firstLine="450" w:firstLineChars="200"/>
                    <w:jc w:val="both"/>
                  </w:pPr>
                  <w:r>
                    <w:t>由环卫部门统一收集清运。</w:t>
                  </w:r>
                </w:p>
              </w:tc>
              <w:tc>
                <w:tcPr>
                  <w:tcW w:w="600" w:type="pct"/>
                  <w:tcBorders>
                    <w:tl2br w:val="nil"/>
                    <w:tr2bl w:val="nil"/>
                  </w:tcBorders>
                  <w:noWrap/>
                  <w:vAlign w:val="center"/>
                </w:tcPr>
                <w:p>
                  <w:pPr>
                    <w:pStyle w:val="70"/>
                    <w:snapToGrid w:val="0"/>
                  </w:pPr>
                  <w:r>
                    <w:t>0.5</w:t>
                  </w:r>
                </w:p>
              </w:tc>
              <w:tc>
                <w:tcPr>
                  <w:tcW w:w="456" w:type="pct"/>
                  <w:tcBorders>
                    <w:tl2br w:val="nil"/>
                    <w:tr2bl w:val="nil"/>
                  </w:tcBorders>
                  <w:noWrap/>
                  <w:vAlign w:val="center"/>
                </w:tcPr>
                <w:p>
                  <w:pPr>
                    <w:adjustRightInd w:val="0"/>
                    <w:snapToGrid w:val="0"/>
                    <w:jc w:val="center"/>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439" w:type="pct"/>
                  <w:vMerge w:val="restart"/>
                  <w:tcBorders>
                    <w:tl2br w:val="nil"/>
                    <w:tr2bl w:val="nil"/>
                  </w:tcBorders>
                  <w:noWrap/>
                  <w:vAlign w:val="center"/>
                </w:tcPr>
                <w:p>
                  <w:pPr>
                    <w:pStyle w:val="70"/>
                    <w:snapToGrid w:val="0"/>
                  </w:pPr>
                  <w:r>
                    <w:t>生态环境及水土流失</w:t>
                  </w:r>
                </w:p>
              </w:tc>
              <w:tc>
                <w:tcPr>
                  <w:tcW w:w="470" w:type="pct"/>
                  <w:tcBorders>
                    <w:tl2br w:val="nil"/>
                    <w:tr2bl w:val="nil"/>
                  </w:tcBorders>
                  <w:noWrap/>
                  <w:vAlign w:val="center"/>
                </w:tcPr>
                <w:p>
                  <w:pPr>
                    <w:pStyle w:val="70"/>
                    <w:snapToGrid w:val="0"/>
                  </w:pPr>
                  <w:r>
                    <w:t>施工期</w:t>
                  </w:r>
                </w:p>
              </w:tc>
              <w:tc>
                <w:tcPr>
                  <w:tcW w:w="580" w:type="pct"/>
                  <w:tcBorders>
                    <w:tl2br w:val="nil"/>
                    <w:tr2bl w:val="nil"/>
                  </w:tcBorders>
                  <w:noWrap/>
                  <w:vAlign w:val="center"/>
                </w:tcPr>
                <w:p>
                  <w:pPr>
                    <w:pStyle w:val="70"/>
                    <w:snapToGrid w:val="0"/>
                  </w:pPr>
                  <w:r>
                    <w:t>生态</w:t>
                  </w:r>
                </w:p>
                <w:p>
                  <w:pPr>
                    <w:pStyle w:val="70"/>
                    <w:snapToGrid w:val="0"/>
                  </w:pPr>
                  <w:r>
                    <w:t>影响</w:t>
                  </w:r>
                </w:p>
              </w:tc>
              <w:tc>
                <w:tcPr>
                  <w:tcW w:w="2453" w:type="pct"/>
                  <w:tcBorders>
                    <w:tl2br w:val="nil"/>
                    <w:tr2bl w:val="nil"/>
                  </w:tcBorders>
                  <w:noWrap/>
                  <w:vAlign w:val="center"/>
                </w:tcPr>
                <w:p>
                  <w:pPr>
                    <w:pStyle w:val="70"/>
                    <w:snapToGrid w:val="0"/>
                    <w:ind w:firstLine="450" w:firstLineChars="200"/>
                    <w:jc w:val="both"/>
                  </w:pPr>
                  <w:r>
                    <w:t>严格按照施工计划进行，临时占用其他草地进行表土剥离并妥善保存，施工结束后采用土地整治、植被恢复等措施，设置植被、土壤、鸟类等保护措施。</w:t>
                  </w:r>
                </w:p>
              </w:tc>
              <w:tc>
                <w:tcPr>
                  <w:tcW w:w="600" w:type="pct"/>
                  <w:tcBorders>
                    <w:tl2br w:val="nil"/>
                    <w:tr2bl w:val="nil"/>
                  </w:tcBorders>
                  <w:noWrap/>
                  <w:vAlign w:val="center"/>
                </w:tcPr>
                <w:p>
                  <w:pPr>
                    <w:pStyle w:val="70"/>
                    <w:snapToGrid w:val="0"/>
                  </w:pPr>
                  <w:r>
                    <w:t>12.0</w:t>
                  </w:r>
                </w:p>
              </w:tc>
              <w:tc>
                <w:tcPr>
                  <w:tcW w:w="456" w:type="pct"/>
                  <w:tcBorders>
                    <w:tl2br w:val="nil"/>
                    <w:tr2bl w:val="nil"/>
                  </w:tcBorders>
                  <w:noWrap/>
                  <w:vAlign w:val="center"/>
                </w:tcPr>
                <w:p>
                  <w:pPr>
                    <w:adjustRightInd w:val="0"/>
                    <w:snapToGrid w:val="0"/>
                    <w:jc w:val="center"/>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9" w:type="pct"/>
                  <w:vMerge w:val="continue"/>
                  <w:tcBorders>
                    <w:tl2br w:val="nil"/>
                    <w:tr2bl w:val="nil"/>
                  </w:tcBorders>
                  <w:noWrap/>
                  <w:vAlign w:val="center"/>
                </w:tcPr>
                <w:p>
                  <w:pPr>
                    <w:pStyle w:val="70"/>
                    <w:snapToGrid w:val="0"/>
                  </w:pPr>
                </w:p>
              </w:tc>
              <w:tc>
                <w:tcPr>
                  <w:tcW w:w="470" w:type="pct"/>
                  <w:tcBorders>
                    <w:tl2br w:val="nil"/>
                    <w:tr2bl w:val="nil"/>
                  </w:tcBorders>
                  <w:noWrap/>
                  <w:vAlign w:val="center"/>
                </w:tcPr>
                <w:p>
                  <w:pPr>
                    <w:pStyle w:val="70"/>
                    <w:snapToGrid w:val="0"/>
                  </w:pPr>
                  <w:r>
                    <w:t>运营期</w:t>
                  </w:r>
                </w:p>
              </w:tc>
              <w:tc>
                <w:tcPr>
                  <w:tcW w:w="580" w:type="pct"/>
                  <w:tcBorders>
                    <w:tl2br w:val="nil"/>
                    <w:tr2bl w:val="nil"/>
                  </w:tcBorders>
                  <w:noWrap/>
                  <w:vAlign w:val="center"/>
                </w:tcPr>
                <w:p>
                  <w:pPr>
                    <w:pStyle w:val="70"/>
                    <w:snapToGrid w:val="0"/>
                  </w:pPr>
                  <w:r>
                    <w:t>水土保持措施</w:t>
                  </w:r>
                </w:p>
              </w:tc>
              <w:tc>
                <w:tcPr>
                  <w:tcW w:w="2453" w:type="pct"/>
                  <w:tcBorders>
                    <w:tl2br w:val="nil"/>
                    <w:tr2bl w:val="nil"/>
                  </w:tcBorders>
                  <w:noWrap/>
                  <w:vAlign w:val="center"/>
                </w:tcPr>
                <w:p>
                  <w:pPr>
                    <w:pStyle w:val="70"/>
                    <w:snapToGrid w:val="0"/>
                    <w:ind w:firstLine="450" w:firstLineChars="200"/>
                    <w:jc w:val="both"/>
                  </w:pPr>
                  <w:r>
                    <w:t>按照水土保持方案要求，采取工程措施、临时措施、植被恢复等措施。</w:t>
                  </w:r>
                </w:p>
              </w:tc>
              <w:tc>
                <w:tcPr>
                  <w:tcW w:w="600" w:type="pct"/>
                  <w:tcBorders>
                    <w:tl2br w:val="nil"/>
                    <w:tr2bl w:val="nil"/>
                  </w:tcBorders>
                  <w:noWrap/>
                  <w:vAlign w:val="center"/>
                </w:tcPr>
                <w:p>
                  <w:pPr>
                    <w:pStyle w:val="70"/>
                    <w:snapToGrid w:val="0"/>
                  </w:pPr>
                  <w:r>
                    <w:t>8.0</w:t>
                  </w:r>
                </w:p>
              </w:tc>
              <w:tc>
                <w:tcPr>
                  <w:tcW w:w="456" w:type="pct"/>
                  <w:tcBorders>
                    <w:tl2br w:val="nil"/>
                    <w:tr2bl w:val="nil"/>
                  </w:tcBorders>
                  <w:noWrap/>
                  <w:vAlign w:val="center"/>
                </w:tcPr>
                <w:p>
                  <w:pPr>
                    <w:adjustRightInd w:val="0"/>
                    <w:snapToGrid w:val="0"/>
                    <w:jc w:val="center"/>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90" w:type="pct"/>
                  <w:gridSpan w:val="3"/>
                  <w:tcBorders>
                    <w:tl2br w:val="nil"/>
                    <w:tr2bl w:val="nil"/>
                  </w:tcBorders>
                  <w:noWrap/>
                  <w:vAlign w:val="center"/>
                </w:tcPr>
                <w:p>
                  <w:pPr>
                    <w:pStyle w:val="70"/>
                    <w:snapToGrid w:val="0"/>
                  </w:pPr>
                  <w:r>
                    <w:t>监测计划</w:t>
                  </w:r>
                </w:p>
              </w:tc>
              <w:tc>
                <w:tcPr>
                  <w:tcW w:w="2453" w:type="pct"/>
                  <w:tcBorders>
                    <w:tl2br w:val="nil"/>
                    <w:tr2bl w:val="nil"/>
                  </w:tcBorders>
                  <w:noWrap/>
                  <w:vAlign w:val="center"/>
                </w:tcPr>
                <w:p>
                  <w:pPr>
                    <w:pStyle w:val="70"/>
                    <w:snapToGrid w:val="0"/>
                    <w:ind w:firstLine="450" w:firstLineChars="200"/>
                    <w:jc w:val="both"/>
                  </w:pPr>
                  <w:r>
                    <w:t>对库区水质、取土场等临时占地恢复情况，林草措施成活率、覆盖度、水生生态、底泥监测进行监测。</w:t>
                  </w:r>
                </w:p>
              </w:tc>
              <w:tc>
                <w:tcPr>
                  <w:tcW w:w="600" w:type="pct"/>
                  <w:tcBorders>
                    <w:tl2br w:val="nil"/>
                    <w:tr2bl w:val="nil"/>
                  </w:tcBorders>
                  <w:noWrap/>
                  <w:vAlign w:val="center"/>
                </w:tcPr>
                <w:p>
                  <w:pPr>
                    <w:pStyle w:val="70"/>
                    <w:snapToGrid w:val="0"/>
                  </w:pPr>
                  <w:r>
                    <w:t>5.0</w:t>
                  </w:r>
                </w:p>
              </w:tc>
              <w:tc>
                <w:tcPr>
                  <w:tcW w:w="456" w:type="pct"/>
                  <w:tcBorders>
                    <w:tl2br w:val="nil"/>
                    <w:tr2bl w:val="nil"/>
                  </w:tcBorders>
                  <w:noWrap/>
                  <w:vAlign w:val="center"/>
                </w:tcPr>
                <w:p>
                  <w:pPr>
                    <w:adjustRightInd w:val="0"/>
                    <w:snapToGrid w:val="0"/>
                    <w:jc w:val="center"/>
                  </w:pPr>
                  <w: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943" w:type="pct"/>
                  <w:gridSpan w:val="4"/>
                  <w:tcBorders>
                    <w:tl2br w:val="nil"/>
                    <w:tr2bl w:val="nil"/>
                  </w:tcBorders>
                  <w:noWrap/>
                  <w:vAlign w:val="center"/>
                </w:tcPr>
                <w:p>
                  <w:pPr>
                    <w:pStyle w:val="70"/>
                    <w:snapToGrid w:val="0"/>
                  </w:pPr>
                  <w:r>
                    <w:t>合计</w:t>
                  </w:r>
                </w:p>
              </w:tc>
              <w:tc>
                <w:tcPr>
                  <w:tcW w:w="600" w:type="pct"/>
                  <w:tcBorders>
                    <w:tl2br w:val="nil"/>
                    <w:tr2bl w:val="nil"/>
                  </w:tcBorders>
                  <w:noWrap/>
                  <w:vAlign w:val="center"/>
                </w:tcPr>
                <w:p>
                  <w:pPr>
                    <w:pStyle w:val="70"/>
                    <w:snapToGrid w:val="0"/>
                  </w:pPr>
                  <w:r>
                    <w:t>36.2</w:t>
                  </w:r>
                </w:p>
              </w:tc>
              <w:tc>
                <w:tcPr>
                  <w:tcW w:w="456" w:type="pct"/>
                  <w:tcBorders>
                    <w:tl2br w:val="nil"/>
                    <w:tr2bl w:val="nil"/>
                  </w:tcBorders>
                  <w:noWrap/>
                  <w:vAlign w:val="center"/>
                </w:tcPr>
                <w:p>
                  <w:pPr>
                    <w:pStyle w:val="70"/>
                    <w:snapToGrid w:val="0"/>
                  </w:pPr>
                  <w:r>
                    <w:t>/</w:t>
                  </w:r>
                </w:p>
              </w:tc>
            </w:tr>
          </w:tbl>
          <w:p>
            <w:pPr>
              <w:pStyle w:val="23"/>
              <w:spacing w:after="0" w:line="240" w:lineRule="auto"/>
              <w:rPr>
                <w:bCs/>
                <w:sz w:val="24"/>
                <w:szCs w:val="21"/>
              </w:rPr>
            </w:pPr>
          </w:p>
          <w:p>
            <w:pPr>
              <w:pStyle w:val="23"/>
              <w:spacing w:after="0" w:line="240" w:lineRule="auto"/>
              <w:rPr>
                <w:bCs/>
                <w:sz w:val="24"/>
                <w:szCs w:val="21"/>
              </w:rPr>
            </w:pPr>
          </w:p>
          <w:p>
            <w:pPr>
              <w:pStyle w:val="23"/>
              <w:spacing w:after="0" w:line="240" w:lineRule="auto"/>
              <w:rPr>
                <w:bCs/>
                <w:sz w:val="24"/>
                <w:szCs w:val="21"/>
              </w:rPr>
            </w:pPr>
          </w:p>
          <w:p>
            <w:pPr>
              <w:pStyle w:val="23"/>
              <w:spacing w:after="0" w:line="240" w:lineRule="auto"/>
              <w:rPr>
                <w:bCs/>
                <w:sz w:val="24"/>
                <w:szCs w:val="21"/>
              </w:rPr>
            </w:pPr>
          </w:p>
          <w:p>
            <w:pPr>
              <w:pStyle w:val="23"/>
              <w:spacing w:after="0" w:line="240" w:lineRule="auto"/>
              <w:rPr>
                <w:bCs/>
                <w:sz w:val="24"/>
                <w:szCs w:val="21"/>
              </w:rPr>
            </w:pPr>
          </w:p>
          <w:p>
            <w:pPr>
              <w:pStyle w:val="23"/>
              <w:spacing w:after="0" w:line="240" w:lineRule="auto"/>
              <w:rPr>
                <w:bCs/>
                <w:sz w:val="24"/>
                <w:szCs w:val="21"/>
              </w:rPr>
            </w:pPr>
          </w:p>
        </w:tc>
      </w:tr>
    </w:tbl>
    <w:p>
      <w:pPr>
        <w:sectPr>
          <w:pgSz w:w="11905" w:h="16838"/>
          <w:pgMar w:top="1417" w:right="1417" w:bottom="1417" w:left="1417" w:header="850" w:footer="964" w:gutter="0"/>
          <w:cols w:space="720" w:num="1"/>
          <w:docGrid w:type="linesAndChars" w:linePitch="466" w:charSpace="3276"/>
        </w:sectPr>
      </w:pPr>
    </w:p>
    <w:p>
      <w:pPr>
        <w:pStyle w:val="25"/>
        <w:spacing w:before="0" w:beforeAutospacing="0" w:after="0" w:afterAutospacing="0"/>
        <w:jc w:val="center"/>
        <w:outlineLvl w:val="0"/>
        <w:rPr>
          <w:rFonts w:ascii="Times New Roman" w:hAnsi="Times New Roman" w:eastAsia="黑体"/>
          <w:snapToGrid w:val="0"/>
          <w:sz w:val="30"/>
          <w:szCs w:val="30"/>
        </w:rPr>
      </w:pPr>
      <w:bookmarkStart w:id="21" w:name="_Toc6925"/>
      <w:bookmarkStart w:id="22" w:name="_Toc7117"/>
      <w:r>
        <w:rPr>
          <w:rFonts w:ascii="Times New Roman" w:hAnsi="Times New Roman" w:eastAsia="黑体"/>
          <w:snapToGrid w:val="0"/>
          <w:sz w:val="30"/>
          <w:szCs w:val="30"/>
        </w:rPr>
        <w:t>六、生态环境保护措施监督检查清单</w:t>
      </w:r>
      <w:bookmarkEnd w:id="21"/>
      <w:bookmarkEnd w:id="22"/>
    </w:p>
    <w:tbl>
      <w:tblPr>
        <w:tblStyle w:val="28"/>
        <w:tblW w:w="50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107"/>
        <w:gridCol w:w="1426"/>
        <w:gridCol w:w="3391"/>
        <w:gridCol w:w="13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vMerge w:val="restart"/>
            <w:noWrap/>
            <w:vAlign w:val="center"/>
          </w:tcPr>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要素</w:t>
            </w:r>
          </w:p>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内容</w:t>
            </w:r>
          </w:p>
        </w:tc>
        <w:tc>
          <w:tcPr>
            <w:tcW w:w="1895" w:type="pct"/>
            <w:gridSpan w:val="2"/>
            <w:noWrap/>
            <w:vAlign w:val="center"/>
          </w:tcPr>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施工期</w:t>
            </w:r>
          </w:p>
        </w:tc>
        <w:tc>
          <w:tcPr>
            <w:tcW w:w="2556" w:type="pct"/>
            <w:gridSpan w:val="2"/>
            <w:noWrap/>
            <w:vAlign w:val="center"/>
          </w:tcPr>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vMerge w:val="continue"/>
            <w:noWrap/>
          </w:tcPr>
          <w:p>
            <w:pPr>
              <w:pStyle w:val="25"/>
              <w:adjustRightInd w:val="0"/>
              <w:snapToGrid w:val="0"/>
              <w:spacing w:before="0" w:beforeAutospacing="0" w:after="0" w:afterAutospacing="0"/>
              <w:ind w:firstLine="840"/>
              <w:jc w:val="center"/>
              <w:rPr>
                <w:rFonts w:ascii="Times New Roman" w:hAnsi="Times New Roman" w:eastAsia="黑体"/>
                <w:b/>
                <w:bCs/>
                <w:kern w:val="2"/>
              </w:rPr>
            </w:pPr>
          </w:p>
        </w:tc>
        <w:tc>
          <w:tcPr>
            <w:tcW w:w="1130" w:type="pct"/>
            <w:noWrap/>
            <w:vAlign w:val="center"/>
          </w:tcPr>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环境保护措施</w:t>
            </w:r>
          </w:p>
        </w:tc>
        <w:tc>
          <w:tcPr>
            <w:tcW w:w="764" w:type="pct"/>
            <w:noWrap/>
            <w:vAlign w:val="center"/>
          </w:tcPr>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验收要求</w:t>
            </w:r>
          </w:p>
        </w:tc>
        <w:tc>
          <w:tcPr>
            <w:tcW w:w="1819" w:type="pct"/>
            <w:noWrap/>
            <w:vAlign w:val="center"/>
          </w:tcPr>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环境保护措施</w:t>
            </w:r>
          </w:p>
        </w:tc>
        <w:tc>
          <w:tcPr>
            <w:tcW w:w="737" w:type="pct"/>
            <w:noWrap/>
            <w:vAlign w:val="center"/>
          </w:tcPr>
          <w:p>
            <w:pPr>
              <w:pStyle w:val="25"/>
              <w:adjustRightInd w:val="0"/>
              <w:snapToGrid w:val="0"/>
              <w:spacing w:before="0" w:beforeAutospacing="0" w:after="0" w:afterAutospacing="0"/>
              <w:jc w:val="center"/>
              <w:rPr>
                <w:rFonts w:ascii="Times New Roman" w:hAnsi="Times New Roman"/>
                <w:b/>
                <w:bCs/>
                <w:kern w:val="2"/>
              </w:rPr>
            </w:pPr>
            <w:r>
              <w:rPr>
                <w:rFonts w:ascii="Times New Roman" w:hAnsi="Times New Roman"/>
                <w:b/>
                <w:bCs/>
                <w:kern w:val="2"/>
              </w:rPr>
              <w:t>验收要求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陆生生态</w:t>
            </w:r>
          </w:p>
        </w:tc>
        <w:tc>
          <w:tcPr>
            <w:tcW w:w="1130" w:type="pct"/>
            <w:noWrap/>
            <w:vAlign w:val="center"/>
          </w:tcPr>
          <w:p>
            <w:pPr>
              <w:adjustRightInd w:val="0"/>
              <w:snapToGrid w:val="0"/>
              <w:rPr>
                <w:sz w:val="24"/>
                <w:szCs w:val="21"/>
              </w:rPr>
            </w:pPr>
            <w:r>
              <w:rPr>
                <w:sz w:val="24"/>
                <w:szCs w:val="21"/>
              </w:rPr>
              <w:t>开挖、回填时应尽量避开雨季，采取必要的临时防护措施，加强施工人员教育，项目施工结束后进行迹地恢复和复垦，场地平整，种植绿化</w:t>
            </w:r>
          </w:p>
        </w:tc>
        <w:tc>
          <w:tcPr>
            <w:tcW w:w="764" w:type="pct"/>
            <w:noWrap/>
            <w:vAlign w:val="center"/>
          </w:tcPr>
          <w:p>
            <w:pPr>
              <w:adjustRightInd w:val="0"/>
              <w:snapToGrid w:val="0"/>
              <w:rPr>
                <w:sz w:val="24"/>
                <w:szCs w:val="21"/>
              </w:rPr>
            </w:pPr>
            <w:r>
              <w:rPr>
                <w:sz w:val="24"/>
                <w:szCs w:val="21"/>
              </w:rPr>
              <w:t>施工临时占地进行耕地恢复和复垦</w:t>
            </w:r>
          </w:p>
        </w:tc>
        <w:tc>
          <w:tcPr>
            <w:tcW w:w="1819" w:type="pct"/>
            <w:noWrap/>
            <w:vAlign w:val="center"/>
          </w:tcPr>
          <w:p>
            <w:pPr>
              <w:adjustRightInd w:val="0"/>
              <w:snapToGrid w:val="0"/>
              <w:rPr>
                <w:sz w:val="24"/>
                <w:szCs w:val="21"/>
              </w:rPr>
            </w:pPr>
            <w:r>
              <w:rPr>
                <w:sz w:val="24"/>
                <w:szCs w:val="21"/>
              </w:rPr>
              <w:t>做好沿岸的水土保持工程和绿化工程的维护和管理工作</w:t>
            </w:r>
          </w:p>
        </w:tc>
        <w:tc>
          <w:tcPr>
            <w:tcW w:w="737" w:type="pct"/>
            <w:noWrap/>
            <w:vAlign w:val="center"/>
          </w:tcPr>
          <w:p>
            <w:pPr>
              <w:adjustRightInd w:val="0"/>
              <w:snapToGrid w:val="0"/>
              <w:rPr>
                <w:sz w:val="24"/>
                <w:szCs w:val="21"/>
              </w:rPr>
            </w:pPr>
            <w:r>
              <w:rPr>
                <w:sz w:val="24"/>
                <w:szCs w:val="21"/>
              </w:rPr>
              <w:t>做好沿岸的水土保持工程和绿化工程的维护和管理工作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水生生态</w:t>
            </w:r>
          </w:p>
        </w:tc>
        <w:tc>
          <w:tcPr>
            <w:tcW w:w="1130" w:type="pct"/>
            <w:noWrap/>
            <w:vAlign w:val="center"/>
          </w:tcPr>
          <w:p>
            <w:pPr>
              <w:adjustRightInd w:val="0"/>
              <w:snapToGrid w:val="0"/>
              <w:jc w:val="center"/>
              <w:rPr>
                <w:sz w:val="24"/>
                <w:szCs w:val="21"/>
              </w:rPr>
            </w:pPr>
            <w:r>
              <w:rPr>
                <w:sz w:val="24"/>
                <w:szCs w:val="21"/>
              </w:rPr>
              <w:t>/</w:t>
            </w:r>
          </w:p>
        </w:tc>
        <w:tc>
          <w:tcPr>
            <w:tcW w:w="764" w:type="pct"/>
            <w:noWrap/>
            <w:vAlign w:val="center"/>
          </w:tcPr>
          <w:p>
            <w:pPr>
              <w:adjustRightInd w:val="0"/>
              <w:snapToGrid w:val="0"/>
              <w:jc w:val="center"/>
              <w:rPr>
                <w:sz w:val="24"/>
                <w:szCs w:val="21"/>
              </w:rPr>
            </w:pPr>
            <w:r>
              <w:rPr>
                <w:sz w:val="24"/>
                <w:szCs w:val="21"/>
              </w:rPr>
              <w:t>/</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地表水环境</w:t>
            </w:r>
          </w:p>
        </w:tc>
        <w:tc>
          <w:tcPr>
            <w:tcW w:w="1130" w:type="pct"/>
            <w:noWrap/>
            <w:vAlign w:val="center"/>
          </w:tcPr>
          <w:p>
            <w:pPr>
              <w:adjustRightInd w:val="0"/>
              <w:snapToGrid w:val="0"/>
              <w:rPr>
                <w:sz w:val="24"/>
                <w:szCs w:val="21"/>
              </w:rPr>
            </w:pPr>
            <w:r>
              <w:rPr>
                <w:sz w:val="24"/>
                <w:szCs w:val="21"/>
              </w:rPr>
              <w:t>设置一个10m</w:t>
            </w:r>
            <w:r>
              <w:rPr>
                <w:sz w:val="24"/>
                <w:szCs w:val="21"/>
                <w:vertAlign w:val="superscript"/>
              </w:rPr>
              <w:t>3</w:t>
            </w:r>
            <w:r>
              <w:rPr>
                <w:sz w:val="24"/>
                <w:szCs w:val="21"/>
              </w:rPr>
              <w:t>沉淀池，施工废水经处理后全部回用不外排。生活污水依托周边村庄旱厕，定期清掏用于周边绿化施肥，洗漱废水用于场区洒水抑尘</w:t>
            </w:r>
          </w:p>
        </w:tc>
        <w:tc>
          <w:tcPr>
            <w:tcW w:w="764" w:type="pct"/>
            <w:noWrap/>
            <w:vAlign w:val="center"/>
          </w:tcPr>
          <w:p>
            <w:pPr>
              <w:adjustRightInd w:val="0"/>
              <w:snapToGrid w:val="0"/>
              <w:rPr>
                <w:sz w:val="24"/>
                <w:szCs w:val="21"/>
              </w:rPr>
            </w:pPr>
            <w:r>
              <w:rPr>
                <w:sz w:val="24"/>
                <w:szCs w:val="21"/>
              </w:rPr>
              <w:t>无废水外排</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地下水及土壤环境</w:t>
            </w:r>
          </w:p>
        </w:tc>
        <w:tc>
          <w:tcPr>
            <w:tcW w:w="1130" w:type="pct"/>
            <w:noWrap/>
            <w:vAlign w:val="center"/>
          </w:tcPr>
          <w:p>
            <w:pPr>
              <w:adjustRightInd w:val="0"/>
              <w:snapToGrid w:val="0"/>
              <w:jc w:val="center"/>
              <w:rPr>
                <w:sz w:val="24"/>
                <w:szCs w:val="21"/>
              </w:rPr>
            </w:pPr>
            <w:r>
              <w:rPr>
                <w:sz w:val="24"/>
                <w:szCs w:val="21"/>
              </w:rPr>
              <w:t>/</w:t>
            </w:r>
          </w:p>
        </w:tc>
        <w:tc>
          <w:tcPr>
            <w:tcW w:w="764" w:type="pct"/>
            <w:noWrap/>
            <w:vAlign w:val="center"/>
          </w:tcPr>
          <w:p>
            <w:pPr>
              <w:adjustRightInd w:val="0"/>
              <w:snapToGrid w:val="0"/>
              <w:jc w:val="center"/>
              <w:rPr>
                <w:sz w:val="24"/>
                <w:szCs w:val="21"/>
              </w:rPr>
            </w:pPr>
            <w:r>
              <w:rPr>
                <w:sz w:val="24"/>
                <w:szCs w:val="21"/>
              </w:rPr>
              <w:t>/</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声环境</w:t>
            </w:r>
          </w:p>
        </w:tc>
        <w:tc>
          <w:tcPr>
            <w:tcW w:w="1130" w:type="pct"/>
            <w:noWrap/>
            <w:vAlign w:val="center"/>
          </w:tcPr>
          <w:p>
            <w:pPr>
              <w:adjustRightInd w:val="0"/>
              <w:snapToGrid w:val="0"/>
              <w:rPr>
                <w:sz w:val="24"/>
                <w:szCs w:val="21"/>
              </w:rPr>
            </w:pPr>
            <w:r>
              <w:rPr>
                <w:sz w:val="24"/>
                <w:szCs w:val="21"/>
              </w:rPr>
              <w:t>施工机械选用符合国家规定要求的机械，加强设备的维护和保养，保持机械润滑，减少运行噪声，设置围栏，设置基础减振、隔声消声等措施</w:t>
            </w:r>
          </w:p>
        </w:tc>
        <w:tc>
          <w:tcPr>
            <w:tcW w:w="764" w:type="pct"/>
            <w:noWrap/>
            <w:vAlign w:val="center"/>
          </w:tcPr>
          <w:p>
            <w:pPr>
              <w:wordWrap w:val="0"/>
              <w:adjustRightInd w:val="0"/>
              <w:snapToGrid w:val="0"/>
              <w:rPr>
                <w:sz w:val="24"/>
                <w:szCs w:val="21"/>
              </w:rPr>
            </w:pPr>
            <w:r>
              <w:rPr>
                <w:sz w:val="24"/>
                <w:szCs w:val="21"/>
              </w:rPr>
              <w:t>满足《建筑施工场界环境噪声排放标准》（GB12523-2011）</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振动</w:t>
            </w:r>
          </w:p>
        </w:tc>
        <w:tc>
          <w:tcPr>
            <w:tcW w:w="1130" w:type="pct"/>
            <w:noWrap/>
            <w:vAlign w:val="center"/>
          </w:tcPr>
          <w:p>
            <w:pPr>
              <w:adjustRightInd w:val="0"/>
              <w:snapToGrid w:val="0"/>
              <w:jc w:val="center"/>
              <w:rPr>
                <w:sz w:val="24"/>
                <w:szCs w:val="21"/>
              </w:rPr>
            </w:pPr>
            <w:r>
              <w:rPr>
                <w:sz w:val="24"/>
                <w:szCs w:val="21"/>
              </w:rPr>
              <w:t>/</w:t>
            </w:r>
          </w:p>
        </w:tc>
        <w:tc>
          <w:tcPr>
            <w:tcW w:w="764" w:type="pct"/>
            <w:noWrap/>
            <w:vAlign w:val="center"/>
          </w:tcPr>
          <w:p>
            <w:pPr>
              <w:adjustRightInd w:val="0"/>
              <w:snapToGrid w:val="0"/>
              <w:jc w:val="center"/>
              <w:rPr>
                <w:sz w:val="24"/>
                <w:szCs w:val="21"/>
              </w:rPr>
            </w:pPr>
            <w:r>
              <w:rPr>
                <w:sz w:val="24"/>
                <w:szCs w:val="21"/>
              </w:rPr>
              <w:t>/</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大气环境</w:t>
            </w:r>
          </w:p>
        </w:tc>
        <w:tc>
          <w:tcPr>
            <w:tcW w:w="1130" w:type="pct"/>
            <w:noWrap/>
            <w:vAlign w:val="center"/>
          </w:tcPr>
          <w:p>
            <w:pPr>
              <w:adjustRightInd w:val="0"/>
              <w:snapToGrid w:val="0"/>
              <w:rPr>
                <w:sz w:val="24"/>
                <w:szCs w:val="21"/>
              </w:rPr>
            </w:pPr>
            <w:r>
              <w:rPr>
                <w:sz w:val="24"/>
                <w:szCs w:val="21"/>
              </w:rPr>
              <w:t>施工作业应符合技术操作规程，落实扬尘污染防治措施；对施工现场进行科学管理，砂石料应统一堆放，搬运时注意尽量减少扬尘，多余的砂石料及建筑材料应及时清运；施工单位应有专人负责逸散性材料、建筑垃圾、渣土等覆盖、洒水作业和车辆清洗作业</w:t>
            </w:r>
          </w:p>
        </w:tc>
        <w:tc>
          <w:tcPr>
            <w:tcW w:w="764" w:type="pct"/>
            <w:noWrap/>
            <w:vAlign w:val="center"/>
          </w:tcPr>
          <w:p>
            <w:pPr>
              <w:adjustRightInd w:val="0"/>
              <w:snapToGrid w:val="0"/>
              <w:jc w:val="center"/>
              <w:rPr>
                <w:sz w:val="24"/>
                <w:szCs w:val="21"/>
              </w:rPr>
            </w:pPr>
            <w:r>
              <w:rPr>
                <w:sz w:val="24"/>
                <w:szCs w:val="21"/>
              </w:rPr>
              <w:t>满足《大气污染物综合排放标准》(GB16297-1996）无组织排放监控浓度限值。</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固体废物</w:t>
            </w:r>
          </w:p>
        </w:tc>
        <w:tc>
          <w:tcPr>
            <w:tcW w:w="1130" w:type="pct"/>
            <w:noWrap/>
            <w:vAlign w:val="center"/>
          </w:tcPr>
          <w:p>
            <w:pPr>
              <w:adjustRightInd w:val="0"/>
              <w:snapToGrid w:val="0"/>
              <w:rPr>
                <w:sz w:val="24"/>
              </w:rPr>
            </w:pPr>
            <w:r>
              <w:rPr>
                <w:sz w:val="24"/>
              </w:rPr>
              <w:t>建筑垃圾运至垃圾填埋场处理。</w:t>
            </w:r>
          </w:p>
          <w:p>
            <w:pPr>
              <w:pStyle w:val="52"/>
              <w:spacing w:before="46" w:after="46"/>
              <w:ind w:firstLine="0"/>
              <w:jc w:val="both"/>
              <w:rPr>
                <w:rFonts w:ascii="Times New Roman"/>
                <w:sz w:val="24"/>
              </w:rPr>
            </w:pPr>
            <w:r>
              <w:rPr>
                <w:rFonts w:ascii="Times New Roman"/>
                <w:sz w:val="24"/>
              </w:rPr>
              <w:t>生活垃圾集中收集后委托环卫部门清运处置</w:t>
            </w:r>
          </w:p>
        </w:tc>
        <w:tc>
          <w:tcPr>
            <w:tcW w:w="764" w:type="pct"/>
            <w:noWrap/>
            <w:vAlign w:val="center"/>
          </w:tcPr>
          <w:p>
            <w:pPr>
              <w:adjustRightInd w:val="0"/>
              <w:snapToGrid w:val="0"/>
              <w:jc w:val="center"/>
              <w:rPr>
                <w:sz w:val="24"/>
                <w:szCs w:val="21"/>
              </w:rPr>
            </w:pPr>
            <w:r>
              <w:rPr>
                <w:sz w:val="24"/>
                <w:szCs w:val="21"/>
              </w:rPr>
              <w:t>妥善处置</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电磁环境</w:t>
            </w:r>
          </w:p>
        </w:tc>
        <w:tc>
          <w:tcPr>
            <w:tcW w:w="1130" w:type="pct"/>
            <w:noWrap/>
            <w:vAlign w:val="center"/>
          </w:tcPr>
          <w:p>
            <w:pPr>
              <w:adjustRightInd w:val="0"/>
              <w:snapToGrid w:val="0"/>
              <w:jc w:val="center"/>
              <w:rPr>
                <w:sz w:val="24"/>
                <w:szCs w:val="21"/>
              </w:rPr>
            </w:pPr>
            <w:r>
              <w:rPr>
                <w:sz w:val="24"/>
                <w:szCs w:val="21"/>
              </w:rPr>
              <w:t>/</w:t>
            </w:r>
          </w:p>
        </w:tc>
        <w:tc>
          <w:tcPr>
            <w:tcW w:w="764" w:type="pct"/>
            <w:noWrap/>
            <w:vAlign w:val="center"/>
          </w:tcPr>
          <w:p>
            <w:pPr>
              <w:adjustRightInd w:val="0"/>
              <w:snapToGrid w:val="0"/>
              <w:jc w:val="center"/>
              <w:rPr>
                <w:sz w:val="24"/>
                <w:szCs w:val="21"/>
              </w:rPr>
            </w:pPr>
            <w:r>
              <w:rPr>
                <w:sz w:val="24"/>
                <w:szCs w:val="21"/>
              </w:rPr>
              <w:t>/</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7" w:type="pct"/>
            <w:noWrap/>
            <w:vAlign w:val="center"/>
          </w:tcPr>
          <w:p>
            <w:pPr>
              <w:adjustRightInd w:val="0"/>
              <w:snapToGrid w:val="0"/>
              <w:jc w:val="center"/>
              <w:rPr>
                <w:sz w:val="24"/>
                <w:szCs w:val="21"/>
              </w:rPr>
            </w:pPr>
            <w:r>
              <w:rPr>
                <w:sz w:val="24"/>
                <w:szCs w:val="21"/>
              </w:rPr>
              <w:t>环境风险</w:t>
            </w:r>
          </w:p>
        </w:tc>
        <w:tc>
          <w:tcPr>
            <w:tcW w:w="1130" w:type="pct"/>
            <w:noWrap/>
            <w:vAlign w:val="center"/>
          </w:tcPr>
          <w:p>
            <w:pPr>
              <w:adjustRightInd w:val="0"/>
              <w:snapToGrid w:val="0"/>
              <w:jc w:val="center"/>
              <w:rPr>
                <w:sz w:val="24"/>
                <w:szCs w:val="21"/>
              </w:rPr>
            </w:pPr>
            <w:r>
              <w:rPr>
                <w:sz w:val="24"/>
                <w:szCs w:val="21"/>
              </w:rPr>
              <w:t>/</w:t>
            </w:r>
          </w:p>
        </w:tc>
        <w:tc>
          <w:tcPr>
            <w:tcW w:w="764" w:type="pct"/>
            <w:noWrap/>
            <w:vAlign w:val="center"/>
          </w:tcPr>
          <w:p>
            <w:pPr>
              <w:adjustRightInd w:val="0"/>
              <w:snapToGrid w:val="0"/>
              <w:jc w:val="center"/>
              <w:rPr>
                <w:sz w:val="24"/>
                <w:szCs w:val="21"/>
              </w:rPr>
            </w:pPr>
            <w:r>
              <w:rPr>
                <w:sz w:val="24"/>
                <w:szCs w:val="21"/>
              </w:rPr>
              <w:t>/</w:t>
            </w:r>
          </w:p>
        </w:tc>
        <w:tc>
          <w:tcPr>
            <w:tcW w:w="1819" w:type="pct"/>
            <w:noWrap/>
            <w:vAlign w:val="center"/>
          </w:tcPr>
          <w:p>
            <w:pPr>
              <w:adjustRightInd w:val="0"/>
              <w:snapToGrid w:val="0"/>
              <w:jc w:val="center"/>
              <w:rPr>
                <w:sz w:val="24"/>
                <w:szCs w:val="21"/>
              </w:rPr>
            </w:pPr>
            <w:r>
              <w:rPr>
                <w:sz w:val="24"/>
                <w:szCs w:val="21"/>
              </w:rPr>
              <w:t>/</w:t>
            </w:r>
          </w:p>
        </w:tc>
        <w:tc>
          <w:tcPr>
            <w:tcW w:w="737" w:type="pct"/>
            <w:noWrap/>
            <w:vAlign w:val="center"/>
          </w:tcPr>
          <w:p>
            <w:pPr>
              <w:adjustRightInd w:val="0"/>
              <w:snapToGrid w:val="0"/>
              <w:jc w:val="center"/>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47" w:type="pct"/>
            <w:vMerge w:val="restart"/>
            <w:noWrap/>
            <w:vAlign w:val="center"/>
          </w:tcPr>
          <w:p>
            <w:pPr>
              <w:adjustRightInd w:val="0"/>
              <w:snapToGrid w:val="0"/>
              <w:jc w:val="center"/>
              <w:rPr>
                <w:sz w:val="24"/>
                <w:szCs w:val="21"/>
              </w:rPr>
            </w:pPr>
            <w:r>
              <w:rPr>
                <w:sz w:val="24"/>
                <w:szCs w:val="21"/>
              </w:rPr>
              <w:t>环境监测</w:t>
            </w:r>
          </w:p>
        </w:tc>
        <w:tc>
          <w:tcPr>
            <w:tcW w:w="1130" w:type="pct"/>
            <w:noWrap/>
            <w:vAlign w:val="center"/>
          </w:tcPr>
          <w:p>
            <w:pPr>
              <w:adjustRightInd w:val="0"/>
              <w:snapToGrid w:val="0"/>
              <w:jc w:val="left"/>
              <w:rPr>
                <w:sz w:val="24"/>
                <w:szCs w:val="21"/>
              </w:rPr>
            </w:pPr>
            <w:r>
              <w:rPr>
                <w:sz w:val="24"/>
                <w:szCs w:val="21"/>
              </w:rPr>
              <w:t>环境空气：TSP</w:t>
            </w:r>
          </w:p>
          <w:p>
            <w:pPr>
              <w:adjustRightInd w:val="0"/>
              <w:snapToGrid w:val="0"/>
              <w:jc w:val="left"/>
              <w:rPr>
                <w:sz w:val="24"/>
                <w:szCs w:val="21"/>
              </w:rPr>
            </w:pPr>
            <w:r>
              <w:rPr>
                <w:sz w:val="24"/>
                <w:szCs w:val="21"/>
              </w:rPr>
              <w:t>监测点位：施工现场</w:t>
            </w:r>
          </w:p>
          <w:p>
            <w:pPr>
              <w:adjustRightInd w:val="0"/>
              <w:snapToGrid w:val="0"/>
              <w:jc w:val="left"/>
              <w:rPr>
                <w:sz w:val="24"/>
              </w:rPr>
            </w:pPr>
            <w:r>
              <w:rPr>
                <w:sz w:val="24"/>
                <w:szCs w:val="21"/>
              </w:rPr>
              <w:t>监测时间、频次：施工期高峰期1次，每次连续监测2天</w:t>
            </w:r>
          </w:p>
        </w:tc>
        <w:tc>
          <w:tcPr>
            <w:tcW w:w="764" w:type="pct"/>
            <w:noWrap/>
            <w:vAlign w:val="center"/>
          </w:tcPr>
          <w:p>
            <w:pPr>
              <w:adjustRightInd w:val="0"/>
              <w:snapToGrid w:val="0"/>
              <w:jc w:val="left"/>
              <w:rPr>
                <w:sz w:val="24"/>
                <w:szCs w:val="21"/>
              </w:rPr>
            </w:pPr>
            <w:r>
              <w:rPr>
                <w:sz w:val="24"/>
                <w:szCs w:val="21"/>
              </w:rPr>
              <w:t>《大气污染物综合排放标准》（GB16297-1996）无组织排放标准</w:t>
            </w:r>
          </w:p>
        </w:tc>
        <w:tc>
          <w:tcPr>
            <w:tcW w:w="1819" w:type="pct"/>
            <w:noWrap/>
            <w:vAlign w:val="center"/>
          </w:tcPr>
          <w:p>
            <w:pPr>
              <w:adjustRightInd w:val="0"/>
              <w:snapToGrid w:val="0"/>
              <w:ind w:firstLine="510" w:firstLineChars="200"/>
              <w:jc w:val="left"/>
              <w:rPr>
                <w:sz w:val="24"/>
                <w:szCs w:val="21"/>
              </w:rPr>
            </w:pPr>
          </w:p>
        </w:tc>
        <w:tc>
          <w:tcPr>
            <w:tcW w:w="737" w:type="pct"/>
            <w:noWrap/>
            <w:vAlign w:val="center"/>
          </w:tcPr>
          <w:p>
            <w:pPr>
              <w:adjustRightInd w:val="0"/>
              <w:snapToGrid w:val="0"/>
              <w:jc w:val="left"/>
              <w:rPr>
                <w:sz w:val="24"/>
                <w:szCs w:val="21"/>
              </w:rPr>
            </w:pPr>
            <w:r>
              <w:rPr>
                <w:sz w:val="24"/>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47" w:type="pct"/>
            <w:vMerge w:val="continue"/>
            <w:noWrap/>
            <w:vAlign w:val="center"/>
          </w:tcPr>
          <w:p>
            <w:pPr>
              <w:adjustRightInd w:val="0"/>
              <w:snapToGrid w:val="0"/>
              <w:jc w:val="center"/>
            </w:pPr>
          </w:p>
        </w:tc>
        <w:tc>
          <w:tcPr>
            <w:tcW w:w="1130" w:type="pct"/>
            <w:noWrap/>
            <w:vAlign w:val="center"/>
          </w:tcPr>
          <w:p>
            <w:pPr>
              <w:adjustRightInd w:val="0"/>
              <w:snapToGrid w:val="0"/>
              <w:jc w:val="left"/>
              <w:rPr>
                <w:sz w:val="24"/>
                <w:szCs w:val="21"/>
              </w:rPr>
            </w:pPr>
            <w:r>
              <w:rPr>
                <w:sz w:val="24"/>
                <w:szCs w:val="21"/>
              </w:rPr>
              <w:t>噪声：等效连续A声级</w:t>
            </w:r>
          </w:p>
          <w:p>
            <w:pPr>
              <w:adjustRightInd w:val="0"/>
              <w:snapToGrid w:val="0"/>
              <w:jc w:val="left"/>
              <w:rPr>
                <w:sz w:val="24"/>
                <w:szCs w:val="21"/>
              </w:rPr>
            </w:pPr>
            <w:r>
              <w:rPr>
                <w:sz w:val="24"/>
                <w:szCs w:val="21"/>
              </w:rPr>
              <w:t>监测点位：施工现场</w:t>
            </w:r>
          </w:p>
          <w:p>
            <w:pPr>
              <w:adjustRightInd w:val="0"/>
              <w:snapToGrid w:val="0"/>
              <w:jc w:val="left"/>
              <w:rPr>
                <w:sz w:val="24"/>
                <w:szCs w:val="21"/>
              </w:rPr>
            </w:pPr>
            <w:r>
              <w:rPr>
                <w:sz w:val="24"/>
                <w:szCs w:val="21"/>
              </w:rPr>
              <w:t>监测时间、频次：施工期高峰期监测1期，每次连续监测2天</w:t>
            </w:r>
          </w:p>
        </w:tc>
        <w:tc>
          <w:tcPr>
            <w:tcW w:w="764" w:type="pct"/>
            <w:noWrap/>
            <w:vAlign w:val="center"/>
          </w:tcPr>
          <w:p>
            <w:pPr>
              <w:adjustRightInd w:val="0"/>
              <w:snapToGrid w:val="0"/>
              <w:jc w:val="left"/>
              <w:rPr>
                <w:sz w:val="24"/>
                <w:szCs w:val="21"/>
              </w:rPr>
            </w:pPr>
            <w:r>
              <w:rPr>
                <w:sz w:val="24"/>
                <w:szCs w:val="21"/>
              </w:rPr>
              <w:t>《建筑施工场界环境噪声排放标准》（GB12523-2011）</w:t>
            </w:r>
          </w:p>
        </w:tc>
        <w:tc>
          <w:tcPr>
            <w:tcW w:w="1819" w:type="pct"/>
            <w:noWrap/>
            <w:vAlign w:val="center"/>
          </w:tcPr>
          <w:p>
            <w:pPr>
              <w:adjustRightInd w:val="0"/>
              <w:snapToGrid w:val="0"/>
              <w:jc w:val="left"/>
              <w:rPr>
                <w:sz w:val="24"/>
                <w:szCs w:val="21"/>
              </w:rPr>
            </w:pPr>
          </w:p>
        </w:tc>
        <w:tc>
          <w:tcPr>
            <w:tcW w:w="737" w:type="pct"/>
            <w:noWrap/>
            <w:vAlign w:val="center"/>
          </w:tcPr>
          <w:p>
            <w:pPr>
              <w:adjustRightInd w:val="0"/>
              <w:snapToGrid w:val="0"/>
              <w:jc w:val="left"/>
              <w:rPr>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47" w:type="pct"/>
            <w:vMerge w:val="continue"/>
            <w:noWrap/>
            <w:vAlign w:val="center"/>
          </w:tcPr>
          <w:p>
            <w:pPr>
              <w:adjustRightInd w:val="0"/>
              <w:snapToGrid w:val="0"/>
              <w:jc w:val="center"/>
              <w:rPr>
                <w:sz w:val="24"/>
                <w:szCs w:val="21"/>
              </w:rPr>
            </w:pPr>
          </w:p>
        </w:tc>
        <w:tc>
          <w:tcPr>
            <w:tcW w:w="1130" w:type="pct"/>
            <w:noWrap/>
            <w:vAlign w:val="center"/>
          </w:tcPr>
          <w:p>
            <w:pPr>
              <w:adjustRightInd w:val="0"/>
              <w:snapToGrid w:val="0"/>
              <w:jc w:val="left"/>
              <w:rPr>
                <w:sz w:val="24"/>
                <w:szCs w:val="21"/>
              </w:rPr>
            </w:pPr>
          </w:p>
        </w:tc>
        <w:tc>
          <w:tcPr>
            <w:tcW w:w="764" w:type="pct"/>
            <w:noWrap/>
            <w:vAlign w:val="center"/>
          </w:tcPr>
          <w:p>
            <w:pPr>
              <w:adjustRightInd w:val="0"/>
              <w:snapToGrid w:val="0"/>
              <w:jc w:val="left"/>
              <w:rPr>
                <w:sz w:val="24"/>
                <w:szCs w:val="21"/>
              </w:rPr>
            </w:pPr>
          </w:p>
        </w:tc>
        <w:tc>
          <w:tcPr>
            <w:tcW w:w="1819" w:type="pct"/>
            <w:noWrap/>
            <w:vAlign w:val="center"/>
          </w:tcPr>
          <w:p>
            <w:pPr>
              <w:adjustRightInd w:val="0"/>
              <w:snapToGrid w:val="0"/>
              <w:jc w:val="left"/>
              <w:rPr>
                <w:sz w:val="24"/>
                <w:szCs w:val="21"/>
              </w:rPr>
            </w:pPr>
            <w:r>
              <w:rPr>
                <w:sz w:val="24"/>
                <w:szCs w:val="21"/>
              </w:rPr>
              <w:t>地表水环境：水温、pH值、溶解氧、高锰酸盐指数、化学需氧量、五日生化需氧量、氨氮、总磷、总氮、铜、锌、氟化物、硒、砷、汞、镉、铬（六价）、铅、氰化物、挥发酚、石油类、阴离子表面活性剂、硫化物、粪大肠菌群、透明度、叶绿素a</w:t>
            </w:r>
          </w:p>
          <w:p>
            <w:pPr>
              <w:adjustRightInd w:val="0"/>
              <w:snapToGrid w:val="0"/>
              <w:jc w:val="left"/>
              <w:rPr>
                <w:sz w:val="24"/>
                <w:szCs w:val="21"/>
              </w:rPr>
            </w:pPr>
            <w:r>
              <w:rPr>
                <w:sz w:val="24"/>
                <w:szCs w:val="21"/>
              </w:rPr>
              <w:t>监测点位：库区</w:t>
            </w:r>
          </w:p>
          <w:p>
            <w:pPr>
              <w:adjustRightInd w:val="0"/>
              <w:snapToGrid w:val="0"/>
              <w:jc w:val="left"/>
              <w:rPr>
                <w:sz w:val="24"/>
                <w:szCs w:val="21"/>
              </w:rPr>
            </w:pPr>
            <w:r>
              <w:rPr>
                <w:sz w:val="24"/>
                <w:szCs w:val="21"/>
              </w:rPr>
              <w:t>监测时间、频次：每年采样4次，具体采样次数视当年变化而定，一般需连续采样三天，每天一次</w:t>
            </w:r>
          </w:p>
        </w:tc>
        <w:tc>
          <w:tcPr>
            <w:tcW w:w="737" w:type="pct"/>
            <w:noWrap/>
            <w:vAlign w:val="center"/>
          </w:tcPr>
          <w:p>
            <w:pPr>
              <w:adjustRightInd w:val="0"/>
              <w:snapToGrid w:val="0"/>
              <w:jc w:val="left"/>
              <w:rPr>
                <w:sz w:val="24"/>
                <w:szCs w:val="21"/>
              </w:rPr>
            </w:pPr>
            <w:r>
              <w:rPr>
                <w:sz w:val="24"/>
                <w:szCs w:val="21"/>
              </w:rPr>
              <w:t>《地表水环境质量标准》（GB3838-2002）Ⅲ类标准限值要求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47" w:type="pct"/>
            <w:vMerge w:val="continue"/>
            <w:noWrap/>
            <w:vAlign w:val="center"/>
          </w:tcPr>
          <w:p>
            <w:pPr>
              <w:adjustRightInd w:val="0"/>
              <w:snapToGrid w:val="0"/>
              <w:jc w:val="center"/>
              <w:rPr>
                <w:sz w:val="24"/>
                <w:szCs w:val="21"/>
              </w:rPr>
            </w:pPr>
          </w:p>
        </w:tc>
        <w:tc>
          <w:tcPr>
            <w:tcW w:w="1130" w:type="pct"/>
            <w:noWrap/>
            <w:vAlign w:val="center"/>
          </w:tcPr>
          <w:p>
            <w:pPr>
              <w:adjustRightInd w:val="0"/>
              <w:snapToGrid w:val="0"/>
              <w:jc w:val="left"/>
              <w:rPr>
                <w:sz w:val="24"/>
                <w:szCs w:val="21"/>
              </w:rPr>
            </w:pPr>
          </w:p>
        </w:tc>
        <w:tc>
          <w:tcPr>
            <w:tcW w:w="764" w:type="pct"/>
            <w:noWrap/>
            <w:vAlign w:val="center"/>
          </w:tcPr>
          <w:p>
            <w:pPr>
              <w:adjustRightInd w:val="0"/>
              <w:snapToGrid w:val="0"/>
              <w:jc w:val="left"/>
              <w:rPr>
                <w:sz w:val="24"/>
                <w:szCs w:val="21"/>
              </w:rPr>
            </w:pPr>
          </w:p>
        </w:tc>
        <w:tc>
          <w:tcPr>
            <w:tcW w:w="1819" w:type="pct"/>
            <w:noWrap/>
            <w:vAlign w:val="center"/>
          </w:tcPr>
          <w:p>
            <w:pPr>
              <w:adjustRightInd w:val="0"/>
              <w:snapToGrid w:val="0"/>
              <w:jc w:val="left"/>
              <w:rPr>
                <w:sz w:val="24"/>
                <w:szCs w:val="21"/>
              </w:rPr>
            </w:pPr>
            <w:r>
              <w:rPr>
                <w:sz w:val="24"/>
                <w:szCs w:val="21"/>
              </w:rPr>
              <w:t>植被生态监测：采用样方调查方式监测项目区内植被恢复情况，分析恢复效果。对草本植物，监测种类、株数、茎高、盖度、生物量</w:t>
            </w:r>
          </w:p>
          <w:p>
            <w:pPr>
              <w:adjustRightInd w:val="0"/>
              <w:snapToGrid w:val="0"/>
              <w:jc w:val="left"/>
              <w:rPr>
                <w:sz w:val="24"/>
                <w:szCs w:val="21"/>
              </w:rPr>
            </w:pPr>
            <w:r>
              <w:rPr>
                <w:sz w:val="24"/>
                <w:szCs w:val="21"/>
              </w:rPr>
              <w:t>监测时间、频次：完工后2年，对植被成活情况实施人工监测，春、夏、秋，每个季节监测1次</w:t>
            </w:r>
          </w:p>
        </w:tc>
        <w:tc>
          <w:tcPr>
            <w:tcW w:w="737" w:type="pct"/>
            <w:noWrap/>
            <w:vAlign w:val="center"/>
          </w:tcPr>
          <w:p>
            <w:pPr>
              <w:adjustRightInd w:val="0"/>
              <w:snapToGrid w:val="0"/>
              <w:jc w:val="left"/>
              <w:rPr>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547" w:type="pct"/>
            <w:vMerge w:val="continue"/>
            <w:noWrap/>
            <w:vAlign w:val="center"/>
          </w:tcPr>
          <w:p>
            <w:pPr>
              <w:adjustRightInd w:val="0"/>
              <w:snapToGrid w:val="0"/>
              <w:jc w:val="center"/>
              <w:rPr>
                <w:sz w:val="24"/>
                <w:szCs w:val="21"/>
              </w:rPr>
            </w:pPr>
          </w:p>
        </w:tc>
        <w:tc>
          <w:tcPr>
            <w:tcW w:w="1130" w:type="pct"/>
            <w:noWrap/>
            <w:vAlign w:val="center"/>
          </w:tcPr>
          <w:p>
            <w:pPr>
              <w:adjustRightInd w:val="0"/>
              <w:snapToGrid w:val="0"/>
              <w:jc w:val="left"/>
              <w:rPr>
                <w:sz w:val="24"/>
                <w:szCs w:val="21"/>
              </w:rPr>
            </w:pPr>
          </w:p>
        </w:tc>
        <w:tc>
          <w:tcPr>
            <w:tcW w:w="764" w:type="pct"/>
            <w:noWrap/>
            <w:vAlign w:val="center"/>
          </w:tcPr>
          <w:p>
            <w:pPr>
              <w:adjustRightInd w:val="0"/>
              <w:snapToGrid w:val="0"/>
              <w:jc w:val="left"/>
              <w:rPr>
                <w:sz w:val="24"/>
                <w:szCs w:val="21"/>
              </w:rPr>
            </w:pPr>
          </w:p>
        </w:tc>
        <w:tc>
          <w:tcPr>
            <w:tcW w:w="1819" w:type="pct"/>
            <w:noWrap/>
            <w:vAlign w:val="center"/>
          </w:tcPr>
          <w:p>
            <w:pPr>
              <w:adjustRightInd w:val="0"/>
              <w:snapToGrid w:val="0"/>
              <w:jc w:val="left"/>
              <w:rPr>
                <w:sz w:val="24"/>
                <w:szCs w:val="21"/>
              </w:rPr>
            </w:pPr>
            <w:r>
              <w:rPr>
                <w:sz w:val="24"/>
                <w:szCs w:val="21"/>
              </w:rPr>
              <w:t>动物生态监测：采用样方调查方式监测项目区内野生动物活动情况，并与建设前情况进行比较，分析前后变化。采用实地调查与公众调查相结合的方式，集中于野生动物分布较多的区域。重点调查动物（以鸟类与兽类为主）的种类，出现频率，并分析其栖息地环境变化与恢复状况</w:t>
            </w:r>
          </w:p>
          <w:p>
            <w:pPr>
              <w:adjustRightInd w:val="0"/>
              <w:snapToGrid w:val="0"/>
              <w:jc w:val="left"/>
              <w:rPr>
                <w:sz w:val="24"/>
                <w:szCs w:val="21"/>
              </w:rPr>
            </w:pPr>
            <w:r>
              <w:rPr>
                <w:sz w:val="24"/>
                <w:szCs w:val="21"/>
              </w:rPr>
              <w:t>监测时间、频次：完工后2年，每个季度监测1次</w:t>
            </w:r>
          </w:p>
        </w:tc>
        <w:tc>
          <w:tcPr>
            <w:tcW w:w="737" w:type="pct"/>
            <w:noWrap/>
            <w:vAlign w:val="center"/>
          </w:tcPr>
          <w:p>
            <w:pPr>
              <w:adjustRightInd w:val="0"/>
              <w:snapToGrid w:val="0"/>
              <w:jc w:val="left"/>
              <w:rPr>
                <w:sz w:val="2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5" w:hRule="atLeast"/>
          <w:jc w:val="center"/>
        </w:trPr>
        <w:tc>
          <w:tcPr>
            <w:tcW w:w="547" w:type="pct"/>
            <w:noWrap/>
            <w:vAlign w:val="center"/>
          </w:tcPr>
          <w:p>
            <w:pPr>
              <w:adjustRightInd w:val="0"/>
              <w:snapToGrid w:val="0"/>
              <w:jc w:val="center"/>
              <w:rPr>
                <w:sz w:val="24"/>
                <w:szCs w:val="21"/>
              </w:rPr>
            </w:pPr>
            <w:r>
              <w:rPr>
                <w:sz w:val="24"/>
                <w:szCs w:val="21"/>
              </w:rPr>
              <w:t>其他</w:t>
            </w:r>
          </w:p>
        </w:tc>
        <w:tc>
          <w:tcPr>
            <w:tcW w:w="1130" w:type="pct"/>
            <w:noWrap/>
            <w:vAlign w:val="center"/>
          </w:tcPr>
          <w:p>
            <w:pPr>
              <w:adjustRightInd w:val="0"/>
              <w:snapToGrid w:val="0"/>
              <w:jc w:val="left"/>
              <w:rPr>
                <w:sz w:val="24"/>
                <w:szCs w:val="21"/>
              </w:rPr>
            </w:pPr>
            <w:r>
              <w:rPr>
                <w:sz w:val="24"/>
                <w:szCs w:val="21"/>
              </w:rPr>
              <w:t>/</w:t>
            </w:r>
          </w:p>
        </w:tc>
        <w:tc>
          <w:tcPr>
            <w:tcW w:w="764" w:type="pct"/>
            <w:noWrap/>
            <w:vAlign w:val="center"/>
          </w:tcPr>
          <w:p>
            <w:pPr>
              <w:adjustRightInd w:val="0"/>
              <w:snapToGrid w:val="0"/>
              <w:jc w:val="left"/>
              <w:rPr>
                <w:sz w:val="24"/>
                <w:szCs w:val="21"/>
              </w:rPr>
            </w:pPr>
            <w:r>
              <w:rPr>
                <w:sz w:val="24"/>
                <w:szCs w:val="21"/>
              </w:rPr>
              <w:t>/</w:t>
            </w:r>
          </w:p>
        </w:tc>
        <w:tc>
          <w:tcPr>
            <w:tcW w:w="1819" w:type="pct"/>
            <w:noWrap/>
            <w:vAlign w:val="center"/>
          </w:tcPr>
          <w:p>
            <w:pPr>
              <w:adjustRightInd w:val="0"/>
              <w:snapToGrid w:val="0"/>
              <w:jc w:val="left"/>
              <w:rPr>
                <w:sz w:val="24"/>
                <w:szCs w:val="21"/>
              </w:rPr>
            </w:pPr>
            <w:r>
              <w:rPr>
                <w:sz w:val="24"/>
                <w:szCs w:val="21"/>
              </w:rPr>
              <w:t>/</w:t>
            </w:r>
          </w:p>
        </w:tc>
        <w:tc>
          <w:tcPr>
            <w:tcW w:w="737" w:type="pct"/>
            <w:noWrap/>
            <w:vAlign w:val="center"/>
          </w:tcPr>
          <w:p>
            <w:pPr>
              <w:adjustRightInd w:val="0"/>
              <w:snapToGrid w:val="0"/>
              <w:jc w:val="left"/>
              <w:rPr>
                <w:sz w:val="24"/>
                <w:szCs w:val="21"/>
              </w:rPr>
            </w:pPr>
            <w:r>
              <w:rPr>
                <w:sz w:val="24"/>
                <w:szCs w:val="21"/>
              </w:rPr>
              <w:t>/</w:t>
            </w:r>
          </w:p>
        </w:tc>
      </w:tr>
    </w:tbl>
    <w:p>
      <w:pPr>
        <w:pStyle w:val="25"/>
        <w:spacing w:before="0" w:beforeAutospacing="0" w:after="0" w:afterAutospacing="0"/>
        <w:jc w:val="center"/>
        <w:outlineLvl w:val="0"/>
        <w:rPr>
          <w:rFonts w:ascii="Times New Roman" w:hAnsi="Times New Roman" w:eastAsia="黑体"/>
          <w:snapToGrid w:val="0"/>
          <w:sz w:val="30"/>
          <w:szCs w:val="30"/>
        </w:rPr>
      </w:pPr>
    </w:p>
    <w:p>
      <w:pPr>
        <w:pStyle w:val="25"/>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br w:type="page"/>
      </w:r>
      <w:bookmarkStart w:id="23" w:name="_Toc26056"/>
      <w:bookmarkStart w:id="24" w:name="_Toc1300"/>
      <w:r>
        <w:rPr>
          <w:rFonts w:ascii="Times New Roman" w:hAnsi="Times New Roman" w:eastAsia="黑体"/>
          <w:snapToGrid w:val="0"/>
          <w:sz w:val="30"/>
          <w:szCs w:val="30"/>
        </w:rPr>
        <w:t>七、结论</w:t>
      </w:r>
      <w:bookmarkEnd w:id="23"/>
      <w:bookmarkEnd w:id="24"/>
    </w:p>
    <w:tbl>
      <w:tblPr>
        <w:tblStyle w:val="28"/>
        <w:tblW w:w="9289"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89"/>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380" w:hRule="atLeast"/>
          <w:jc w:val="center"/>
        </w:trPr>
        <w:tc>
          <w:tcPr>
            <w:tcW w:w="9289" w:type="dxa"/>
            <w:tcBorders>
              <w:tl2br w:val="nil"/>
              <w:tr2bl w:val="nil"/>
            </w:tcBorders>
            <w:noWrap/>
          </w:tcPr>
          <w:p>
            <w:pPr>
              <w:tabs>
                <w:tab w:val="left" w:pos="406"/>
              </w:tabs>
              <w:ind w:firstLine="510" w:firstLineChars="200"/>
              <w:rPr>
                <w:sz w:val="24"/>
                <w:szCs w:val="21"/>
              </w:rPr>
            </w:pPr>
            <w:r>
              <w:rPr>
                <w:sz w:val="24"/>
                <w:szCs w:val="21"/>
              </w:rPr>
              <w:t>本项目符合国家相关产业政策，项目选址及总平面布局合理。工程采取合理可行的污染防治措施后，对区域环境质量影响较小。工程建成后可消除雅石沟水库险情、恢复水库防洪功能，保障水库和下游农田、村庄及防洪排水安全，产生明显的生态环境效益。因此，从环境保护角度分析，建设单位在严格实施环保对策措施的条件下，本项目的建设是可行的。</w:t>
            </w: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ind w:firstLine="510" w:firstLineChars="200"/>
              <w:rPr>
                <w:sz w:val="24"/>
                <w:szCs w:val="21"/>
              </w:rPr>
            </w:pPr>
          </w:p>
          <w:p>
            <w:pPr>
              <w:tabs>
                <w:tab w:val="left" w:pos="406"/>
              </w:tabs>
              <w:rPr>
                <w:szCs w:val="21"/>
              </w:rPr>
            </w:pPr>
          </w:p>
        </w:tc>
      </w:tr>
    </w:tbl>
    <w:p>
      <w:pPr>
        <w:adjustRightInd w:val="0"/>
        <w:snapToGrid w:val="0"/>
        <w:spacing w:beforeLines="80"/>
        <w:jc w:val="center"/>
        <w:rPr>
          <w:rFonts w:eastAsia="黑体"/>
          <w:snapToGrid w:val="0"/>
          <w:sz w:val="32"/>
          <w:szCs w:val="32"/>
        </w:rPr>
        <w:sectPr>
          <w:pgSz w:w="11905" w:h="16838"/>
          <w:pgMar w:top="1417" w:right="1417" w:bottom="1417" w:left="1417" w:header="850" w:footer="964" w:gutter="0"/>
          <w:cols w:space="720" w:num="1"/>
          <w:docGrid w:type="linesAndChars" w:linePitch="466" w:charSpace="3276"/>
        </w:sectPr>
      </w:pPr>
    </w:p>
    <w:p>
      <w:pPr>
        <w:pStyle w:val="22"/>
        <w:ind w:left="452"/>
      </w:pPr>
    </w:p>
    <w:p>
      <w:pPr>
        <w:adjustRightInd w:val="0"/>
        <w:snapToGrid w:val="0"/>
        <w:spacing w:beforeLines="80"/>
        <w:jc w:val="center"/>
        <w:rPr>
          <w:rFonts w:eastAsia="黑体"/>
          <w:snapToGrid w:val="0"/>
          <w:sz w:val="32"/>
          <w:szCs w:val="32"/>
        </w:rPr>
      </w:pPr>
    </w:p>
    <w:p>
      <w:pPr>
        <w:adjustRightInd w:val="0"/>
        <w:snapToGrid w:val="0"/>
        <w:spacing w:beforeLines="80"/>
        <w:jc w:val="center"/>
        <w:rPr>
          <w:b/>
          <w:bCs/>
          <w:snapToGrid w:val="0"/>
          <w:sz w:val="44"/>
          <w:szCs w:val="44"/>
        </w:rPr>
      </w:pPr>
      <w:r>
        <w:rPr>
          <w:b/>
          <w:bCs/>
          <w:snapToGrid w:val="0"/>
          <w:sz w:val="44"/>
          <w:szCs w:val="44"/>
        </w:rPr>
        <w:t>彭阳县雅石沟水库除险加固工程</w:t>
      </w:r>
    </w:p>
    <w:p>
      <w:pPr>
        <w:adjustRightInd w:val="0"/>
        <w:snapToGrid w:val="0"/>
        <w:spacing w:beforeLines="80"/>
        <w:jc w:val="center"/>
        <w:rPr>
          <w:b/>
          <w:bCs/>
          <w:snapToGrid w:val="0"/>
          <w:sz w:val="44"/>
          <w:szCs w:val="44"/>
        </w:rPr>
      </w:pPr>
      <w:r>
        <w:rPr>
          <w:b/>
          <w:bCs/>
          <w:snapToGrid w:val="0"/>
          <w:sz w:val="44"/>
          <w:szCs w:val="44"/>
        </w:rPr>
        <w:t>地表水环境影响专项评价</w:t>
      </w:r>
    </w:p>
    <w:p>
      <w:pPr>
        <w:adjustRightInd w:val="0"/>
        <w:snapToGrid w:val="0"/>
        <w:spacing w:beforeLines="80"/>
        <w:ind w:firstLine="335" w:firstLineChars="100"/>
        <w:rPr>
          <w:rFonts w:eastAsia="黑体"/>
          <w:snapToGrid w:val="0"/>
          <w:sz w:val="32"/>
          <w:szCs w:val="32"/>
        </w:rPr>
      </w:pPr>
    </w:p>
    <w:p>
      <w:pPr>
        <w:adjustRightInd w:val="0"/>
        <w:snapToGrid w:val="0"/>
        <w:spacing w:beforeLines="80"/>
        <w:ind w:firstLine="335" w:firstLineChars="100"/>
        <w:rPr>
          <w:rFonts w:eastAsia="黑体"/>
          <w:snapToGrid w:val="0"/>
          <w:sz w:val="32"/>
          <w:szCs w:val="32"/>
        </w:rPr>
      </w:pPr>
    </w:p>
    <w:p>
      <w:pPr>
        <w:adjustRightInd w:val="0"/>
        <w:snapToGrid w:val="0"/>
        <w:spacing w:beforeLines="80"/>
        <w:ind w:firstLine="335" w:firstLineChars="100"/>
        <w:rPr>
          <w:rFonts w:eastAsia="黑体"/>
          <w:snapToGrid w:val="0"/>
          <w:sz w:val="32"/>
          <w:szCs w:val="32"/>
        </w:rPr>
      </w:pPr>
    </w:p>
    <w:p>
      <w:pPr>
        <w:adjustRightInd w:val="0"/>
        <w:snapToGrid w:val="0"/>
        <w:spacing w:beforeLines="80"/>
        <w:ind w:firstLine="335" w:firstLineChars="100"/>
        <w:rPr>
          <w:rFonts w:eastAsia="黑体"/>
          <w:snapToGrid w:val="0"/>
          <w:sz w:val="32"/>
          <w:szCs w:val="32"/>
        </w:rPr>
      </w:pPr>
    </w:p>
    <w:p>
      <w:pPr>
        <w:adjustRightInd w:val="0"/>
        <w:snapToGrid w:val="0"/>
        <w:spacing w:beforeLines="80"/>
        <w:ind w:firstLine="335" w:firstLineChars="100"/>
        <w:rPr>
          <w:rFonts w:eastAsia="黑体"/>
          <w:snapToGrid w:val="0"/>
          <w:sz w:val="32"/>
          <w:szCs w:val="32"/>
        </w:rPr>
      </w:pPr>
    </w:p>
    <w:p>
      <w:pPr>
        <w:adjustRightInd w:val="0"/>
        <w:snapToGrid w:val="0"/>
        <w:spacing w:beforeLines="80"/>
        <w:ind w:firstLine="335" w:firstLineChars="100"/>
        <w:rPr>
          <w:rFonts w:eastAsia="黑体"/>
          <w:snapToGrid w:val="0"/>
          <w:sz w:val="32"/>
          <w:szCs w:val="32"/>
        </w:rPr>
      </w:pPr>
    </w:p>
    <w:p>
      <w:pPr>
        <w:pStyle w:val="52"/>
        <w:spacing w:before="46" w:after="46"/>
        <w:rPr>
          <w:rFonts w:ascii="Times New Roman" w:eastAsia="黑体"/>
          <w:snapToGrid w:val="0"/>
          <w:sz w:val="32"/>
          <w:szCs w:val="32"/>
        </w:rPr>
      </w:pPr>
    </w:p>
    <w:p>
      <w:pPr>
        <w:rPr>
          <w:rFonts w:eastAsia="黑体"/>
          <w:snapToGrid w:val="0"/>
          <w:sz w:val="32"/>
          <w:szCs w:val="32"/>
        </w:rPr>
      </w:pPr>
    </w:p>
    <w:p>
      <w:pPr>
        <w:pStyle w:val="52"/>
        <w:spacing w:before="46" w:after="46"/>
        <w:rPr>
          <w:rFonts w:ascii="Times New Roman" w:eastAsia="黑体"/>
          <w:snapToGrid w:val="0"/>
          <w:sz w:val="32"/>
          <w:szCs w:val="32"/>
        </w:rPr>
      </w:pPr>
    </w:p>
    <w:p>
      <w:pPr>
        <w:rPr>
          <w:rFonts w:eastAsia="黑体"/>
          <w:snapToGrid w:val="0"/>
          <w:sz w:val="32"/>
          <w:szCs w:val="32"/>
        </w:rPr>
      </w:pPr>
    </w:p>
    <w:p>
      <w:pPr>
        <w:pStyle w:val="52"/>
        <w:spacing w:before="46" w:after="46"/>
        <w:rPr>
          <w:rFonts w:ascii="Times New Roman" w:eastAsia="黑体"/>
          <w:snapToGrid w:val="0"/>
          <w:sz w:val="32"/>
          <w:szCs w:val="32"/>
        </w:rPr>
      </w:pPr>
    </w:p>
    <w:p>
      <w:pPr>
        <w:rPr>
          <w:rFonts w:eastAsia="黑体"/>
          <w:snapToGrid w:val="0"/>
          <w:sz w:val="32"/>
          <w:szCs w:val="32"/>
        </w:rPr>
      </w:pPr>
    </w:p>
    <w:p>
      <w:pPr>
        <w:pStyle w:val="52"/>
        <w:spacing w:before="46" w:after="46"/>
        <w:rPr>
          <w:rFonts w:ascii="Times New Roman" w:eastAsia="黑体"/>
          <w:snapToGrid w:val="0"/>
          <w:sz w:val="32"/>
          <w:szCs w:val="32"/>
        </w:rPr>
      </w:pPr>
    </w:p>
    <w:p/>
    <w:p>
      <w:pPr>
        <w:adjustRightInd w:val="0"/>
        <w:snapToGrid w:val="0"/>
        <w:spacing w:beforeLines="80"/>
        <w:ind w:firstLine="2345" w:firstLineChars="700"/>
        <w:rPr>
          <w:rFonts w:eastAsia="黑体"/>
          <w:snapToGrid w:val="0"/>
          <w:sz w:val="32"/>
          <w:szCs w:val="32"/>
        </w:rPr>
      </w:pPr>
      <w:r>
        <w:rPr>
          <w:rFonts w:eastAsia="黑体"/>
          <w:snapToGrid w:val="0"/>
          <w:sz w:val="32"/>
          <w:szCs w:val="32"/>
        </w:rPr>
        <w:t>建设单位：彭阳县水务局</w:t>
      </w:r>
    </w:p>
    <w:p>
      <w:pPr>
        <w:adjustRightInd w:val="0"/>
        <w:snapToGrid w:val="0"/>
        <w:spacing w:beforeLines="80"/>
        <w:ind w:firstLine="2345" w:firstLineChars="700"/>
        <w:rPr>
          <w:rFonts w:eastAsia="黑体"/>
          <w:snapToGrid w:val="0"/>
          <w:sz w:val="32"/>
          <w:szCs w:val="32"/>
        </w:rPr>
        <w:sectPr>
          <w:footerReference r:id="rId9" w:type="default"/>
          <w:pgSz w:w="11905" w:h="16838"/>
          <w:pgMar w:top="1417" w:right="1417" w:bottom="1417" w:left="1417" w:header="850" w:footer="964" w:gutter="0"/>
          <w:pgNumType w:start="1"/>
          <w:cols w:space="720" w:num="1"/>
          <w:docGrid w:type="linesAndChars" w:linePitch="466" w:charSpace="3276"/>
        </w:sectPr>
      </w:pPr>
      <w:r>
        <w:rPr>
          <w:rFonts w:eastAsia="黑体"/>
          <w:snapToGrid w:val="0"/>
          <w:sz w:val="32"/>
          <w:szCs w:val="32"/>
        </w:rPr>
        <w:t>编制日期：2025年7月</w:t>
      </w:r>
    </w:p>
    <w:p>
      <w:pPr>
        <w:spacing w:before="240" w:after="60"/>
        <w:jc w:val="center"/>
        <w:outlineLvl w:val="0"/>
        <w:rPr>
          <w:b/>
          <w:bCs/>
          <w:sz w:val="32"/>
          <w:szCs w:val="32"/>
        </w:rPr>
      </w:pPr>
      <w:bookmarkStart w:id="25" w:name="_Toc7121"/>
      <w:r>
        <w:rPr>
          <w:rFonts w:eastAsia="黑体"/>
          <w:sz w:val="32"/>
          <w:szCs w:val="32"/>
        </w:rPr>
        <w:t>1 概述</w:t>
      </w:r>
      <w:bookmarkEnd w:id="25"/>
    </w:p>
    <w:p>
      <w:pPr>
        <w:pStyle w:val="3"/>
        <w:numPr>
          <w:ilvl w:val="0"/>
          <w:numId w:val="0"/>
        </w:numPr>
      </w:pPr>
      <w:r>
        <w:rPr>
          <w:rFonts w:eastAsia="方正大标宋简体"/>
        </w:rPr>
        <w:t xml:space="preserve">1.1 </w:t>
      </w:r>
      <w:r>
        <w:t>项目由来</w:t>
      </w:r>
    </w:p>
    <w:p>
      <w:pPr>
        <w:ind w:firstLine="510" w:firstLineChars="200"/>
        <w:rPr>
          <w:sz w:val="24"/>
          <w:lang w:val="zh-CN" w:bidi="zh-CN"/>
        </w:rPr>
      </w:pPr>
      <w:r>
        <w:rPr>
          <w:sz w:val="24"/>
          <w:lang w:val="zh-CN" w:bidi="zh-CN"/>
        </w:rPr>
        <w:t>雅石沟水库于1979年12月建成，是一座以防洪为主、兼顾灌溉的水库，水库设计灌溉面积5505亩，水库保护范围为下游3个村等沿途450人、0.2万亩农田的安全。</w:t>
      </w:r>
    </w:p>
    <w:p>
      <w:pPr>
        <w:ind w:firstLine="510" w:firstLineChars="200"/>
        <w:rPr>
          <w:sz w:val="24"/>
          <w:lang w:val="zh-CN" w:bidi="zh-CN"/>
        </w:rPr>
      </w:pPr>
      <w:r>
        <w:rPr>
          <w:sz w:val="24"/>
          <w:lang w:val="zh-CN" w:bidi="zh-CN"/>
        </w:rPr>
        <w:t>雅石沟水库经多年运行，大坝坝基存在砂砾石透水层，坝体局部人工填土渗透系数不满足规范要求，防渗和反滤排水设施不完善。溢洪道进水渠段土体存在冲刷掏空现象，泄槽段底板存在多处纵横向裂缝，边墙后土体存在雨水冲刷掏空形成的孔洞，存在渗流安全隐患。输水涵洞为穿坝建筑物，衬砌局部存在裂缝、露筋现象，存在水库安全隐患日益突出，水库带病运行，危及自身安全，急需除险加固。</w:t>
      </w:r>
    </w:p>
    <w:p>
      <w:pPr>
        <w:ind w:firstLine="510" w:firstLineChars="200"/>
        <w:rPr>
          <w:sz w:val="24"/>
        </w:rPr>
      </w:pPr>
      <w:r>
        <w:rPr>
          <w:sz w:val="24"/>
          <w:lang w:val="zh-CN" w:bidi="zh-CN"/>
        </w:rPr>
        <w:t>为提升雅石沟水库运行安全性，本次拟对水库进行除险加固，本工程不改变现状水库设计运行参数。</w:t>
      </w:r>
    </w:p>
    <w:p>
      <w:pPr>
        <w:pStyle w:val="3"/>
        <w:numPr>
          <w:ilvl w:val="0"/>
          <w:numId w:val="0"/>
        </w:numPr>
      </w:pPr>
      <w:r>
        <w:rPr>
          <w:rFonts w:eastAsia="方正大标宋简体"/>
        </w:rPr>
        <w:t>1.2</w:t>
      </w:r>
      <w:r>
        <w:t>评价目的</w:t>
      </w:r>
    </w:p>
    <w:p>
      <w:pPr>
        <w:ind w:firstLine="510" w:firstLineChars="200"/>
        <w:rPr>
          <w:sz w:val="24"/>
        </w:rPr>
      </w:pPr>
      <w:r>
        <w:rPr>
          <w:sz w:val="24"/>
        </w:rPr>
        <w:t>通过对雅石沟水库开发和利用现状调查与评价，找出项目所在地的主要环境问题，进一步预测和评价项目实施过程中可能对地表水环境造成的直接影响与间接危害，对可能造成的这种影响与危害提出防治对策，预防与控制环境水文地质问题的恶化，为项目建设与环境治理等提供科学依据，以确保当地地表水水资源的可持续开发利用。</w:t>
      </w:r>
    </w:p>
    <w:p>
      <w:pPr>
        <w:sectPr>
          <w:headerReference r:id="rId10" w:type="default"/>
          <w:footerReference r:id="rId11" w:type="default"/>
          <w:pgSz w:w="11905" w:h="16838"/>
          <w:pgMar w:top="1417" w:right="1417" w:bottom="1417" w:left="1417" w:header="850" w:footer="964" w:gutter="0"/>
          <w:pgNumType w:start="1"/>
          <w:cols w:space="720" w:num="1"/>
          <w:docGrid w:type="linesAndChars" w:linePitch="466" w:charSpace="3276"/>
        </w:sectPr>
      </w:pPr>
    </w:p>
    <w:p>
      <w:pPr>
        <w:spacing w:before="240" w:after="60"/>
        <w:jc w:val="center"/>
        <w:outlineLvl w:val="0"/>
      </w:pPr>
      <w:bookmarkStart w:id="26" w:name="_Toc312"/>
      <w:r>
        <w:rPr>
          <w:rFonts w:eastAsia="黑体"/>
          <w:sz w:val="32"/>
        </w:rPr>
        <w:t>2总则</w:t>
      </w:r>
      <w:bookmarkEnd w:id="26"/>
    </w:p>
    <w:p>
      <w:pPr>
        <w:pStyle w:val="3"/>
        <w:numPr>
          <w:ilvl w:val="0"/>
          <w:numId w:val="0"/>
        </w:numPr>
      </w:pPr>
      <w:r>
        <w:t>2.1编制依据</w:t>
      </w:r>
    </w:p>
    <w:p>
      <w:pPr>
        <w:spacing w:before="240" w:after="60"/>
        <w:rPr>
          <w:sz w:val="24"/>
        </w:rPr>
      </w:pPr>
      <w:r>
        <w:rPr>
          <w:rFonts w:eastAsia="黑体"/>
          <w:sz w:val="24"/>
        </w:rPr>
        <w:t>2.1.1法律法规</w:t>
      </w:r>
    </w:p>
    <w:p>
      <w:pPr>
        <w:ind w:firstLine="510" w:firstLineChars="200"/>
        <w:rPr>
          <w:sz w:val="24"/>
        </w:rPr>
      </w:pPr>
      <w:r>
        <w:rPr>
          <w:sz w:val="24"/>
        </w:rPr>
        <w:t>(1)《中华人民共和国水土保持法》(2011年3月1日)；</w:t>
      </w:r>
    </w:p>
    <w:p>
      <w:pPr>
        <w:ind w:firstLine="510" w:firstLineChars="200"/>
        <w:rPr>
          <w:sz w:val="24"/>
        </w:rPr>
      </w:pPr>
      <w:r>
        <w:rPr>
          <w:sz w:val="24"/>
        </w:rPr>
        <w:t>(2)《中华人民共和国环境保护法》(2015年1月1日)；</w:t>
      </w:r>
    </w:p>
    <w:p>
      <w:pPr>
        <w:ind w:firstLine="510" w:firstLineChars="200"/>
        <w:rPr>
          <w:sz w:val="24"/>
        </w:rPr>
      </w:pPr>
      <w:r>
        <w:rPr>
          <w:sz w:val="24"/>
        </w:rPr>
        <w:t>(3)《中华人民共和国防洪法》(2016年7月2日)；</w:t>
      </w:r>
    </w:p>
    <w:p>
      <w:pPr>
        <w:ind w:firstLine="510" w:firstLineChars="200"/>
        <w:rPr>
          <w:sz w:val="24"/>
        </w:rPr>
      </w:pPr>
      <w:r>
        <w:rPr>
          <w:sz w:val="24"/>
        </w:rPr>
        <w:t>(4)《中华人民共和国大气污染防治法》(2018年10月26日)；</w:t>
      </w:r>
    </w:p>
    <w:p>
      <w:pPr>
        <w:ind w:firstLine="510" w:firstLineChars="200"/>
        <w:rPr>
          <w:sz w:val="24"/>
        </w:rPr>
      </w:pPr>
      <w:r>
        <w:rPr>
          <w:sz w:val="24"/>
        </w:rPr>
        <w:t>(5)《中华人民共和国水法》(2016年7月2日)；</w:t>
      </w:r>
    </w:p>
    <w:p>
      <w:pPr>
        <w:ind w:firstLine="510" w:firstLineChars="200"/>
        <w:rPr>
          <w:sz w:val="24"/>
        </w:rPr>
      </w:pPr>
      <w:r>
        <w:rPr>
          <w:sz w:val="24"/>
        </w:rPr>
        <w:t>(6)《中华人民共和国环境影响评价法》(2018年12月29日)；</w:t>
      </w:r>
    </w:p>
    <w:p>
      <w:pPr>
        <w:ind w:firstLine="510" w:firstLineChars="200"/>
        <w:rPr>
          <w:sz w:val="24"/>
        </w:rPr>
      </w:pPr>
      <w:r>
        <w:rPr>
          <w:sz w:val="24"/>
        </w:rPr>
        <w:t>(7)《中华人民共和国水污染防治法》(2018年1月1日)；</w:t>
      </w:r>
    </w:p>
    <w:p>
      <w:pPr>
        <w:ind w:firstLine="510" w:firstLineChars="200"/>
        <w:rPr>
          <w:sz w:val="24"/>
        </w:rPr>
      </w:pPr>
      <w:r>
        <w:rPr>
          <w:sz w:val="24"/>
        </w:rPr>
        <w:t>(8)《中华人民共和国土地管理法》(2019年8月26日)；</w:t>
      </w:r>
    </w:p>
    <w:p>
      <w:pPr>
        <w:ind w:firstLine="510" w:firstLineChars="200"/>
        <w:rPr>
          <w:sz w:val="24"/>
        </w:rPr>
      </w:pPr>
      <w:r>
        <w:rPr>
          <w:sz w:val="24"/>
        </w:rPr>
        <w:t>(9)《中华人民共和国固体废物污染环境防治法》(2020年4月29日修订)；</w:t>
      </w:r>
    </w:p>
    <w:p>
      <w:pPr>
        <w:ind w:firstLine="510" w:firstLineChars="200"/>
        <w:rPr>
          <w:sz w:val="24"/>
        </w:rPr>
      </w:pPr>
      <w:r>
        <w:rPr>
          <w:sz w:val="24"/>
        </w:rPr>
        <w:t>(10)《中华人民共和国噪声污染防治法》(2022年6月5日实施)。</w:t>
      </w:r>
    </w:p>
    <w:p>
      <w:pPr>
        <w:spacing w:before="240" w:after="60"/>
        <w:rPr>
          <w:sz w:val="24"/>
        </w:rPr>
      </w:pPr>
      <w:r>
        <w:rPr>
          <w:rFonts w:eastAsia="黑体"/>
          <w:sz w:val="24"/>
        </w:rPr>
        <w:t>2.1.2部委规章及规范性文件</w:t>
      </w:r>
    </w:p>
    <w:p>
      <w:pPr>
        <w:pStyle w:val="22"/>
        <w:numPr>
          <w:ilvl w:val="0"/>
          <w:numId w:val="7"/>
        </w:numPr>
        <w:spacing w:line="240" w:lineRule="auto"/>
        <w:ind w:left="0" w:leftChars="0" w:firstLine="550" w:firstLineChars="200"/>
      </w:pPr>
      <w:r>
        <w:t>国务院，国发〔2012〕3号，《国务院关于实行最严格水资源管理制度的意见》(2010年1月12日)；</w:t>
      </w:r>
    </w:p>
    <w:p>
      <w:pPr>
        <w:pStyle w:val="22"/>
        <w:numPr>
          <w:ilvl w:val="0"/>
          <w:numId w:val="7"/>
        </w:numPr>
        <w:spacing w:line="240" w:lineRule="auto"/>
        <w:ind w:left="0" w:leftChars="0" w:firstLine="550" w:firstLineChars="200"/>
      </w:pPr>
      <w:r>
        <w:t>国务院，中发〔2011〕1号，《中共中央、国务院关于加快水利改革发展的决定》(2010年12月31日)；</w:t>
      </w:r>
    </w:p>
    <w:p>
      <w:pPr>
        <w:pStyle w:val="22"/>
        <w:numPr>
          <w:ilvl w:val="0"/>
          <w:numId w:val="7"/>
        </w:numPr>
        <w:spacing w:line="240" w:lineRule="auto"/>
        <w:ind w:left="0" w:leftChars="0" w:firstLine="550" w:firstLineChars="200"/>
      </w:pPr>
      <w:r>
        <w:t>国务院，国发〔2015〕17号，《国务院关于印发水污染防治行动计划的通知》(2015年4月2日)；</w:t>
      </w:r>
    </w:p>
    <w:p>
      <w:pPr>
        <w:pStyle w:val="22"/>
        <w:numPr>
          <w:ilvl w:val="0"/>
          <w:numId w:val="7"/>
        </w:numPr>
        <w:spacing w:line="240" w:lineRule="auto"/>
        <w:ind w:left="0" w:leftChars="0" w:firstLine="550" w:firstLineChars="200"/>
      </w:pPr>
      <w:r>
        <w:t>国务院，国务院令第682号，《建设项目环境保护管理条例》(2017年10月1日)；</w:t>
      </w:r>
    </w:p>
    <w:p>
      <w:pPr>
        <w:pStyle w:val="22"/>
        <w:numPr>
          <w:ilvl w:val="0"/>
          <w:numId w:val="7"/>
        </w:numPr>
        <w:spacing w:line="240" w:lineRule="auto"/>
        <w:ind w:left="0" w:leftChars="0" w:firstLine="550" w:firstLineChars="200"/>
      </w:pPr>
      <w:r>
        <w:t>自然资源部，自然资规〔2021〕2号，《自然资源部关于规范临时用地管理的通知》（2021年11月14日）。</w:t>
      </w:r>
    </w:p>
    <w:p>
      <w:pPr>
        <w:pStyle w:val="22"/>
        <w:spacing w:before="240" w:after="60" w:line="240" w:lineRule="auto"/>
        <w:ind w:left="0" w:leftChars="0"/>
      </w:pPr>
      <w:r>
        <w:rPr>
          <w:rFonts w:eastAsia="黑体"/>
          <w:spacing w:val="0"/>
        </w:rPr>
        <w:t>2.1.3地方政府规章及规范</w:t>
      </w:r>
    </w:p>
    <w:p>
      <w:pPr>
        <w:pStyle w:val="22"/>
        <w:spacing w:line="240" w:lineRule="auto"/>
        <w:ind w:left="0" w:leftChars="0" w:firstLine="550" w:firstLineChars="200"/>
      </w:pPr>
      <w:r>
        <w:t>(1)宁夏回族自治区人大常委会，《宁夏回族自治区水工程管理条例》(2003年1月1日)；</w:t>
      </w:r>
    </w:p>
    <w:p>
      <w:pPr>
        <w:pStyle w:val="22"/>
        <w:spacing w:line="240" w:lineRule="auto"/>
        <w:ind w:left="0" w:leftChars="0" w:firstLine="550" w:firstLineChars="200"/>
      </w:pPr>
      <w:r>
        <w:t>(2)《宁夏回族自治区节约用水条例》(2025年3月28日修订)；</w:t>
      </w:r>
    </w:p>
    <w:p>
      <w:pPr>
        <w:pStyle w:val="22"/>
        <w:spacing w:line="240" w:lineRule="auto"/>
        <w:ind w:left="0" w:leftChars="0" w:firstLine="550" w:firstLineChars="200"/>
      </w:pPr>
      <w:r>
        <w:t>(3)宁夏回族自治区人民政府，宁政发〔2012〕58号，《宁夏回族自治区人民政府关于进一步加强环境保护的决定》(2012年4月13日)；</w:t>
      </w:r>
    </w:p>
    <w:p>
      <w:pPr>
        <w:pStyle w:val="22"/>
        <w:spacing w:line="240" w:lineRule="auto"/>
        <w:ind w:left="0" w:leftChars="0" w:firstLine="550" w:firstLineChars="200"/>
      </w:pPr>
      <w:r>
        <w:t>(4)宁夏回族自治区人民政府，宁政发〔2015〕106号，《自治区人民政府关于印发宁夏回族自治区水污染防治工作方案的通知》(2015年12月30日)；</w:t>
      </w:r>
    </w:p>
    <w:p>
      <w:pPr>
        <w:pStyle w:val="22"/>
        <w:spacing w:line="240" w:lineRule="auto"/>
        <w:ind w:left="0" w:leftChars="0" w:firstLine="550" w:firstLineChars="200"/>
      </w:pPr>
      <w:r>
        <w:t>(5)《宁夏回族自治区水资源管理条例》(2017年1月1日)；</w:t>
      </w:r>
    </w:p>
    <w:p>
      <w:pPr>
        <w:pStyle w:val="22"/>
        <w:spacing w:line="240" w:lineRule="auto"/>
        <w:ind w:left="0" w:leftChars="0" w:firstLine="550" w:firstLineChars="200"/>
      </w:pPr>
      <w:r>
        <w:t>(6)《宁夏回族自治区生态环境保护条例》(2024年12月5日修订)；</w:t>
      </w:r>
    </w:p>
    <w:p>
      <w:pPr>
        <w:pStyle w:val="22"/>
        <w:spacing w:line="240" w:lineRule="auto"/>
        <w:ind w:left="0" w:leftChars="0" w:firstLine="550" w:firstLineChars="200"/>
      </w:pPr>
      <w:r>
        <w:t>(7)《宁夏回族自治区水污染防治条例》（2020年1月4日宁夏回族自治区第十二届人民代表大会常务委员会第十七次会议通过）；</w:t>
      </w:r>
    </w:p>
    <w:p>
      <w:pPr>
        <w:pStyle w:val="22"/>
        <w:spacing w:line="240" w:lineRule="auto"/>
        <w:ind w:left="0" w:leftChars="0" w:firstLine="550" w:firstLineChars="200"/>
      </w:pPr>
      <w:r>
        <w:t>(8)自治区人民政府办公厅，宁政办发〔2021〕59号，《自治区人民政府办公厅关于印发宁夏回族自治区生态环境保护“十四五”规划的通知》(2021年9月7日)；</w:t>
      </w:r>
    </w:p>
    <w:p>
      <w:pPr>
        <w:pStyle w:val="22"/>
        <w:spacing w:line="240" w:lineRule="auto"/>
        <w:ind w:left="0" w:leftChars="0" w:firstLine="550" w:firstLineChars="200"/>
      </w:pPr>
      <w:r>
        <w:t>(9)自治区人民政府办公厅，宁政办发〔2021〕82号，《自治区人民政府办公厅关于印发宁夏回族自治区水安全保障“一四五”规划的通知》(2021年11月3日)。</w:t>
      </w:r>
    </w:p>
    <w:p>
      <w:pPr>
        <w:pStyle w:val="22"/>
        <w:spacing w:before="240" w:after="60" w:line="240" w:lineRule="auto"/>
        <w:ind w:left="0" w:leftChars="0"/>
        <w:rPr>
          <w:b/>
          <w:bCs/>
          <w:spacing w:val="0"/>
        </w:rPr>
      </w:pPr>
      <w:r>
        <w:rPr>
          <w:rFonts w:eastAsia="黑体"/>
          <w:spacing w:val="0"/>
        </w:rPr>
        <w:t>2.1.4技术导则和规范</w:t>
      </w:r>
    </w:p>
    <w:p>
      <w:pPr>
        <w:pStyle w:val="22"/>
        <w:spacing w:line="240" w:lineRule="auto"/>
        <w:ind w:left="0" w:leftChars="0" w:firstLine="550" w:firstLineChars="200"/>
      </w:pPr>
      <w:r>
        <w:t>(1)《建设项目环境影响评价技术导则总纲》(HJ2.1-2016)；</w:t>
      </w:r>
    </w:p>
    <w:p>
      <w:pPr>
        <w:pStyle w:val="22"/>
        <w:spacing w:line="240" w:lineRule="auto"/>
        <w:ind w:left="0" w:leftChars="0" w:firstLine="550" w:firstLineChars="200"/>
      </w:pPr>
      <w:r>
        <w:t>(2)《环境影响评价技术导则地表水环境》(HJ2.3-2018)；</w:t>
      </w:r>
    </w:p>
    <w:p>
      <w:pPr>
        <w:pStyle w:val="22"/>
        <w:spacing w:line="240" w:lineRule="auto"/>
        <w:ind w:left="0" w:leftChars="0" w:firstLine="550" w:firstLineChars="200"/>
      </w:pPr>
      <w:r>
        <w:t>(3)《环境影响评价技术导则 水利水电工程》(HJ88-2003)。</w:t>
      </w:r>
    </w:p>
    <w:p>
      <w:pPr>
        <w:pStyle w:val="22"/>
        <w:spacing w:before="240" w:after="60" w:line="240" w:lineRule="auto"/>
        <w:ind w:left="0" w:leftChars="0"/>
      </w:pPr>
      <w:r>
        <w:rPr>
          <w:rFonts w:eastAsia="黑体"/>
          <w:spacing w:val="0"/>
        </w:rPr>
        <w:t>2.1.5项目有关文件</w:t>
      </w:r>
    </w:p>
    <w:p>
      <w:pPr>
        <w:pStyle w:val="22"/>
        <w:spacing w:line="240" w:lineRule="auto"/>
        <w:ind w:left="0" w:leftChars="0" w:firstLine="550" w:firstLineChars="200"/>
      </w:pPr>
      <w:r>
        <w:t>(1)《彭阳县雅石沟水库除险加固工程初步设计报告(报批稿)》(固原市水利勘测设计院有限公司)；</w:t>
      </w:r>
    </w:p>
    <w:p>
      <w:pPr>
        <w:pStyle w:val="22"/>
        <w:spacing w:line="240" w:lineRule="auto"/>
        <w:ind w:left="0" w:leftChars="0" w:firstLine="550" w:firstLineChars="200"/>
      </w:pPr>
      <w:r>
        <w:t>(2)《自治区发展改革委关于彭阳县雅石沟水库除险加固工程初步设计报告的批复》（宁夏回族自治区发展改革委）</w:t>
      </w:r>
    </w:p>
    <w:p>
      <w:pPr>
        <w:pStyle w:val="22"/>
        <w:spacing w:line="240" w:lineRule="auto"/>
        <w:ind w:left="0" w:leftChars="0" w:firstLine="550" w:firstLineChars="200"/>
      </w:pPr>
      <w:r>
        <w:t>(3)建设单位提供的其他与本项目有关的文件。</w:t>
      </w:r>
    </w:p>
    <w:p>
      <w:pPr>
        <w:pStyle w:val="3"/>
        <w:numPr>
          <w:ilvl w:val="0"/>
          <w:numId w:val="0"/>
        </w:numPr>
      </w:pPr>
      <w:r>
        <w:t>2.2工作程序</w:t>
      </w:r>
    </w:p>
    <w:p>
      <w:pPr>
        <w:ind w:firstLine="554" w:firstLineChars="200"/>
        <w:rPr>
          <w:spacing w:val="11"/>
          <w:sz w:val="24"/>
        </w:rPr>
      </w:pPr>
      <w:r>
        <w:rPr>
          <w:spacing w:val="11"/>
          <w:sz w:val="24"/>
        </w:rPr>
        <w:t>在调查和分析评价范围地表水环境质量现状与水环境保护目标的基础上，评价建设项目对地表水环境质量、水环境功能区、水功能区或水环境保护目标及水环境控制单元的影响范围与影响程度，提出相应的环境保护措施、环境管理要求与监测计划，明确给出地表水环境影响是否可接受的结论。</w:t>
      </w:r>
    </w:p>
    <w:p>
      <w:pPr>
        <w:ind w:firstLine="554" w:firstLineChars="200"/>
        <w:rPr>
          <w:spacing w:val="11"/>
          <w:sz w:val="24"/>
        </w:rPr>
      </w:pPr>
      <w:r>
        <w:rPr>
          <w:spacing w:val="11"/>
          <w:sz w:val="24"/>
        </w:rPr>
        <w:t>地表水环境影响评价的工作程序见图2-1，一般分为三个阶段。</w:t>
      </w:r>
    </w:p>
    <w:p>
      <w:pPr>
        <w:ind w:firstLine="554" w:firstLineChars="200"/>
        <w:rPr>
          <w:spacing w:val="11"/>
          <w:sz w:val="24"/>
        </w:rPr>
      </w:pPr>
      <w:r>
        <w:rPr>
          <w:spacing w:val="11"/>
          <w:sz w:val="24"/>
        </w:rPr>
        <w:t>第一阶段，研究有关文件，进行工程方案和环境影响的初步分析，开展区域环境状况的初步调查，明确水环境功能区或水功能区管理要求，识别主要环境影响，确定评价类别。根据不同评价类别，进一步筛选评价因子，确定评价等级与评价范围，明确评价标准、评价重点和水环境保护目标。</w:t>
      </w:r>
    </w:p>
    <w:p>
      <w:pPr>
        <w:ind w:firstLine="554" w:firstLineChars="200"/>
        <w:rPr>
          <w:spacing w:val="11"/>
          <w:sz w:val="24"/>
        </w:rPr>
      </w:pPr>
      <w:r>
        <w:rPr>
          <w:spacing w:val="11"/>
          <w:sz w:val="24"/>
        </w:rPr>
        <w:t>第二阶段，根据评价类别、评价等级及评价范围等，开展与地表水环境影响评价相关的污染源、水环境质量现状、水文水资源与水环境保护目标调查与评价，必要时开展补充监测；选择适合的预测模型，开展地表水环境影响预测评价，分析与评价建设项目对地表水环境质量、水文要素及水环境保护目标的影响范围与程度，在此基础上核算建设项目的污染物排放量、生态流量等。</w:t>
      </w:r>
    </w:p>
    <w:p>
      <w:pPr>
        <w:ind w:firstLine="554" w:firstLineChars="200"/>
        <w:rPr>
          <w:b/>
          <w:bCs/>
          <w:spacing w:val="11"/>
          <w:sz w:val="28"/>
        </w:rPr>
      </w:pPr>
      <w:r>
        <w:rPr>
          <w:spacing w:val="11"/>
          <w:sz w:val="24"/>
        </w:rPr>
        <w:t>第三阶段，根据建设项目地表水环境影响预测与评价的结果，制定地表水环境保护措施，开展地表水环境保护措施的有效性评价，编制地表水环境监测计划，给出建设项目污染物排放清单和地表水环境影响评价的结论，完成环境影响评价文件的编写。</w:t>
      </w:r>
    </w:p>
    <w:p>
      <w:pPr>
        <w:pStyle w:val="22"/>
        <w:ind w:left="452"/>
        <w:sectPr>
          <w:pgSz w:w="11905" w:h="16838"/>
          <w:pgMar w:top="1417" w:right="1417" w:bottom="1417" w:left="1417" w:header="850" w:footer="964" w:gutter="0"/>
          <w:pgNumType w:start="1"/>
          <w:cols w:space="720" w:num="1"/>
          <w:docGrid w:type="linesAndChars" w:linePitch="466" w:charSpace="3276"/>
        </w:sectPr>
      </w:pPr>
    </w:p>
    <w:p>
      <w:pPr>
        <w:sectPr>
          <w:pgSz w:w="11905" w:h="16838"/>
          <w:pgMar w:top="1417" w:right="1417" w:bottom="1417" w:left="1417" w:header="850" w:footer="964" w:gutter="0"/>
          <w:cols w:space="720" w:num="1"/>
          <w:docGrid w:type="linesAndChars" w:linePitch="466" w:charSpace="3276"/>
        </w:sectPr>
      </w:pPr>
      <w:r>
        <mc:AlternateContent>
          <mc:Choice Requires="wps">
            <w:drawing>
              <wp:anchor distT="0" distB="0" distL="114300" distR="114300" simplePos="0" relativeHeight="251660288" behindDoc="0" locked="0" layoutInCell="1" allowOverlap="1">
                <wp:simplePos x="0" y="0"/>
                <wp:positionH relativeFrom="column">
                  <wp:posOffset>1264920</wp:posOffset>
                </wp:positionH>
                <wp:positionV relativeFrom="paragraph">
                  <wp:posOffset>8039100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jc w:val="center"/>
                              <w:rPr>
                                <w:b/>
                                <w:bCs/>
                                <w:color w:val="000000"/>
                                <w:sz w:val="24"/>
                              </w:rPr>
                            </w:pPr>
                            <w:r>
                              <w:rPr>
                                <w:rFonts w:hint="eastAsia" w:eastAsia="黑体" w:cs="黑体"/>
                                <w:color w:val="000000"/>
                                <w:sz w:val="24"/>
                              </w:rPr>
                              <w:t>图2-1  地表水环境影响评价工作程序框图</w:t>
                            </w:r>
                          </w:p>
                        </w:txbxContent>
                      </wps:txbx>
                      <wps:bodyPr vert="horz" wrap="none" anchor="t" anchorCtr="0" upright="0">
                        <a:spAutoFit/>
                      </wps:bodyPr>
                    </wps:wsp>
                  </a:graphicData>
                </a:graphic>
              </wp:anchor>
            </w:drawing>
          </mc:Choice>
          <mc:Fallback>
            <w:pict>
              <v:shape id="_x0000_s1026" o:spid="_x0000_s1026" o:spt="202" type="#_x0000_t202" style="position:absolute;left:0pt;margin-left:99.6pt;margin-top:633pt;height:144pt;width:144pt;mso-wrap-style:none;z-index:251660288;mso-width-relative:page;mso-height-relative:page;" filled="f" stroked="f" coordsize="21600,21600" o:gfxdata="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02fAHZAAAADQEAAA8A&#10;AAAAAAAAAQAgAAAAIgAAAGRycy9kb3ducmV2LnhtbFBLAQIUABQAAAAIAIdO4kDw0GKj3QEAALED&#10;AAAOAAAAAAAAAAEAIAAAACgBAABkcnMvZTJvRG9jLnhtbFBLBQYAAAAABgAGAFkBAAB3BQAAAAA=&#10;">
                <v:fill on="f" focussize="0,0"/>
                <v:stroke on="f" weight="0.5pt"/>
                <v:imagedata o:title=""/>
                <o:lock v:ext="edit" aspectratio="f"/>
                <v:textbox style="mso-fit-shape-to-text:t;">
                  <w:txbxContent>
                    <w:p>
                      <w:pPr>
                        <w:jc w:val="center"/>
                        <w:rPr>
                          <w:b/>
                          <w:bCs/>
                          <w:color w:val="000000"/>
                          <w:sz w:val="24"/>
                        </w:rPr>
                      </w:pPr>
                      <w:r>
                        <w:rPr>
                          <w:rFonts w:hint="eastAsia" w:eastAsia="黑体" w:cs="黑体"/>
                          <w:color w:val="000000"/>
                          <w:sz w:val="24"/>
                        </w:rPr>
                        <w:t>图2-1  地表水环境影响评价工作程序框图</w:t>
                      </w:r>
                    </w:p>
                  </w:txbxContent>
                </v:textbox>
              </v:shape>
            </w:pict>
          </mc:Fallback>
        </mc:AlternateContent>
      </w:r>
      <w:r>
        <w:drawing>
          <wp:anchor distT="0" distB="0" distL="114300" distR="114300" simplePos="0" relativeHeight="251659264" behindDoc="0" locked="0" layoutInCell="1" allowOverlap="1">
            <wp:simplePos x="0" y="0"/>
            <wp:positionH relativeFrom="column">
              <wp:posOffset>0</wp:posOffset>
            </wp:positionH>
            <wp:positionV relativeFrom="paragraph">
              <wp:posOffset>33655</wp:posOffset>
            </wp:positionV>
            <wp:extent cx="5755005" cy="7861300"/>
            <wp:effectExtent l="0" t="0" r="17145" b="635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7"/>
                    <a:stretch>
                      <a:fillRect/>
                    </a:stretch>
                  </pic:blipFill>
                  <pic:spPr>
                    <a:xfrm>
                      <a:off x="0" y="0"/>
                      <a:ext cx="5755005" cy="7861300"/>
                    </a:xfrm>
                    <a:prstGeom prst="rect">
                      <a:avLst/>
                    </a:prstGeom>
                    <a:noFill/>
                    <a:ln>
                      <a:noFill/>
                    </a:ln>
                  </pic:spPr>
                </pic:pic>
              </a:graphicData>
            </a:graphic>
          </wp:anchor>
        </w:drawing>
      </w:r>
    </w:p>
    <w:p>
      <w:pPr>
        <w:pStyle w:val="22"/>
        <w:spacing w:before="240" w:after="60" w:line="240" w:lineRule="auto"/>
        <w:ind w:left="0" w:leftChars="0"/>
        <w:jc w:val="center"/>
        <w:outlineLvl w:val="0"/>
        <w:rPr>
          <w:rFonts w:eastAsia="黑体"/>
        </w:rPr>
      </w:pPr>
      <w:bookmarkStart w:id="27" w:name="_Toc12333"/>
      <w:r>
        <w:rPr>
          <w:rFonts w:eastAsia="黑体"/>
          <w:spacing w:val="11"/>
          <w:sz w:val="32"/>
        </w:rPr>
        <w:t>3评价等级与评价范围</w:t>
      </w:r>
      <w:bookmarkEnd w:id="27"/>
    </w:p>
    <w:p>
      <w:pPr>
        <w:pStyle w:val="3"/>
        <w:numPr>
          <w:ilvl w:val="0"/>
          <w:numId w:val="0"/>
        </w:numPr>
        <w:rPr>
          <w:bCs w:val="0"/>
        </w:rPr>
      </w:pPr>
      <w:r>
        <w:rPr>
          <w:rStyle w:val="35"/>
          <w:bCs/>
        </w:rPr>
        <w:t>3.1</w:t>
      </w:r>
      <w:r>
        <w:rPr>
          <w:bCs w:val="0"/>
          <w:spacing w:val="11"/>
        </w:rPr>
        <w:t>环境影响识别与评价因子筛选</w:t>
      </w:r>
    </w:p>
    <w:p>
      <w:pPr>
        <w:pStyle w:val="22"/>
        <w:spacing w:before="240" w:after="60" w:line="240" w:lineRule="auto"/>
        <w:ind w:left="0" w:leftChars="0"/>
        <w:rPr>
          <w:b/>
          <w:bCs/>
        </w:rPr>
      </w:pPr>
      <w:r>
        <w:rPr>
          <w:rFonts w:eastAsia="黑体"/>
        </w:rPr>
        <w:t>3.1.1环境影响要素识别</w:t>
      </w:r>
    </w:p>
    <w:p>
      <w:pPr>
        <w:ind w:firstLine="510" w:firstLineChars="200"/>
        <w:rPr>
          <w:sz w:val="24"/>
        </w:rPr>
      </w:pPr>
      <w:r>
        <w:rPr>
          <w:sz w:val="24"/>
        </w:rPr>
        <w:t>根据项目的类型、性质及工程建设区的环境现状，工程建设对项目区域环境可能产生的影响既有有利方面，也有不利方面，主要表现在工程施工对地表水水质及水文情势的影响，以及对水生生态环境产生影响。项目可能受影响的环境要素及影响初步判别见表3-1。</w:t>
      </w:r>
    </w:p>
    <w:p>
      <w:pPr>
        <w:pStyle w:val="22"/>
        <w:adjustRightInd w:val="0"/>
        <w:snapToGrid w:val="0"/>
        <w:spacing w:line="240" w:lineRule="auto"/>
        <w:ind w:left="0" w:leftChars="0"/>
        <w:jc w:val="center"/>
        <w:rPr>
          <w:rFonts w:eastAsia="黑体"/>
          <w:spacing w:val="11"/>
        </w:rPr>
      </w:pPr>
      <w:r>
        <w:rPr>
          <w:rFonts w:eastAsia="黑体"/>
          <w:spacing w:val="11"/>
        </w:rPr>
        <w:t>表3-1  项目可能涉及的环境要素及影响判别</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2"/>
        <w:gridCol w:w="2322"/>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restart"/>
            <w:tcBorders>
              <w:tl2br w:val="nil"/>
              <w:tr2bl w:val="nil"/>
            </w:tcBorders>
            <w:noWrap/>
            <w:vAlign w:val="center"/>
          </w:tcPr>
          <w:p>
            <w:pPr>
              <w:adjustRightInd w:val="0"/>
              <w:snapToGrid w:val="0"/>
              <w:jc w:val="center"/>
              <w:rPr>
                <w:b/>
                <w:bCs/>
                <w:spacing w:val="11"/>
                <w:szCs w:val="21"/>
              </w:rPr>
            </w:pPr>
            <w:r>
              <w:rPr>
                <w:b/>
                <w:bCs/>
                <w:spacing w:val="11"/>
                <w:szCs w:val="21"/>
              </w:rPr>
              <w:t>环境要素</w:t>
            </w:r>
          </w:p>
        </w:tc>
        <w:tc>
          <w:tcPr>
            <w:tcW w:w="2322" w:type="dxa"/>
            <w:vMerge w:val="restart"/>
            <w:tcBorders>
              <w:tl2br w:val="nil"/>
              <w:tr2bl w:val="nil"/>
            </w:tcBorders>
            <w:noWrap/>
            <w:vAlign w:val="center"/>
          </w:tcPr>
          <w:p>
            <w:pPr>
              <w:adjustRightInd w:val="0"/>
              <w:snapToGrid w:val="0"/>
              <w:jc w:val="center"/>
              <w:rPr>
                <w:b/>
                <w:bCs/>
                <w:spacing w:val="11"/>
                <w:szCs w:val="21"/>
              </w:rPr>
            </w:pPr>
            <w:r>
              <w:rPr>
                <w:b/>
                <w:bCs/>
                <w:spacing w:val="11"/>
                <w:szCs w:val="21"/>
              </w:rPr>
              <w:t>环境因子</w:t>
            </w:r>
          </w:p>
        </w:tc>
        <w:tc>
          <w:tcPr>
            <w:tcW w:w="2322" w:type="dxa"/>
            <w:tcBorders>
              <w:tl2br w:val="nil"/>
              <w:tr2bl w:val="nil"/>
            </w:tcBorders>
            <w:noWrap/>
            <w:vAlign w:val="center"/>
          </w:tcPr>
          <w:p>
            <w:pPr>
              <w:adjustRightInd w:val="0"/>
              <w:snapToGrid w:val="0"/>
              <w:jc w:val="center"/>
              <w:rPr>
                <w:b/>
                <w:bCs/>
                <w:spacing w:val="11"/>
                <w:szCs w:val="21"/>
              </w:rPr>
            </w:pPr>
            <w:r>
              <w:rPr>
                <w:b/>
                <w:bCs/>
                <w:spacing w:val="11"/>
                <w:szCs w:val="21"/>
              </w:rPr>
              <w:t>施工期</w:t>
            </w:r>
          </w:p>
        </w:tc>
        <w:tc>
          <w:tcPr>
            <w:tcW w:w="2322" w:type="dxa"/>
            <w:tcBorders>
              <w:tl2br w:val="nil"/>
              <w:tr2bl w:val="nil"/>
            </w:tcBorders>
            <w:noWrap/>
            <w:vAlign w:val="center"/>
          </w:tcPr>
          <w:p>
            <w:pPr>
              <w:adjustRightInd w:val="0"/>
              <w:snapToGrid w:val="0"/>
              <w:jc w:val="center"/>
              <w:rPr>
                <w:b/>
                <w:bCs/>
                <w:spacing w:val="11"/>
                <w:szCs w:val="21"/>
              </w:rPr>
            </w:pPr>
            <w:r>
              <w:rPr>
                <w:b/>
                <w:bCs/>
                <w:spacing w:val="11"/>
                <w:szCs w:val="21"/>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continue"/>
            <w:tcBorders>
              <w:tl2br w:val="nil"/>
              <w:tr2bl w:val="nil"/>
            </w:tcBorders>
            <w:noWrap/>
            <w:vAlign w:val="center"/>
          </w:tcPr>
          <w:p>
            <w:pPr>
              <w:adjustRightInd w:val="0"/>
              <w:snapToGrid w:val="0"/>
              <w:jc w:val="center"/>
              <w:rPr>
                <w:b/>
                <w:bCs/>
                <w:spacing w:val="11"/>
                <w:szCs w:val="21"/>
              </w:rPr>
            </w:pPr>
          </w:p>
        </w:tc>
        <w:tc>
          <w:tcPr>
            <w:tcW w:w="2322" w:type="dxa"/>
            <w:vMerge w:val="continue"/>
            <w:tcBorders>
              <w:tl2br w:val="nil"/>
              <w:tr2bl w:val="nil"/>
            </w:tcBorders>
            <w:noWrap/>
            <w:vAlign w:val="center"/>
          </w:tcPr>
          <w:p>
            <w:pPr>
              <w:adjustRightInd w:val="0"/>
              <w:snapToGrid w:val="0"/>
              <w:jc w:val="center"/>
              <w:rPr>
                <w:b/>
                <w:bCs/>
                <w:spacing w:val="11"/>
                <w:szCs w:val="21"/>
              </w:rPr>
            </w:pPr>
          </w:p>
        </w:tc>
        <w:tc>
          <w:tcPr>
            <w:tcW w:w="2322" w:type="dxa"/>
            <w:tcBorders>
              <w:tl2br w:val="nil"/>
              <w:tr2bl w:val="nil"/>
            </w:tcBorders>
            <w:noWrap/>
            <w:vAlign w:val="center"/>
          </w:tcPr>
          <w:p>
            <w:pPr>
              <w:adjustRightInd w:val="0"/>
              <w:snapToGrid w:val="0"/>
              <w:jc w:val="center"/>
              <w:rPr>
                <w:b/>
                <w:bCs/>
                <w:spacing w:val="11"/>
                <w:szCs w:val="21"/>
              </w:rPr>
            </w:pPr>
            <w:r>
              <w:rPr>
                <w:b/>
                <w:bCs/>
                <w:spacing w:val="11"/>
                <w:szCs w:val="21"/>
              </w:rPr>
              <w:t>建筑物工程</w:t>
            </w:r>
          </w:p>
        </w:tc>
        <w:tc>
          <w:tcPr>
            <w:tcW w:w="2322" w:type="dxa"/>
            <w:tcBorders>
              <w:tl2br w:val="nil"/>
              <w:tr2bl w:val="nil"/>
            </w:tcBorders>
            <w:noWrap/>
            <w:vAlign w:val="center"/>
          </w:tcPr>
          <w:p>
            <w:pPr>
              <w:adjustRightInd w:val="0"/>
              <w:snapToGrid w:val="0"/>
              <w:jc w:val="center"/>
              <w:rPr>
                <w:b/>
                <w:bCs/>
                <w:spacing w:val="11"/>
                <w:szCs w:val="21"/>
              </w:rPr>
            </w:pPr>
            <w:r>
              <w:rPr>
                <w:b/>
                <w:bCs/>
                <w:spacing w:val="11"/>
                <w:szCs w:val="21"/>
              </w:rPr>
              <w:t>库区蓄水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restart"/>
            <w:tcBorders>
              <w:tl2br w:val="nil"/>
              <w:tr2bl w:val="nil"/>
            </w:tcBorders>
            <w:noWrap/>
            <w:vAlign w:val="center"/>
          </w:tcPr>
          <w:p>
            <w:pPr>
              <w:adjustRightInd w:val="0"/>
              <w:snapToGrid w:val="0"/>
              <w:jc w:val="center"/>
              <w:rPr>
                <w:spacing w:val="11"/>
                <w:szCs w:val="21"/>
              </w:rPr>
            </w:pPr>
            <w:r>
              <w:rPr>
                <w:spacing w:val="11"/>
                <w:szCs w:val="21"/>
              </w:rPr>
              <w:t>地表水环境</w:t>
            </w:r>
          </w:p>
        </w:tc>
        <w:tc>
          <w:tcPr>
            <w:tcW w:w="2322" w:type="dxa"/>
            <w:tcBorders>
              <w:tl2br w:val="nil"/>
              <w:tr2bl w:val="nil"/>
            </w:tcBorders>
            <w:noWrap/>
            <w:vAlign w:val="center"/>
          </w:tcPr>
          <w:p>
            <w:pPr>
              <w:adjustRightInd w:val="0"/>
              <w:snapToGrid w:val="0"/>
              <w:jc w:val="center"/>
              <w:rPr>
                <w:spacing w:val="11"/>
                <w:szCs w:val="21"/>
              </w:rPr>
            </w:pPr>
            <w:r>
              <w:rPr>
                <w:spacing w:val="11"/>
                <w:szCs w:val="21"/>
              </w:rPr>
              <w:t>水质</w:t>
            </w:r>
          </w:p>
        </w:tc>
        <w:tc>
          <w:tcPr>
            <w:tcW w:w="2322" w:type="dxa"/>
            <w:tcBorders>
              <w:tl2br w:val="nil"/>
              <w:tr2bl w:val="nil"/>
            </w:tcBorders>
            <w:noWrap/>
            <w:vAlign w:val="center"/>
          </w:tcPr>
          <w:p>
            <w:pPr>
              <w:adjustRightInd w:val="0"/>
              <w:snapToGrid w:val="0"/>
              <w:jc w:val="center"/>
              <w:rPr>
                <w:spacing w:val="11"/>
                <w:szCs w:val="21"/>
              </w:rPr>
            </w:pPr>
            <w:r>
              <mc:AlternateContent>
                <mc:Choice Requires="wps">
                  <w:drawing>
                    <wp:anchor distT="0" distB="0" distL="114300" distR="114300" simplePos="0" relativeHeight="251661312" behindDoc="0" locked="0" layoutInCell="1" allowOverlap="1">
                      <wp:simplePos x="0" y="0"/>
                      <wp:positionH relativeFrom="column">
                        <wp:posOffset>746125</wp:posOffset>
                      </wp:positionH>
                      <wp:positionV relativeFrom="paragraph">
                        <wp:posOffset>55880</wp:posOffset>
                      </wp:positionV>
                      <wp:extent cx="134620" cy="123825"/>
                      <wp:effectExtent l="8255" t="10160" r="9525" b="18415"/>
                      <wp:wrapNone/>
                      <wp:docPr id="9" name="等腰三角形 9"/>
                      <wp:cNvGraphicFramePr/>
                      <a:graphic xmlns:a="http://schemas.openxmlformats.org/drawingml/2006/main">
                        <a:graphicData uri="http://schemas.microsoft.com/office/word/2010/wordprocessingShape">
                          <wps:wsp>
                            <wps:cNvSpPr/>
                            <wps:spPr>
                              <a:xfrm>
                                <a:off x="0" y="0"/>
                                <a:ext cx="134620" cy="123825"/>
                              </a:xfrm>
                              <a:prstGeom prst="triangle">
                                <a:avLst>
                                  <a:gd name="adj" fmla="val 50000"/>
                                </a:avLst>
                              </a:prstGeom>
                              <a:noFill/>
                              <a:ln w="9525"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shape id="_x0000_s1026" o:spid="_x0000_s1026" o:spt="5" type="#_x0000_t5" style="position:absolute;left:0pt;margin-left:58.75pt;margin-top:4.4pt;height:9.75pt;width:10.6pt;z-index:251661312;mso-width-relative:page;mso-height-relative:page;" filled="f" stroked="t" coordsize="21600,21600" o:gfxdata="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&#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HIE+NcAAAAIAQAADwAAAAAAAAABACAAAAAiAAAA&#10;ZHJzL2Rvd25yZXYueG1sUEsBAhQAFAAAAAgAh07iQCQ3YhpBAgAAbgQAAA4AAAAAAAAAAQAgAAAA&#10;JgEAAGRycy9lMm9Eb2MueG1sUEsFBgAAAAAGAAYAWQEAANkFAAAAAA==&#10;" adj="10800">
                      <v:fill on="f" focussize="0,0"/>
                      <v:stroke color="#000000" joinstyle="miter"/>
                      <v:imagedata o:title=""/>
                      <o:lock v:ext="edit" aspectratio="f"/>
                    </v:shape>
                  </w:pict>
                </mc:Fallback>
              </mc:AlternateContent>
            </w:r>
            <w:r>
              <w:rPr>
                <w:spacing w:val="11"/>
                <w:szCs w:val="21"/>
              </w:rPr>
              <w:t>-</w:t>
            </w:r>
          </w:p>
        </w:tc>
        <w:tc>
          <w:tcPr>
            <w:tcW w:w="2322" w:type="dxa"/>
            <w:tcBorders>
              <w:tl2br w:val="nil"/>
              <w:tr2bl w:val="nil"/>
            </w:tcBorders>
            <w:noWrap/>
            <w:vAlign w:val="center"/>
          </w:tcPr>
          <w:p>
            <w:pPr>
              <w:adjustRightInd w:val="0"/>
              <w:snapToGrid w:val="0"/>
              <w:jc w:val="center"/>
              <w:rPr>
                <w:spacing w:val="1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continue"/>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r>
              <w:rPr>
                <w:spacing w:val="11"/>
                <w:szCs w:val="21"/>
              </w:rPr>
              <w:t>径流量</w:t>
            </w:r>
          </w:p>
        </w:tc>
        <w:tc>
          <w:tcPr>
            <w:tcW w:w="2322" w:type="dxa"/>
            <w:tcBorders>
              <w:tl2br w:val="nil"/>
              <w:tr2bl w:val="nil"/>
            </w:tcBorders>
            <w:noWrap/>
            <w:vAlign w:val="center"/>
          </w:tcPr>
          <w:p>
            <w:pPr>
              <w:adjustRightInd w:val="0"/>
              <w:snapToGrid w:val="0"/>
              <w:jc w:val="center"/>
              <w:rPr>
                <w:spacing w:val="11"/>
                <w:szCs w:val="21"/>
              </w:rPr>
            </w:pPr>
            <w:r>
              <mc:AlternateContent>
                <mc:Choice Requires="wps">
                  <w:drawing>
                    <wp:anchor distT="0" distB="0" distL="114300" distR="114300" simplePos="0" relativeHeight="251662336" behindDoc="0" locked="0" layoutInCell="1" allowOverlap="1">
                      <wp:simplePos x="0" y="0"/>
                      <wp:positionH relativeFrom="column">
                        <wp:posOffset>755650</wp:posOffset>
                      </wp:positionH>
                      <wp:positionV relativeFrom="paragraph">
                        <wp:posOffset>29845</wp:posOffset>
                      </wp:positionV>
                      <wp:extent cx="134620" cy="123825"/>
                      <wp:effectExtent l="8255" t="10160" r="9525" b="18415"/>
                      <wp:wrapNone/>
                      <wp:docPr id="11" name="等腰三角形 11"/>
                      <wp:cNvGraphicFramePr/>
                      <a:graphic xmlns:a="http://schemas.openxmlformats.org/drawingml/2006/main">
                        <a:graphicData uri="http://schemas.microsoft.com/office/word/2010/wordprocessingShape">
                          <wps:wsp>
                            <wps:cNvSpPr/>
                            <wps:spPr>
                              <a:xfrm>
                                <a:off x="0" y="0"/>
                                <a:ext cx="134620" cy="123825"/>
                              </a:xfrm>
                              <a:prstGeom prst="triangle">
                                <a:avLst>
                                  <a:gd name="adj" fmla="val 50000"/>
                                </a:avLst>
                              </a:prstGeom>
                              <a:noFill/>
                              <a:ln w="9525"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shape id="_x0000_s1026" o:spid="_x0000_s1026" o:spt="5" type="#_x0000_t5" style="position:absolute;left:0pt;margin-left:59.5pt;margin-top:2.35pt;height:9.75pt;width:10.6pt;z-index:251662336;mso-width-relative:page;mso-height-relative:page;" filled="f" stroked="t" coordsize="21600,21600" o:gfxdata="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&#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Nxk1wAAAAgBAAAPAAAAAAAAAAEAIAAAACIAAABk&#10;cnMvZG93bnJldi54bWxQSwECFAAUAAAACACHTuJA+UCmYkACAABwBAAADgAAAAAAAAABACAAAAAm&#10;AQAAZHJzL2Uyb0RvYy54bWxQSwUGAAAAAAYABgBZAQAA2AUAAAAA&#10;" adj="10800">
                      <v:fill on="f" focussize="0,0"/>
                      <v:stroke color="#000000" joinstyle="miter"/>
                      <v:imagedata o:title=""/>
                      <o:lock v:ext="edit" aspectratio="f"/>
                    </v:shape>
                  </w:pict>
                </mc:Fallback>
              </mc:AlternateContent>
            </w:r>
            <w:r>
              <w:rPr>
                <w:spacing w:val="11"/>
                <w:szCs w:val="21"/>
              </w:rPr>
              <w:t>-</w:t>
            </w:r>
          </w:p>
        </w:tc>
        <w:tc>
          <w:tcPr>
            <w:tcW w:w="2322" w:type="dxa"/>
            <w:tcBorders>
              <w:tl2br w:val="nil"/>
              <w:tr2bl w:val="nil"/>
            </w:tcBorders>
            <w:noWrap/>
            <w:vAlign w:val="center"/>
          </w:tcPr>
          <w:p>
            <w:pPr>
              <w:adjustRightInd w:val="0"/>
              <w:snapToGrid w:val="0"/>
              <w:jc w:val="center"/>
              <w:rPr>
                <w:spacing w:val="1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continue"/>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r>
              <w:rPr>
                <w:spacing w:val="11"/>
                <w:szCs w:val="21"/>
              </w:rPr>
              <w:t>水温</w:t>
            </w:r>
          </w:p>
        </w:tc>
        <w:tc>
          <w:tcPr>
            <w:tcW w:w="2322" w:type="dxa"/>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continue"/>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r>
              <w:rPr>
                <w:spacing w:val="11"/>
                <w:szCs w:val="21"/>
              </w:rPr>
              <w:t>富营养化</w:t>
            </w:r>
          </w:p>
        </w:tc>
        <w:tc>
          <w:tcPr>
            <w:tcW w:w="2322" w:type="dxa"/>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continue"/>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r>
              <w:rPr>
                <w:spacing w:val="11"/>
                <w:szCs w:val="21"/>
              </w:rPr>
              <w:t>水面宽</w:t>
            </w:r>
          </w:p>
        </w:tc>
        <w:tc>
          <w:tcPr>
            <w:tcW w:w="2322" w:type="dxa"/>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vMerge w:val="continue"/>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r>
              <w:rPr>
                <w:spacing w:val="11"/>
                <w:szCs w:val="21"/>
              </w:rPr>
              <w:t>水资源利用</w:t>
            </w:r>
          </w:p>
        </w:tc>
        <w:tc>
          <w:tcPr>
            <w:tcW w:w="2322" w:type="dxa"/>
            <w:tcBorders>
              <w:tl2br w:val="nil"/>
              <w:tr2bl w:val="nil"/>
            </w:tcBorders>
            <w:noWrap/>
            <w:vAlign w:val="center"/>
          </w:tcPr>
          <w:p>
            <w:pPr>
              <w:adjustRightInd w:val="0"/>
              <w:snapToGrid w:val="0"/>
              <w:jc w:val="center"/>
              <w:rPr>
                <w:spacing w:val="11"/>
                <w:szCs w:val="21"/>
              </w:rPr>
            </w:pPr>
          </w:p>
        </w:tc>
        <w:tc>
          <w:tcPr>
            <w:tcW w:w="2322" w:type="dxa"/>
            <w:tcBorders>
              <w:tl2br w:val="nil"/>
              <w:tr2bl w:val="nil"/>
            </w:tcBorders>
            <w:noWrap/>
            <w:vAlign w:val="center"/>
          </w:tcPr>
          <w:p>
            <w:pPr>
              <w:adjustRightInd w:val="0"/>
              <w:snapToGrid w:val="0"/>
              <w:jc w:val="center"/>
              <w:rPr>
                <w:spacing w:val="1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7" w:type="dxa"/>
            <w:gridSpan w:val="4"/>
            <w:tcBorders>
              <w:tl2br w:val="nil"/>
              <w:tr2bl w:val="nil"/>
            </w:tcBorders>
            <w:noWrap/>
            <w:vAlign w:val="center"/>
          </w:tcPr>
          <w:p>
            <w:pPr>
              <w:adjustRightInd w:val="0"/>
              <w:snapToGrid w:val="0"/>
              <w:ind w:firstLine="450" w:firstLineChars="200"/>
            </w:pPr>
            <w:r>
              <w:t>备注：由于工程为除险加固，加固前后，水温、富营养化、水面宽基本一致。</w:t>
            </w:r>
          </w:p>
          <w:p>
            <w:pPr>
              <w:pStyle w:val="22"/>
              <w:adjustRightInd w:val="0"/>
              <w:snapToGrid w:val="0"/>
              <w:spacing w:line="240" w:lineRule="auto"/>
              <w:ind w:left="0" w:leftChars="0" w:firstLine="490" w:firstLineChars="200"/>
              <w:rPr>
                <w:sz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167640</wp:posOffset>
                      </wp:positionV>
                      <wp:extent cx="134620" cy="123825"/>
                      <wp:effectExtent l="8255" t="10160" r="9525" b="18415"/>
                      <wp:wrapNone/>
                      <wp:docPr id="5" name="等腰三角形 5"/>
                      <wp:cNvGraphicFramePr/>
                      <a:graphic xmlns:a="http://schemas.openxmlformats.org/drawingml/2006/main">
                        <a:graphicData uri="http://schemas.microsoft.com/office/word/2010/wordprocessingShape">
                          <wps:wsp>
                            <wps:cNvSpPr/>
                            <wps:spPr>
                              <a:xfrm>
                                <a:off x="0" y="0"/>
                                <a:ext cx="134620" cy="123825"/>
                              </a:xfrm>
                              <a:prstGeom prst="triangle">
                                <a:avLst>
                                  <a:gd name="adj" fmla="val 50000"/>
                                </a:avLst>
                              </a:prstGeom>
                              <a:noFill/>
                              <a:ln w="9525"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shape id="_x0000_s1026" o:spid="_x0000_s1026" o:spt="5" type="#_x0000_t5" style="position:absolute;left:0pt;margin-left:22.4pt;margin-top:13.2pt;height:9.75pt;width:10.6pt;z-index:251663360;mso-width-relative:page;mso-height-relative:page;" filled="f" stroked="t" coordsize="21600,21600" o:gfxdata="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WfTS1wAAAAcBAAAPAAAAAAAAAAEAIAAAACIA&#10;AABkcnMvZG93bnJldi54bWxQSwECFAAUAAAACACHTuJAMfLNtEMCAABuBAAADgAAAAAAAAABACAA&#10;AAAmAQAAZHJzL2Uyb0RvYy54bWxQSwUGAAAAAAYABgBZAQAA2wUAAAAA&#10;" adj="10800">
                      <v:fill on="f" focussize="0,0"/>
                      <v:stroke color="#000000" joinstyle="miter"/>
                      <v:imagedata o:title=""/>
                      <o:lock v:ext="edit" aspectratio="f"/>
                    </v:shape>
                  </w:pict>
                </mc:Fallback>
              </mc:AlternateContent>
            </w:r>
            <w:r>
              <w:rPr>
                <w:sz w:val="21"/>
              </w:rPr>
              <w:t>+、-分别表示有利、不利影响。</w:t>
            </w:r>
          </w:p>
          <w:p>
            <w:pPr>
              <w:adjustRightInd w:val="0"/>
              <w:snapToGrid w:val="0"/>
              <w:ind w:firstLine="450" w:firstLineChars="200"/>
            </w:pPr>
            <w:r>
              <mc:AlternateContent>
                <mc:Choice Requires="wps">
                  <w:drawing>
                    <wp:anchor distT="0" distB="0" distL="114300" distR="114300" simplePos="0" relativeHeight="251664384" behindDoc="0" locked="0" layoutInCell="1" allowOverlap="1">
                      <wp:simplePos x="0" y="0"/>
                      <wp:positionH relativeFrom="column">
                        <wp:posOffset>474980</wp:posOffset>
                      </wp:positionH>
                      <wp:positionV relativeFrom="paragraph">
                        <wp:posOffset>4445</wp:posOffset>
                      </wp:positionV>
                      <wp:extent cx="134620" cy="123825"/>
                      <wp:effectExtent l="8255" t="10160" r="9525" b="18415"/>
                      <wp:wrapNone/>
                      <wp:docPr id="3" name="等腰三角形 3"/>
                      <wp:cNvGraphicFramePr/>
                      <a:graphic xmlns:a="http://schemas.openxmlformats.org/drawingml/2006/main">
                        <a:graphicData uri="http://schemas.microsoft.com/office/word/2010/wordprocessingShape">
                          <wps:wsp>
                            <wps:cNvSpPr/>
                            <wps:spPr>
                              <a:xfrm>
                                <a:off x="0" y="0"/>
                                <a:ext cx="134620" cy="123825"/>
                              </a:xfrm>
                              <a:prstGeom prst="triangle">
                                <a:avLst>
                                  <a:gd name="adj" fmla="val 50000"/>
                                </a:avLst>
                              </a:prstGeom>
                              <a:solidFill>
                                <a:srgbClr val="000000"/>
                              </a:solidFill>
                              <a:ln w="9525" cap="flat" cmpd="sng">
                                <a:solidFill>
                                  <a:srgbClr val="000000"/>
                                </a:solidFill>
                                <a:prstDash val="solid"/>
                                <a:miter/>
                                <a:headEnd type="none" w="med" len="med"/>
                                <a:tailEnd type="none" w="med" len="med"/>
                              </a:ln>
                              <a:effectLst/>
                            </wps:spPr>
                            <wps:bodyPr vert="horz" wrap="square" anchor="t" anchorCtr="0" upright="1"/>
                          </wps:wsp>
                        </a:graphicData>
                      </a:graphic>
                    </wp:anchor>
                  </w:drawing>
                </mc:Choice>
                <mc:Fallback>
                  <w:pict>
                    <v:shape id="_x0000_s1026" o:spid="_x0000_s1026" o:spt="5" type="#_x0000_t5" style="position:absolute;left:0pt;margin-left:37.4pt;margin-top:0.35pt;height:9.75pt;width:10.6pt;z-index:251664384;mso-width-relative:page;mso-height-relative:page;" fillcolor="#000000" filled="t" stroked="t" coordsize="21600,21600" o:gfxdata="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4eKtTVAAAABQEAAA8AAAAAAAAAAQAgAAAAIgAAAGRy&#10;cy9kb3ducmV2LnhtbFBLAQIUABQAAAAIAIdO4kACUeg+QQIAAJcEAAAOAAAAAAAAAAEAIAAAACQB&#10;AABkcnMvZTJvRG9jLnhtbFBLBQYAAAAABgAGAFkBAADXBQAAAAA=&#10;" adj="10800">
                      <v:fill on="t" focussize="0,0"/>
                      <v:stroke color="#000000" joinstyle="miter"/>
                      <v:imagedata o:title=""/>
                      <o:lock v:ext="edit" aspectratio="f"/>
                    </v:shape>
                  </w:pict>
                </mc:Fallback>
              </mc:AlternateContent>
            </w:r>
            <w:r>
              <w:rPr>
                <w:spacing w:val="11"/>
              </w:rPr>
              <w:t>、  分别表示短期、长期影响。</w:t>
            </w:r>
          </w:p>
        </w:tc>
      </w:tr>
    </w:tbl>
    <w:p>
      <w:pPr>
        <w:pStyle w:val="22"/>
        <w:spacing w:before="240" w:after="60" w:line="240" w:lineRule="auto"/>
        <w:ind w:left="0" w:leftChars="0"/>
        <w:rPr>
          <w:b/>
          <w:bCs/>
        </w:rPr>
      </w:pPr>
      <w:r>
        <w:rPr>
          <w:rFonts w:eastAsia="黑体"/>
          <w:spacing w:val="11"/>
        </w:rPr>
        <w:t>3.1.2环境影响评价因子筛选</w:t>
      </w:r>
    </w:p>
    <w:p>
      <w:pPr>
        <w:ind w:firstLine="510" w:firstLineChars="200"/>
        <w:rPr>
          <w:sz w:val="24"/>
        </w:rPr>
      </w:pPr>
      <w:r>
        <w:rPr>
          <w:sz w:val="24"/>
        </w:rPr>
        <w:t>对表3-2受工程影响的环境因子进行分类、识别、归纳，经初步识别和筛选确定本工程影响涉及的环境因子见表3-2。根据识别结果，确定评价因子如下：</w:t>
      </w:r>
    </w:p>
    <w:p>
      <w:pPr>
        <w:pStyle w:val="22"/>
        <w:adjustRightInd w:val="0"/>
        <w:snapToGrid w:val="0"/>
        <w:spacing w:line="240" w:lineRule="auto"/>
        <w:ind w:left="0" w:leftChars="0"/>
        <w:jc w:val="center"/>
        <w:rPr>
          <w:rFonts w:eastAsia="黑体"/>
          <w:spacing w:val="11"/>
        </w:rPr>
      </w:pPr>
      <w:r>
        <w:rPr>
          <w:rFonts w:eastAsia="黑体"/>
          <w:spacing w:val="11"/>
        </w:rPr>
        <w:t>表3-2  评价因子筛选表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420"/>
        <w:gridCol w:w="5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tcBorders>
              <w:tl2br w:val="nil"/>
              <w:tr2bl w:val="nil"/>
            </w:tcBorders>
            <w:noWrap/>
            <w:vAlign w:val="center"/>
          </w:tcPr>
          <w:p>
            <w:pPr>
              <w:adjustRightInd w:val="0"/>
              <w:snapToGrid w:val="0"/>
              <w:jc w:val="center"/>
              <w:rPr>
                <w:b/>
                <w:bCs/>
              </w:rPr>
            </w:pPr>
            <w:r>
              <w:rPr>
                <w:b/>
                <w:bCs/>
              </w:rPr>
              <w:t>项目</w:t>
            </w:r>
          </w:p>
        </w:tc>
        <w:tc>
          <w:tcPr>
            <w:tcW w:w="2420" w:type="dxa"/>
            <w:tcBorders>
              <w:tl2br w:val="nil"/>
              <w:tr2bl w:val="nil"/>
            </w:tcBorders>
            <w:noWrap/>
            <w:vAlign w:val="center"/>
          </w:tcPr>
          <w:p>
            <w:pPr>
              <w:adjustRightInd w:val="0"/>
              <w:snapToGrid w:val="0"/>
              <w:jc w:val="center"/>
              <w:rPr>
                <w:b/>
                <w:bCs/>
              </w:rPr>
            </w:pPr>
            <w:r>
              <w:rPr>
                <w:b/>
                <w:bCs/>
              </w:rPr>
              <w:t>环境要素</w:t>
            </w:r>
          </w:p>
        </w:tc>
        <w:tc>
          <w:tcPr>
            <w:tcW w:w="5420" w:type="dxa"/>
            <w:tcBorders>
              <w:tl2br w:val="nil"/>
              <w:tr2bl w:val="nil"/>
            </w:tcBorders>
            <w:noWrap/>
            <w:vAlign w:val="center"/>
          </w:tcPr>
          <w:p>
            <w:pPr>
              <w:adjustRightInd w:val="0"/>
              <w:snapToGrid w:val="0"/>
              <w:jc w:val="center"/>
              <w:rPr>
                <w:b/>
                <w:bCs/>
              </w:rPr>
            </w:pPr>
            <w:r>
              <w:rPr>
                <w:b/>
                <w:bCs/>
              </w:rPr>
              <w:t>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tcBorders>
              <w:tl2br w:val="nil"/>
              <w:tr2bl w:val="nil"/>
            </w:tcBorders>
            <w:noWrap/>
            <w:vAlign w:val="center"/>
          </w:tcPr>
          <w:p>
            <w:pPr>
              <w:adjustRightInd w:val="0"/>
              <w:snapToGrid w:val="0"/>
              <w:jc w:val="center"/>
            </w:pPr>
            <w:r>
              <w:t>现状评价</w:t>
            </w:r>
          </w:p>
        </w:tc>
        <w:tc>
          <w:tcPr>
            <w:tcW w:w="2420" w:type="dxa"/>
            <w:tcBorders>
              <w:tl2br w:val="nil"/>
              <w:tr2bl w:val="nil"/>
            </w:tcBorders>
            <w:noWrap/>
            <w:vAlign w:val="center"/>
          </w:tcPr>
          <w:p>
            <w:pPr>
              <w:adjustRightInd w:val="0"/>
              <w:snapToGrid w:val="0"/>
              <w:jc w:val="center"/>
            </w:pPr>
            <w:r>
              <w:t>水质</w:t>
            </w:r>
          </w:p>
        </w:tc>
        <w:tc>
          <w:tcPr>
            <w:tcW w:w="5420" w:type="dxa"/>
            <w:tcBorders>
              <w:tl2br w:val="nil"/>
              <w:tr2bl w:val="nil"/>
            </w:tcBorders>
            <w:noWrap/>
            <w:vAlign w:val="center"/>
          </w:tcPr>
          <w:p>
            <w:pPr>
              <w:adjustRightInd w:val="0"/>
              <w:snapToGrid w:val="0"/>
              <w:jc w:val="center"/>
            </w:pPr>
            <w:r>
              <w:t>pH、透明度、溶解氧、高锰酸盐指数、氨氮、化学需氧量、五日生化需氧量、石油类、悬浮物、总氮、总磷、叶绿素a、水温、阴离子表面活性剂、氯化物、氟化物、硫化物、全盐量、总铅、总镉、六价铬、总汞、总砷、镍、锌、粪大肠菌群数、蛔虫卵数、进出水口流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vMerge w:val="restart"/>
            <w:tcBorders>
              <w:tl2br w:val="nil"/>
              <w:tr2bl w:val="nil"/>
            </w:tcBorders>
            <w:noWrap/>
            <w:vAlign w:val="center"/>
          </w:tcPr>
          <w:p>
            <w:pPr>
              <w:adjustRightInd w:val="0"/>
              <w:snapToGrid w:val="0"/>
              <w:jc w:val="center"/>
            </w:pPr>
            <w:r>
              <w:t>影响评价</w:t>
            </w:r>
          </w:p>
        </w:tc>
        <w:tc>
          <w:tcPr>
            <w:tcW w:w="2420" w:type="dxa"/>
            <w:tcBorders>
              <w:tl2br w:val="nil"/>
              <w:tr2bl w:val="nil"/>
            </w:tcBorders>
            <w:noWrap/>
            <w:vAlign w:val="center"/>
          </w:tcPr>
          <w:p>
            <w:pPr>
              <w:adjustRightInd w:val="0"/>
              <w:snapToGrid w:val="0"/>
              <w:jc w:val="center"/>
            </w:pPr>
            <w:r>
              <w:t>水质</w:t>
            </w:r>
          </w:p>
        </w:tc>
        <w:tc>
          <w:tcPr>
            <w:tcW w:w="5420" w:type="dxa"/>
            <w:tcBorders>
              <w:tl2br w:val="nil"/>
              <w:tr2bl w:val="nil"/>
            </w:tcBorders>
            <w:noWrap/>
            <w:vAlign w:val="center"/>
          </w:tcPr>
          <w:p>
            <w:pPr>
              <w:adjustRightInd w:val="0"/>
              <w:snapToGrid w:val="0"/>
              <w:jc w:val="center"/>
            </w:pPr>
            <w:r>
              <w:t>pH、化学需氧量、五日生化需氧量、悬浮物、氨氮、SS、总磷、总氮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7" w:type="dxa"/>
            <w:vMerge w:val="continue"/>
            <w:tcBorders>
              <w:tl2br w:val="nil"/>
              <w:tr2bl w:val="nil"/>
            </w:tcBorders>
            <w:noWrap/>
            <w:vAlign w:val="center"/>
          </w:tcPr>
          <w:p>
            <w:pPr>
              <w:adjustRightInd w:val="0"/>
              <w:snapToGrid w:val="0"/>
              <w:jc w:val="center"/>
            </w:pPr>
          </w:p>
        </w:tc>
        <w:tc>
          <w:tcPr>
            <w:tcW w:w="2420" w:type="dxa"/>
            <w:tcBorders>
              <w:tl2br w:val="nil"/>
              <w:tr2bl w:val="nil"/>
            </w:tcBorders>
            <w:noWrap/>
            <w:vAlign w:val="center"/>
          </w:tcPr>
          <w:p>
            <w:pPr>
              <w:adjustRightInd w:val="0"/>
              <w:snapToGrid w:val="0"/>
              <w:jc w:val="center"/>
            </w:pPr>
            <w:r>
              <w:t>水文情势</w:t>
            </w:r>
          </w:p>
        </w:tc>
        <w:tc>
          <w:tcPr>
            <w:tcW w:w="5420" w:type="dxa"/>
            <w:tcBorders>
              <w:tl2br w:val="nil"/>
              <w:tr2bl w:val="nil"/>
            </w:tcBorders>
            <w:noWrap/>
            <w:vAlign w:val="center"/>
          </w:tcPr>
          <w:p>
            <w:pPr>
              <w:adjustRightInd w:val="0"/>
              <w:snapToGrid w:val="0"/>
              <w:jc w:val="center"/>
            </w:pPr>
            <w:r>
              <w:t>径流量、水资源利用、富营养化、水面宽</w:t>
            </w:r>
          </w:p>
        </w:tc>
      </w:tr>
    </w:tbl>
    <w:p>
      <w:pPr>
        <w:pStyle w:val="3"/>
        <w:numPr>
          <w:ilvl w:val="0"/>
          <w:numId w:val="0"/>
        </w:numPr>
      </w:pPr>
      <w:r>
        <w:t>3.2评价等级</w:t>
      </w:r>
    </w:p>
    <w:p>
      <w:pPr>
        <w:ind w:firstLine="510" w:firstLineChars="200"/>
        <w:rPr>
          <w:sz w:val="24"/>
        </w:rPr>
      </w:pPr>
      <w:r>
        <w:rPr>
          <w:sz w:val="24"/>
        </w:rPr>
        <w:t>项目属于水文要素影响型，评价等级划分根据《环境影响评价技术导则-地表水环境》(HJ2.3-2018)表2确定，评价等级判定表如下。</w:t>
      </w:r>
    </w:p>
    <w:p>
      <w:pPr>
        <w:pStyle w:val="22"/>
        <w:adjustRightInd w:val="0"/>
        <w:snapToGrid w:val="0"/>
        <w:spacing w:line="240" w:lineRule="auto"/>
        <w:ind w:left="0" w:leftChars="0"/>
        <w:jc w:val="center"/>
        <w:rPr>
          <w:rFonts w:eastAsia="黑体"/>
          <w:bCs/>
          <w:spacing w:val="0"/>
          <w:kern w:val="0"/>
          <w:szCs w:val="21"/>
        </w:rPr>
      </w:pPr>
      <w:bookmarkStart w:id="28" w:name="bookmark87"/>
      <w:bookmarkStart w:id="29" w:name="bookmark86"/>
      <w:r>
        <w:rPr>
          <w:rFonts w:eastAsia="黑体"/>
          <w:bCs/>
          <w:spacing w:val="0"/>
          <w:kern w:val="0"/>
          <w:szCs w:val="21"/>
        </w:rPr>
        <w:t>表3-3  水文要素影响型建设项目评价等级判定</w:t>
      </w:r>
      <w:bookmarkEnd w:id="28"/>
      <w:bookmarkEnd w:id="29"/>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66"/>
        <w:gridCol w:w="1389"/>
        <w:gridCol w:w="1231"/>
        <w:gridCol w:w="1114"/>
        <w:gridCol w:w="1629"/>
        <w:gridCol w:w="1560"/>
        <w:gridCol w:w="1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dxa"/>
            <w:vMerge w:val="restart"/>
            <w:tcBorders>
              <w:tl2br w:val="nil"/>
              <w:tr2bl w:val="nil"/>
            </w:tcBorders>
            <w:noWrap/>
            <w:vAlign w:val="center"/>
          </w:tcPr>
          <w:p>
            <w:pPr>
              <w:adjustRightInd w:val="0"/>
              <w:snapToGrid w:val="0"/>
              <w:jc w:val="center"/>
            </w:pPr>
            <w:r>
              <w:t>评价</w:t>
            </w:r>
          </w:p>
          <w:p>
            <w:pPr>
              <w:adjustRightInd w:val="0"/>
              <w:snapToGrid w:val="0"/>
              <w:jc w:val="center"/>
            </w:pPr>
            <w:r>
              <w:t>等级</w:t>
            </w:r>
          </w:p>
        </w:tc>
        <w:tc>
          <w:tcPr>
            <w:tcW w:w="1384" w:type="dxa"/>
            <w:tcBorders>
              <w:tl2br w:val="nil"/>
              <w:tr2bl w:val="nil"/>
            </w:tcBorders>
            <w:noWrap/>
            <w:vAlign w:val="center"/>
          </w:tcPr>
          <w:p>
            <w:pPr>
              <w:adjustRightInd w:val="0"/>
              <w:snapToGrid w:val="0"/>
              <w:jc w:val="center"/>
            </w:pPr>
            <w:r>
              <w:t>水温</w:t>
            </w:r>
          </w:p>
        </w:tc>
        <w:tc>
          <w:tcPr>
            <w:tcW w:w="2337" w:type="dxa"/>
            <w:gridSpan w:val="2"/>
            <w:tcBorders>
              <w:tl2br w:val="nil"/>
              <w:tr2bl w:val="nil"/>
            </w:tcBorders>
            <w:noWrap/>
            <w:vAlign w:val="center"/>
          </w:tcPr>
          <w:p>
            <w:pPr>
              <w:adjustRightInd w:val="0"/>
              <w:snapToGrid w:val="0"/>
              <w:jc w:val="center"/>
            </w:pPr>
            <w:r>
              <w:t>径流</w:t>
            </w:r>
          </w:p>
        </w:tc>
        <w:tc>
          <w:tcPr>
            <w:tcW w:w="4586" w:type="dxa"/>
            <w:gridSpan w:val="3"/>
            <w:tcBorders>
              <w:tl2br w:val="nil"/>
              <w:tr2bl w:val="nil"/>
            </w:tcBorders>
            <w:noWrap/>
            <w:vAlign w:val="center"/>
          </w:tcPr>
          <w:p>
            <w:pPr>
              <w:adjustRightInd w:val="0"/>
              <w:snapToGrid w:val="0"/>
              <w:jc w:val="center"/>
            </w:pPr>
            <w:r>
              <w:t>受影响地表水域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dxa"/>
            <w:vMerge w:val="continue"/>
            <w:tcBorders>
              <w:tl2br w:val="nil"/>
              <w:tr2bl w:val="nil"/>
            </w:tcBorders>
            <w:noWrap/>
            <w:vAlign w:val="center"/>
          </w:tcPr>
          <w:p>
            <w:pPr>
              <w:adjustRightInd w:val="0"/>
              <w:snapToGrid w:val="0"/>
              <w:jc w:val="center"/>
            </w:pPr>
          </w:p>
        </w:tc>
        <w:tc>
          <w:tcPr>
            <w:tcW w:w="1384" w:type="dxa"/>
            <w:vMerge w:val="restart"/>
            <w:tcBorders>
              <w:tl2br w:val="nil"/>
              <w:tr2bl w:val="nil"/>
            </w:tcBorders>
            <w:noWrap/>
            <w:vAlign w:val="center"/>
          </w:tcPr>
          <w:p>
            <w:pPr>
              <w:adjustRightInd w:val="0"/>
              <w:snapToGrid w:val="0"/>
              <w:jc w:val="center"/>
            </w:pPr>
            <w:r>
              <w:t>年径流量与总库容百分比a/%</w:t>
            </w:r>
          </w:p>
        </w:tc>
        <w:tc>
          <w:tcPr>
            <w:tcW w:w="1227" w:type="dxa"/>
            <w:vMerge w:val="restart"/>
            <w:tcBorders>
              <w:tl2br w:val="nil"/>
              <w:tr2bl w:val="nil"/>
            </w:tcBorders>
            <w:noWrap/>
            <w:vAlign w:val="center"/>
          </w:tcPr>
          <w:p>
            <w:pPr>
              <w:adjustRightInd w:val="0"/>
              <w:snapToGrid w:val="0"/>
              <w:jc w:val="center"/>
            </w:pPr>
            <w:r>
              <w:t>兴利库容与年径流量百分比</w:t>
            </w:r>
            <w:r>
              <w:rPr>
                <w:lang w:eastAsia="en-US"/>
              </w:rPr>
              <w:t>β</w:t>
            </w:r>
            <w:r>
              <w:t>/%</w:t>
            </w:r>
          </w:p>
        </w:tc>
        <w:tc>
          <w:tcPr>
            <w:tcW w:w="1110" w:type="dxa"/>
            <w:vMerge w:val="restart"/>
            <w:tcBorders>
              <w:tl2br w:val="nil"/>
              <w:tr2bl w:val="nil"/>
            </w:tcBorders>
            <w:noWrap/>
            <w:vAlign w:val="center"/>
          </w:tcPr>
          <w:p>
            <w:pPr>
              <w:adjustRightInd w:val="0"/>
              <w:snapToGrid w:val="0"/>
              <w:jc w:val="center"/>
            </w:pPr>
            <w:r>
              <w:t>取水量占多年平均径流量百分比ɤ%</w:t>
            </w:r>
          </w:p>
        </w:tc>
        <w:tc>
          <w:tcPr>
            <w:tcW w:w="3179" w:type="dxa"/>
            <w:gridSpan w:val="2"/>
            <w:tcBorders>
              <w:tl2br w:val="nil"/>
              <w:tr2bl w:val="nil"/>
            </w:tcBorders>
            <w:noWrap/>
            <w:vAlign w:val="center"/>
          </w:tcPr>
          <w:p>
            <w:pPr>
              <w:adjustRightInd w:val="0"/>
              <w:snapToGrid w:val="0"/>
              <w:jc w:val="center"/>
            </w:pPr>
            <w:r>
              <w:t>工程垂直投影面积</w:t>
            </w:r>
          </w:p>
          <w:p>
            <w:pPr>
              <w:adjustRightInd w:val="0"/>
              <w:snapToGrid w:val="0"/>
              <w:jc w:val="center"/>
            </w:pPr>
            <w:r>
              <w:t>及外扩范围A</w:t>
            </w:r>
            <w:r>
              <w:rPr>
                <w:vertAlign w:val="subscript"/>
              </w:rPr>
              <w:t>1</w:t>
            </w:r>
            <w:r>
              <w:t>/km</w:t>
            </w:r>
            <w:r>
              <w:rPr>
                <w:vertAlign w:val="superscript"/>
              </w:rPr>
              <w:t>2</w:t>
            </w:r>
            <w:r>
              <w:t>；</w:t>
            </w:r>
          </w:p>
          <w:p>
            <w:pPr>
              <w:adjustRightInd w:val="0"/>
              <w:snapToGrid w:val="0"/>
              <w:jc w:val="center"/>
            </w:pPr>
            <w:r>
              <w:t>工程扰动水底面积A</w:t>
            </w:r>
            <w:r>
              <w:rPr>
                <w:vertAlign w:val="subscript"/>
              </w:rPr>
              <w:t>2</w:t>
            </w:r>
            <w:r>
              <w:t>/km</w:t>
            </w:r>
            <w:r>
              <w:rPr>
                <w:vertAlign w:val="superscript"/>
              </w:rPr>
              <w:t>2</w:t>
            </w:r>
            <w:r>
              <w:t>；</w:t>
            </w:r>
          </w:p>
          <w:p>
            <w:pPr>
              <w:adjustRightInd w:val="0"/>
              <w:snapToGrid w:val="0"/>
              <w:jc w:val="center"/>
            </w:pPr>
            <w:r>
              <w:t>过水断面宽度占用比例或占用水域面积比例R/%</w:t>
            </w:r>
          </w:p>
        </w:tc>
        <w:tc>
          <w:tcPr>
            <w:tcW w:w="1407" w:type="dxa"/>
            <w:tcBorders>
              <w:tl2br w:val="nil"/>
              <w:tr2bl w:val="nil"/>
            </w:tcBorders>
            <w:noWrap/>
            <w:vAlign w:val="center"/>
          </w:tcPr>
          <w:p>
            <w:pPr>
              <w:adjustRightInd w:val="0"/>
              <w:snapToGrid w:val="0"/>
              <w:jc w:val="center"/>
            </w:pPr>
            <w:r>
              <w:t>工程垂直投影面积及外扩范围A</w:t>
            </w:r>
            <w:r>
              <w:rPr>
                <w:vertAlign w:val="subscript"/>
              </w:rPr>
              <w:t>1</w:t>
            </w:r>
            <w:r>
              <w:t>/km</w:t>
            </w:r>
            <w:r>
              <w:rPr>
                <w:vertAlign w:val="superscript"/>
              </w:rPr>
              <w:t>2</w:t>
            </w:r>
            <w:r>
              <w:t>；</w:t>
            </w:r>
          </w:p>
          <w:p>
            <w:pPr>
              <w:adjustRightInd w:val="0"/>
              <w:snapToGrid w:val="0"/>
              <w:jc w:val="center"/>
            </w:pPr>
            <w:r>
              <w:t>工程扰动水底面积A</w:t>
            </w:r>
            <w:r>
              <w:rPr>
                <w:vertAlign w:val="subscript"/>
              </w:rPr>
              <w:t>2</w:t>
            </w:r>
            <w:r>
              <w:t>/km</w:t>
            </w:r>
            <w:r>
              <w:rPr>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dxa"/>
            <w:vMerge w:val="continue"/>
            <w:tcBorders>
              <w:tl2br w:val="nil"/>
              <w:tr2bl w:val="nil"/>
            </w:tcBorders>
            <w:noWrap/>
            <w:vAlign w:val="center"/>
          </w:tcPr>
          <w:p>
            <w:pPr>
              <w:adjustRightInd w:val="0"/>
              <w:snapToGrid w:val="0"/>
              <w:jc w:val="center"/>
            </w:pPr>
          </w:p>
        </w:tc>
        <w:tc>
          <w:tcPr>
            <w:tcW w:w="1384" w:type="dxa"/>
            <w:vMerge w:val="continue"/>
            <w:tcBorders>
              <w:tl2br w:val="nil"/>
              <w:tr2bl w:val="nil"/>
            </w:tcBorders>
            <w:noWrap/>
            <w:vAlign w:val="center"/>
          </w:tcPr>
          <w:p>
            <w:pPr>
              <w:adjustRightInd w:val="0"/>
              <w:snapToGrid w:val="0"/>
              <w:jc w:val="center"/>
            </w:pPr>
          </w:p>
        </w:tc>
        <w:tc>
          <w:tcPr>
            <w:tcW w:w="1227" w:type="dxa"/>
            <w:vMerge w:val="continue"/>
            <w:tcBorders>
              <w:tl2br w:val="nil"/>
              <w:tr2bl w:val="nil"/>
            </w:tcBorders>
            <w:noWrap/>
            <w:vAlign w:val="center"/>
          </w:tcPr>
          <w:p>
            <w:pPr>
              <w:adjustRightInd w:val="0"/>
              <w:snapToGrid w:val="0"/>
              <w:jc w:val="center"/>
            </w:pPr>
          </w:p>
        </w:tc>
        <w:tc>
          <w:tcPr>
            <w:tcW w:w="1110" w:type="dxa"/>
            <w:vMerge w:val="continue"/>
            <w:tcBorders>
              <w:tl2br w:val="nil"/>
              <w:tr2bl w:val="nil"/>
            </w:tcBorders>
            <w:noWrap/>
            <w:vAlign w:val="center"/>
          </w:tcPr>
          <w:p>
            <w:pPr>
              <w:adjustRightInd w:val="0"/>
              <w:snapToGrid w:val="0"/>
              <w:jc w:val="center"/>
            </w:pPr>
          </w:p>
        </w:tc>
        <w:tc>
          <w:tcPr>
            <w:tcW w:w="1624" w:type="dxa"/>
            <w:tcBorders>
              <w:tl2br w:val="nil"/>
              <w:tr2bl w:val="nil"/>
            </w:tcBorders>
            <w:noWrap/>
            <w:vAlign w:val="center"/>
          </w:tcPr>
          <w:p>
            <w:pPr>
              <w:adjustRightInd w:val="0"/>
              <w:snapToGrid w:val="0"/>
              <w:jc w:val="center"/>
            </w:pPr>
            <w:r>
              <w:t>河流</w:t>
            </w:r>
          </w:p>
        </w:tc>
        <w:tc>
          <w:tcPr>
            <w:tcW w:w="1555" w:type="dxa"/>
            <w:tcBorders>
              <w:tl2br w:val="nil"/>
              <w:tr2bl w:val="nil"/>
            </w:tcBorders>
            <w:noWrap/>
            <w:vAlign w:val="center"/>
          </w:tcPr>
          <w:p>
            <w:pPr>
              <w:adjustRightInd w:val="0"/>
              <w:snapToGrid w:val="0"/>
              <w:jc w:val="center"/>
            </w:pPr>
            <w:r>
              <w:t>湖库</w:t>
            </w:r>
          </w:p>
        </w:tc>
        <w:tc>
          <w:tcPr>
            <w:tcW w:w="1407" w:type="dxa"/>
            <w:tcBorders>
              <w:tl2br w:val="nil"/>
              <w:tr2bl w:val="nil"/>
            </w:tcBorders>
            <w:noWrap/>
            <w:vAlign w:val="center"/>
          </w:tcPr>
          <w:p>
            <w:pPr>
              <w:adjustRightInd w:val="0"/>
              <w:snapToGrid w:val="0"/>
              <w:jc w:val="center"/>
            </w:pPr>
            <w:r>
              <w:t>入海河口、</w:t>
            </w:r>
          </w:p>
          <w:p>
            <w:pPr>
              <w:adjustRightInd w:val="0"/>
              <w:snapToGrid w:val="0"/>
              <w:jc w:val="center"/>
            </w:pPr>
            <w:r>
              <w:t>近岸海域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dxa"/>
            <w:tcBorders>
              <w:tl2br w:val="nil"/>
              <w:tr2bl w:val="nil"/>
            </w:tcBorders>
            <w:noWrap/>
            <w:vAlign w:val="center"/>
          </w:tcPr>
          <w:p>
            <w:pPr>
              <w:adjustRightInd w:val="0"/>
              <w:snapToGrid w:val="0"/>
              <w:jc w:val="center"/>
            </w:pPr>
            <w:r>
              <w:t>一级</w:t>
            </w:r>
          </w:p>
        </w:tc>
        <w:tc>
          <w:tcPr>
            <w:tcW w:w="1384" w:type="dxa"/>
            <w:tcBorders>
              <w:tl2br w:val="nil"/>
              <w:tr2bl w:val="nil"/>
            </w:tcBorders>
            <w:noWrap/>
            <w:vAlign w:val="center"/>
          </w:tcPr>
          <w:p>
            <w:pPr>
              <w:adjustRightInd w:val="0"/>
              <w:snapToGrid w:val="0"/>
              <w:jc w:val="center"/>
            </w:pPr>
            <w:r>
              <w:rPr>
                <w:lang w:eastAsia="en-US"/>
              </w:rPr>
              <w:t>a&lt;10；</w:t>
            </w:r>
            <w:r>
              <w:t>或稳定分层</w:t>
            </w:r>
          </w:p>
        </w:tc>
        <w:tc>
          <w:tcPr>
            <w:tcW w:w="1227" w:type="dxa"/>
            <w:tcBorders>
              <w:tl2br w:val="nil"/>
              <w:tr2bl w:val="nil"/>
            </w:tcBorders>
            <w:noWrap/>
            <w:vAlign w:val="center"/>
          </w:tcPr>
          <w:p>
            <w:pPr>
              <w:adjustRightInd w:val="0"/>
              <w:snapToGrid w:val="0"/>
              <w:jc w:val="center"/>
            </w:pPr>
            <w:r>
              <w:rPr>
                <w:lang w:eastAsia="en-US"/>
              </w:rPr>
              <w:t>β</w:t>
            </w:r>
            <w:r>
              <w:t>&gt;20；或</w:t>
            </w:r>
          </w:p>
          <w:p>
            <w:pPr>
              <w:adjustRightInd w:val="0"/>
              <w:snapToGrid w:val="0"/>
              <w:jc w:val="center"/>
            </w:pPr>
            <w:r>
              <w:t>完全年调节与多年调节</w:t>
            </w:r>
          </w:p>
        </w:tc>
        <w:tc>
          <w:tcPr>
            <w:tcW w:w="1110" w:type="dxa"/>
            <w:tcBorders>
              <w:tl2br w:val="nil"/>
              <w:tr2bl w:val="nil"/>
            </w:tcBorders>
            <w:noWrap/>
            <w:vAlign w:val="center"/>
          </w:tcPr>
          <w:p>
            <w:pPr>
              <w:adjustRightInd w:val="0"/>
              <w:snapToGrid w:val="0"/>
              <w:jc w:val="center"/>
            </w:pPr>
            <w:r>
              <w:rPr>
                <w:lang w:eastAsia="en-US"/>
              </w:rPr>
              <w:t>ɤ&gt;30</w:t>
            </w:r>
          </w:p>
        </w:tc>
        <w:tc>
          <w:tcPr>
            <w:tcW w:w="1624" w:type="dxa"/>
            <w:tcBorders>
              <w:tl2br w:val="nil"/>
              <w:tr2bl w:val="nil"/>
            </w:tcBorders>
            <w:noWrap/>
            <w:vAlign w:val="center"/>
          </w:tcPr>
          <w:p>
            <w:pPr>
              <w:adjustRightInd w:val="0"/>
              <w:snapToGrid w:val="0"/>
              <w:jc w:val="center"/>
            </w:pPr>
            <w:r>
              <w:rPr>
                <w:lang w:eastAsia="en-US"/>
              </w:rPr>
              <w:t>A</w:t>
            </w:r>
            <w:r>
              <w:rPr>
                <w:vertAlign w:val="subscript"/>
              </w:rPr>
              <w:t>1</w:t>
            </w:r>
            <w:r>
              <w:rPr>
                <w:lang w:eastAsia="en-US"/>
              </w:rPr>
              <w:t>&gt;0.3；</w:t>
            </w:r>
            <w:r>
              <w:t>或</w:t>
            </w:r>
          </w:p>
          <w:p>
            <w:pPr>
              <w:adjustRightInd w:val="0"/>
              <w:snapToGrid w:val="0"/>
              <w:jc w:val="center"/>
            </w:pPr>
            <w:r>
              <w:rPr>
                <w:lang w:eastAsia="en-US"/>
              </w:rPr>
              <w:t>A</w:t>
            </w:r>
            <w:r>
              <w:rPr>
                <w:vertAlign w:val="subscript"/>
                <w:lang w:eastAsia="en-US"/>
              </w:rPr>
              <w:t>2</w:t>
            </w:r>
            <w:r>
              <w:rPr>
                <w:lang w:eastAsia="en-US"/>
              </w:rPr>
              <w:t>&gt;1.5；</w:t>
            </w:r>
            <w:r>
              <w:t>或</w:t>
            </w:r>
          </w:p>
          <w:p>
            <w:pPr>
              <w:adjustRightInd w:val="0"/>
              <w:snapToGrid w:val="0"/>
              <w:jc w:val="center"/>
            </w:pPr>
            <w:r>
              <w:rPr>
                <w:lang w:eastAsia="en-US"/>
              </w:rPr>
              <w:t>R&gt;10</w:t>
            </w:r>
          </w:p>
        </w:tc>
        <w:tc>
          <w:tcPr>
            <w:tcW w:w="1555" w:type="dxa"/>
            <w:tcBorders>
              <w:tl2br w:val="nil"/>
              <w:tr2bl w:val="nil"/>
            </w:tcBorders>
            <w:noWrap/>
            <w:vAlign w:val="center"/>
          </w:tcPr>
          <w:p>
            <w:pPr>
              <w:adjustRightInd w:val="0"/>
              <w:snapToGrid w:val="0"/>
              <w:jc w:val="center"/>
            </w:pPr>
            <w:r>
              <w:rPr>
                <w:lang w:eastAsia="en-US"/>
              </w:rPr>
              <w:t>A</w:t>
            </w:r>
            <w:r>
              <w:rPr>
                <w:vertAlign w:val="subscript"/>
              </w:rPr>
              <w:t>1</w:t>
            </w:r>
            <w:r>
              <w:rPr>
                <w:lang w:eastAsia="en-US"/>
              </w:rPr>
              <w:t>&gt;0.3；</w:t>
            </w:r>
            <w:r>
              <w:t>或</w:t>
            </w:r>
          </w:p>
          <w:p>
            <w:pPr>
              <w:adjustRightInd w:val="0"/>
              <w:snapToGrid w:val="0"/>
              <w:jc w:val="center"/>
            </w:pPr>
            <w:r>
              <w:rPr>
                <w:lang w:eastAsia="en-US"/>
              </w:rPr>
              <w:t>A</w:t>
            </w:r>
            <w:r>
              <w:rPr>
                <w:vertAlign w:val="subscript"/>
                <w:lang w:eastAsia="en-US"/>
              </w:rPr>
              <w:t>2</w:t>
            </w:r>
            <w:r>
              <w:rPr>
                <w:lang w:eastAsia="en-US"/>
              </w:rPr>
              <w:t>&gt;1.5；</w:t>
            </w:r>
            <w:r>
              <w:t>或</w:t>
            </w:r>
          </w:p>
          <w:p>
            <w:pPr>
              <w:adjustRightInd w:val="0"/>
              <w:snapToGrid w:val="0"/>
              <w:jc w:val="center"/>
            </w:pPr>
            <w:r>
              <w:rPr>
                <w:lang w:eastAsia="en-US"/>
              </w:rPr>
              <w:t>R&gt;20</w:t>
            </w:r>
          </w:p>
        </w:tc>
        <w:tc>
          <w:tcPr>
            <w:tcW w:w="1407" w:type="dxa"/>
            <w:tcBorders>
              <w:tl2br w:val="nil"/>
              <w:tr2bl w:val="nil"/>
            </w:tcBorders>
            <w:noWrap/>
            <w:vAlign w:val="center"/>
          </w:tcPr>
          <w:p>
            <w:pPr>
              <w:adjustRightInd w:val="0"/>
              <w:snapToGrid w:val="0"/>
              <w:jc w:val="center"/>
            </w:pPr>
            <w:r>
              <w:rPr>
                <w:lang w:eastAsia="en-US"/>
              </w:rPr>
              <w:t>A</w:t>
            </w:r>
            <w:r>
              <w:rPr>
                <w:vertAlign w:val="subscript"/>
              </w:rPr>
              <w:t>1</w:t>
            </w:r>
            <w:r>
              <w:rPr>
                <w:lang w:eastAsia="en-US"/>
              </w:rPr>
              <w:t>&gt;0.5；</w:t>
            </w:r>
            <w:r>
              <w:t>或</w:t>
            </w:r>
          </w:p>
          <w:p>
            <w:pPr>
              <w:adjustRightInd w:val="0"/>
              <w:snapToGrid w:val="0"/>
              <w:jc w:val="center"/>
            </w:pPr>
            <w:r>
              <w:rPr>
                <w:lang w:eastAsia="en-US"/>
              </w:rPr>
              <w:t>A</w:t>
            </w:r>
            <w:r>
              <w:rPr>
                <w:vertAlign w:val="subscript"/>
                <w:lang w:eastAsia="en-US"/>
              </w:rPr>
              <w:t>2</w:t>
            </w:r>
            <w:r>
              <w:rPr>
                <w:lang w:eastAsia="en-US"/>
              </w:rPr>
              <w:t>&gt;3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dxa"/>
            <w:tcBorders>
              <w:tl2br w:val="nil"/>
              <w:tr2bl w:val="nil"/>
            </w:tcBorders>
            <w:noWrap/>
            <w:vAlign w:val="center"/>
          </w:tcPr>
          <w:p>
            <w:pPr>
              <w:adjustRightInd w:val="0"/>
              <w:snapToGrid w:val="0"/>
              <w:jc w:val="center"/>
            </w:pPr>
            <w:r>
              <w:t>二级</w:t>
            </w:r>
          </w:p>
        </w:tc>
        <w:tc>
          <w:tcPr>
            <w:tcW w:w="1384" w:type="dxa"/>
            <w:tcBorders>
              <w:tl2br w:val="nil"/>
              <w:tr2bl w:val="nil"/>
            </w:tcBorders>
            <w:noWrap/>
            <w:vAlign w:val="center"/>
          </w:tcPr>
          <w:p>
            <w:pPr>
              <w:adjustRightInd w:val="0"/>
              <w:snapToGrid w:val="0"/>
              <w:jc w:val="center"/>
            </w:pPr>
            <w:r>
              <w:rPr>
                <w:lang w:eastAsia="en-US"/>
              </w:rPr>
              <w:t>20&gt;a&gt;10；</w:t>
            </w:r>
            <w:r>
              <w:t>或不稳定分层</w:t>
            </w:r>
          </w:p>
        </w:tc>
        <w:tc>
          <w:tcPr>
            <w:tcW w:w="1227" w:type="dxa"/>
            <w:tcBorders>
              <w:tl2br w:val="nil"/>
              <w:tr2bl w:val="nil"/>
            </w:tcBorders>
            <w:noWrap/>
            <w:vAlign w:val="center"/>
          </w:tcPr>
          <w:p>
            <w:pPr>
              <w:adjustRightInd w:val="0"/>
              <w:snapToGrid w:val="0"/>
              <w:jc w:val="center"/>
            </w:pPr>
            <w:r>
              <w:t>20&gt;</w:t>
            </w:r>
            <w:r>
              <w:rPr>
                <w:lang w:eastAsia="en-US"/>
              </w:rPr>
              <w:t>β</w:t>
            </w:r>
            <w:r>
              <w:t>&gt;2；或季调节与不完全年调节</w:t>
            </w:r>
          </w:p>
        </w:tc>
        <w:tc>
          <w:tcPr>
            <w:tcW w:w="1110" w:type="dxa"/>
            <w:tcBorders>
              <w:tl2br w:val="nil"/>
              <w:tr2bl w:val="nil"/>
            </w:tcBorders>
            <w:noWrap/>
            <w:vAlign w:val="center"/>
          </w:tcPr>
          <w:p>
            <w:pPr>
              <w:adjustRightInd w:val="0"/>
              <w:snapToGrid w:val="0"/>
              <w:jc w:val="center"/>
            </w:pPr>
            <w:r>
              <w:rPr>
                <w:lang w:eastAsia="en-US"/>
              </w:rPr>
              <w:t>30&gt;ɤ&gt;</w:t>
            </w:r>
            <w:r>
              <w:t>10</w:t>
            </w:r>
          </w:p>
        </w:tc>
        <w:tc>
          <w:tcPr>
            <w:tcW w:w="1624" w:type="dxa"/>
            <w:tcBorders>
              <w:tl2br w:val="nil"/>
              <w:tr2bl w:val="nil"/>
            </w:tcBorders>
            <w:noWrap/>
            <w:vAlign w:val="center"/>
          </w:tcPr>
          <w:p>
            <w:pPr>
              <w:adjustRightInd w:val="0"/>
              <w:snapToGrid w:val="0"/>
              <w:jc w:val="center"/>
            </w:pPr>
            <w:r>
              <w:rPr>
                <w:lang w:eastAsia="en-US"/>
              </w:rPr>
              <w:t>0.3&gt;A</w:t>
            </w:r>
            <w:r>
              <w:rPr>
                <w:vertAlign w:val="subscript"/>
              </w:rPr>
              <w:t>1</w:t>
            </w:r>
            <w:r>
              <w:rPr>
                <w:lang w:eastAsia="en-US"/>
              </w:rPr>
              <w:t>&gt;0.05；</w:t>
            </w:r>
            <w:r>
              <w:t>或1.5&gt;</w:t>
            </w:r>
            <w:r>
              <w:rPr>
                <w:lang w:eastAsia="en-US"/>
              </w:rPr>
              <w:t>A</w:t>
            </w:r>
            <w:r>
              <w:rPr>
                <w:vertAlign w:val="subscript"/>
                <w:lang w:eastAsia="en-US"/>
              </w:rPr>
              <w:t>2</w:t>
            </w:r>
            <w:r>
              <w:rPr>
                <w:lang w:eastAsia="en-US"/>
              </w:rPr>
              <w:t>&gt;0.2；</w:t>
            </w:r>
            <w:r>
              <w:t>或10</w:t>
            </w:r>
            <w:r>
              <w:rPr>
                <w:lang w:eastAsia="en-US"/>
              </w:rPr>
              <w:t>&gt;R&gt;5</w:t>
            </w:r>
          </w:p>
        </w:tc>
        <w:tc>
          <w:tcPr>
            <w:tcW w:w="1555" w:type="dxa"/>
            <w:tcBorders>
              <w:tl2br w:val="nil"/>
              <w:tr2bl w:val="nil"/>
            </w:tcBorders>
            <w:noWrap/>
            <w:vAlign w:val="center"/>
          </w:tcPr>
          <w:p>
            <w:pPr>
              <w:adjustRightInd w:val="0"/>
              <w:snapToGrid w:val="0"/>
              <w:jc w:val="center"/>
            </w:pPr>
            <w:r>
              <w:rPr>
                <w:lang w:eastAsia="en-US"/>
              </w:rPr>
              <w:t>0.3&gt;A</w:t>
            </w:r>
            <w:r>
              <w:rPr>
                <w:vertAlign w:val="subscript"/>
              </w:rPr>
              <w:t>1</w:t>
            </w:r>
            <w:r>
              <w:rPr>
                <w:lang w:eastAsia="en-US"/>
              </w:rPr>
              <w:t>&gt;0.05；</w:t>
            </w:r>
            <w:r>
              <w:t>或</w:t>
            </w:r>
            <w:r>
              <w:rPr>
                <w:lang w:eastAsia="en-US"/>
              </w:rPr>
              <w:t>1.5&gt;A</w:t>
            </w:r>
            <w:r>
              <w:rPr>
                <w:vertAlign w:val="subscript"/>
                <w:lang w:eastAsia="en-US"/>
              </w:rPr>
              <w:t>2</w:t>
            </w:r>
            <w:r>
              <w:rPr>
                <w:lang w:eastAsia="en-US"/>
              </w:rPr>
              <w:t>&gt;0.2；</w:t>
            </w:r>
          </w:p>
          <w:p>
            <w:pPr>
              <w:adjustRightInd w:val="0"/>
              <w:snapToGrid w:val="0"/>
              <w:jc w:val="center"/>
            </w:pPr>
            <w:r>
              <w:t>或</w:t>
            </w:r>
            <w:r>
              <w:rPr>
                <w:lang w:eastAsia="en-US"/>
              </w:rPr>
              <w:t>20&gt;R&gt;5</w:t>
            </w:r>
          </w:p>
        </w:tc>
        <w:tc>
          <w:tcPr>
            <w:tcW w:w="1407" w:type="dxa"/>
            <w:tcBorders>
              <w:tl2br w:val="nil"/>
              <w:tr2bl w:val="nil"/>
            </w:tcBorders>
            <w:noWrap/>
            <w:vAlign w:val="center"/>
          </w:tcPr>
          <w:p>
            <w:pPr>
              <w:adjustRightInd w:val="0"/>
              <w:snapToGrid w:val="0"/>
              <w:jc w:val="center"/>
            </w:pPr>
            <w:r>
              <w:rPr>
                <w:lang w:eastAsia="en-US"/>
              </w:rPr>
              <w:t>0.5&gt;A</w:t>
            </w:r>
            <w:r>
              <w:rPr>
                <w:vertAlign w:val="subscript"/>
              </w:rPr>
              <w:t>1</w:t>
            </w:r>
            <w:r>
              <w:rPr>
                <w:lang w:eastAsia="en-US"/>
              </w:rPr>
              <w:t>&gt;0.15；</w:t>
            </w:r>
            <w:r>
              <w:t>或</w:t>
            </w:r>
            <w:r>
              <w:rPr>
                <w:lang w:eastAsia="en-US"/>
              </w:rPr>
              <w:t>3&gt;A</w:t>
            </w:r>
            <w:r>
              <w:rPr>
                <w:vertAlign w:val="subscript"/>
                <w:lang w:eastAsia="en-US"/>
              </w:rPr>
              <w:t>2</w:t>
            </w:r>
            <w:r>
              <w:rPr>
                <w:lang w:eastAsia="en-US"/>
              </w:rPr>
              <w:t>&gt;0.5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4" w:type="dxa"/>
            <w:tcBorders>
              <w:tl2br w:val="nil"/>
              <w:tr2bl w:val="nil"/>
            </w:tcBorders>
            <w:noWrap/>
            <w:vAlign w:val="center"/>
          </w:tcPr>
          <w:p>
            <w:pPr>
              <w:adjustRightInd w:val="0"/>
              <w:snapToGrid w:val="0"/>
              <w:jc w:val="center"/>
            </w:pPr>
            <w:r>
              <w:t>三级</w:t>
            </w:r>
          </w:p>
        </w:tc>
        <w:tc>
          <w:tcPr>
            <w:tcW w:w="1384" w:type="dxa"/>
            <w:tcBorders>
              <w:tl2br w:val="nil"/>
              <w:tr2bl w:val="nil"/>
            </w:tcBorders>
            <w:noWrap/>
            <w:vAlign w:val="center"/>
          </w:tcPr>
          <w:p>
            <w:pPr>
              <w:adjustRightInd w:val="0"/>
              <w:snapToGrid w:val="0"/>
              <w:jc w:val="center"/>
            </w:pPr>
            <w:r>
              <w:rPr>
                <w:lang w:eastAsia="en-US"/>
              </w:rPr>
              <w:t>a&gt;20；</w:t>
            </w:r>
            <w:r>
              <w:t>或混合型</w:t>
            </w:r>
          </w:p>
        </w:tc>
        <w:tc>
          <w:tcPr>
            <w:tcW w:w="1227" w:type="dxa"/>
            <w:tcBorders>
              <w:tl2br w:val="nil"/>
              <w:tr2bl w:val="nil"/>
            </w:tcBorders>
            <w:noWrap/>
            <w:vAlign w:val="center"/>
          </w:tcPr>
          <w:p>
            <w:pPr>
              <w:adjustRightInd w:val="0"/>
              <w:snapToGrid w:val="0"/>
              <w:jc w:val="center"/>
            </w:pPr>
            <w:r>
              <w:rPr>
                <w:lang w:eastAsia="en-US"/>
              </w:rPr>
              <w:t>β&lt;2；</w:t>
            </w:r>
            <w:r>
              <w:t>或无调节径流</w:t>
            </w:r>
          </w:p>
        </w:tc>
        <w:tc>
          <w:tcPr>
            <w:tcW w:w="1110" w:type="dxa"/>
            <w:tcBorders>
              <w:tl2br w:val="nil"/>
              <w:tr2bl w:val="nil"/>
            </w:tcBorders>
            <w:noWrap/>
            <w:vAlign w:val="center"/>
          </w:tcPr>
          <w:p>
            <w:pPr>
              <w:adjustRightInd w:val="0"/>
              <w:snapToGrid w:val="0"/>
              <w:jc w:val="center"/>
            </w:pPr>
            <w:r>
              <w:rPr>
                <w:lang w:eastAsia="en-US"/>
              </w:rPr>
              <w:t>ɤ&lt;10</w:t>
            </w:r>
          </w:p>
        </w:tc>
        <w:tc>
          <w:tcPr>
            <w:tcW w:w="1624" w:type="dxa"/>
            <w:tcBorders>
              <w:tl2br w:val="nil"/>
              <w:tr2bl w:val="nil"/>
            </w:tcBorders>
            <w:noWrap/>
            <w:vAlign w:val="center"/>
          </w:tcPr>
          <w:p>
            <w:pPr>
              <w:adjustRightInd w:val="0"/>
              <w:snapToGrid w:val="0"/>
              <w:jc w:val="center"/>
            </w:pPr>
            <w:r>
              <w:rPr>
                <w:lang w:eastAsia="en-US"/>
              </w:rPr>
              <w:t>A</w:t>
            </w:r>
            <w:r>
              <w:rPr>
                <w:vertAlign w:val="subscript"/>
              </w:rPr>
              <w:t>1</w:t>
            </w:r>
            <w:r>
              <w:rPr>
                <w:lang w:eastAsia="en-US"/>
              </w:rPr>
              <w:t>&lt;0.05；</w:t>
            </w:r>
            <w:r>
              <w:t>或</w:t>
            </w:r>
          </w:p>
          <w:p>
            <w:pPr>
              <w:adjustRightInd w:val="0"/>
              <w:snapToGrid w:val="0"/>
              <w:jc w:val="center"/>
            </w:pPr>
            <w:r>
              <w:rPr>
                <w:lang w:eastAsia="en-US"/>
              </w:rPr>
              <w:t>A</w:t>
            </w:r>
            <w:r>
              <w:rPr>
                <w:vertAlign w:val="subscript"/>
                <w:lang w:eastAsia="en-US"/>
              </w:rPr>
              <w:t>2</w:t>
            </w:r>
            <w:r>
              <w:rPr>
                <w:lang w:eastAsia="en-US"/>
              </w:rPr>
              <w:t>&lt;0.2；</w:t>
            </w:r>
            <w:r>
              <w:t>或</w:t>
            </w:r>
            <w:r>
              <w:rPr>
                <w:lang w:eastAsia="en-US"/>
              </w:rPr>
              <w:t>RV5</w:t>
            </w:r>
          </w:p>
        </w:tc>
        <w:tc>
          <w:tcPr>
            <w:tcW w:w="1555" w:type="dxa"/>
            <w:tcBorders>
              <w:tl2br w:val="nil"/>
              <w:tr2bl w:val="nil"/>
            </w:tcBorders>
            <w:noWrap/>
            <w:vAlign w:val="center"/>
          </w:tcPr>
          <w:p>
            <w:pPr>
              <w:adjustRightInd w:val="0"/>
              <w:snapToGrid w:val="0"/>
              <w:jc w:val="center"/>
            </w:pPr>
            <w:r>
              <w:rPr>
                <w:lang w:eastAsia="en-US"/>
              </w:rPr>
              <w:t>A</w:t>
            </w:r>
            <w:r>
              <w:rPr>
                <w:vertAlign w:val="subscript"/>
              </w:rPr>
              <w:t>1</w:t>
            </w:r>
            <w:r>
              <w:rPr>
                <w:lang w:eastAsia="en-US"/>
              </w:rPr>
              <w:t>&lt;0.05；</w:t>
            </w:r>
            <w:r>
              <w:t>或</w:t>
            </w:r>
            <w:r>
              <w:rPr>
                <w:lang w:eastAsia="en-US"/>
              </w:rPr>
              <w:t>A</w:t>
            </w:r>
            <w:r>
              <w:rPr>
                <w:vertAlign w:val="subscript"/>
                <w:lang w:eastAsia="en-US"/>
              </w:rPr>
              <w:t>2</w:t>
            </w:r>
            <w:r>
              <w:rPr>
                <w:lang w:eastAsia="en-US"/>
              </w:rPr>
              <w:t>&lt;0.2；</w:t>
            </w:r>
            <w:r>
              <w:t>或</w:t>
            </w:r>
            <w:r>
              <w:rPr>
                <w:lang w:eastAsia="en-US"/>
              </w:rPr>
              <w:t>R&lt;5</w:t>
            </w:r>
          </w:p>
        </w:tc>
        <w:tc>
          <w:tcPr>
            <w:tcW w:w="1407" w:type="dxa"/>
            <w:tcBorders>
              <w:tl2br w:val="nil"/>
              <w:tr2bl w:val="nil"/>
            </w:tcBorders>
            <w:noWrap/>
            <w:vAlign w:val="center"/>
          </w:tcPr>
          <w:p>
            <w:pPr>
              <w:adjustRightInd w:val="0"/>
              <w:snapToGrid w:val="0"/>
              <w:jc w:val="center"/>
            </w:pPr>
            <w:r>
              <w:rPr>
                <w:lang w:eastAsia="en-US"/>
              </w:rPr>
              <w:t>A</w:t>
            </w:r>
            <w:r>
              <w:rPr>
                <w:vertAlign w:val="subscript"/>
              </w:rPr>
              <w:t>1</w:t>
            </w:r>
            <w:r>
              <w:rPr>
                <w:lang w:eastAsia="en-US"/>
              </w:rPr>
              <w:t>&lt;0.15；</w:t>
            </w:r>
            <w:r>
              <w:t>或</w:t>
            </w:r>
            <w:r>
              <w:rPr>
                <w:lang w:eastAsia="en-US"/>
              </w:rPr>
              <w:t>A</w:t>
            </w:r>
            <w:r>
              <w:rPr>
                <w:vertAlign w:val="subscript"/>
                <w:lang w:eastAsia="en-US"/>
              </w:rPr>
              <w:t>2</w:t>
            </w:r>
            <w:r>
              <w:rPr>
                <w:lang w:eastAsia="en-US"/>
              </w:rPr>
              <w:t>&lt;0.5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071" w:type="dxa"/>
            <w:gridSpan w:val="7"/>
            <w:tcBorders>
              <w:tl2br w:val="nil"/>
              <w:tr2bl w:val="nil"/>
            </w:tcBorders>
            <w:noWrap/>
            <w:vAlign w:val="center"/>
          </w:tcPr>
          <w:p>
            <w:pPr>
              <w:pStyle w:val="69"/>
              <w:shd w:val="clear" w:color="auto" w:fill="auto"/>
              <w:kinsoku w:val="0"/>
              <w:wordWrap w:val="0"/>
              <w:topLinePunct/>
              <w:adjustRightInd w:val="0"/>
              <w:snapToGrid w:val="0"/>
              <w:spacing w:line="240" w:lineRule="auto"/>
              <w:ind w:firstLine="450" w:firstLineChars="200"/>
              <w:rPr>
                <w:rFonts w:hint="default" w:ascii="Times New Roman" w:eastAsia="宋体"/>
                <w:bCs/>
                <w:sz w:val="21"/>
                <w:szCs w:val="21"/>
              </w:rPr>
            </w:pPr>
            <w:r>
              <w:rPr>
                <w:rStyle w:val="68"/>
                <w:rFonts w:hint="default" w:ascii="Times New Roman" w:eastAsia="宋体"/>
                <w:bCs/>
                <w:sz w:val="21"/>
                <w:szCs w:val="21"/>
              </w:rPr>
              <w:t>注1：影响范围涉及饮用水水源保护区、重点保护与珍稀水生生物的栖息地、重要水生生物的自然产卵场、自然保护区等保护目标，评价等级应不低于二级。</w:t>
            </w:r>
          </w:p>
          <w:p>
            <w:pPr>
              <w:pStyle w:val="69"/>
              <w:shd w:val="clear" w:color="auto" w:fill="auto"/>
              <w:kinsoku w:val="0"/>
              <w:wordWrap w:val="0"/>
              <w:topLinePunct/>
              <w:adjustRightInd w:val="0"/>
              <w:snapToGrid w:val="0"/>
              <w:spacing w:line="240" w:lineRule="auto"/>
              <w:ind w:firstLine="450" w:firstLineChars="200"/>
              <w:rPr>
                <w:rFonts w:hint="default" w:ascii="Times New Roman" w:eastAsia="宋体"/>
                <w:bCs/>
                <w:sz w:val="21"/>
                <w:szCs w:val="21"/>
              </w:rPr>
            </w:pPr>
            <w:r>
              <w:rPr>
                <w:rStyle w:val="68"/>
                <w:rFonts w:hint="default" w:ascii="Times New Roman" w:eastAsia="宋体"/>
                <w:bCs/>
                <w:sz w:val="21"/>
                <w:szCs w:val="21"/>
              </w:rPr>
              <w:t>注2：跨流域调水、引水式电站、可能受到河流感潮河段影响，评价等级不低于二级。</w:t>
            </w:r>
          </w:p>
          <w:p>
            <w:pPr>
              <w:pStyle w:val="69"/>
              <w:shd w:val="clear" w:color="auto" w:fill="auto"/>
              <w:kinsoku w:val="0"/>
              <w:wordWrap w:val="0"/>
              <w:topLinePunct/>
              <w:adjustRightInd w:val="0"/>
              <w:snapToGrid w:val="0"/>
              <w:spacing w:line="240" w:lineRule="auto"/>
              <w:ind w:firstLine="450" w:firstLineChars="200"/>
              <w:rPr>
                <w:rFonts w:hint="default" w:ascii="Times New Roman" w:eastAsia="宋体"/>
                <w:bCs/>
                <w:sz w:val="21"/>
                <w:szCs w:val="21"/>
              </w:rPr>
            </w:pPr>
            <w:r>
              <w:rPr>
                <w:rStyle w:val="68"/>
                <w:rFonts w:hint="default" w:ascii="Times New Roman" w:eastAsia="宋体"/>
                <w:bCs/>
                <w:sz w:val="21"/>
                <w:szCs w:val="21"/>
              </w:rPr>
              <w:t>注3：造成入海河口（湾口）宽度束窄（束窄尺度达到原宽度的5%以上），评价等级应不低于二级。</w:t>
            </w:r>
          </w:p>
          <w:p>
            <w:pPr>
              <w:pStyle w:val="69"/>
              <w:shd w:val="clear" w:color="auto" w:fill="auto"/>
              <w:kinsoku w:val="0"/>
              <w:wordWrap w:val="0"/>
              <w:topLinePunct/>
              <w:adjustRightInd w:val="0"/>
              <w:snapToGrid w:val="0"/>
              <w:spacing w:line="240" w:lineRule="auto"/>
              <w:ind w:firstLine="450" w:firstLineChars="200"/>
              <w:rPr>
                <w:rFonts w:hint="default" w:ascii="Times New Roman" w:eastAsia="宋体"/>
                <w:bCs/>
                <w:sz w:val="21"/>
                <w:szCs w:val="21"/>
              </w:rPr>
            </w:pPr>
            <w:r>
              <w:rPr>
                <w:rStyle w:val="68"/>
                <w:rFonts w:hint="default" w:ascii="Times New Roman" w:eastAsia="宋体"/>
                <w:bCs/>
                <w:sz w:val="21"/>
                <w:szCs w:val="21"/>
              </w:rPr>
              <w:t>注4：对不透水的单方向建筑尺度较长的水工建筑物（如防波堤、导流堤等），其与潮流或水流主流向切线垂直方向投影长度大于2</w:t>
            </w:r>
            <w:r>
              <w:rPr>
                <w:rStyle w:val="68"/>
                <w:rFonts w:hint="default" w:ascii="Times New Roman" w:eastAsia="宋体"/>
                <w:bCs/>
                <w:sz w:val="21"/>
                <w:szCs w:val="21"/>
                <w:lang w:val="en-US"/>
              </w:rPr>
              <w:t>km</w:t>
            </w:r>
            <w:r>
              <w:rPr>
                <w:rStyle w:val="68"/>
                <w:rFonts w:hint="default" w:ascii="Times New Roman" w:eastAsia="宋体"/>
                <w:bCs/>
                <w:sz w:val="21"/>
                <w:szCs w:val="21"/>
              </w:rPr>
              <w:t>时，评价等级应不低于二级。</w:t>
            </w:r>
          </w:p>
          <w:p>
            <w:pPr>
              <w:pStyle w:val="69"/>
              <w:shd w:val="clear" w:color="auto" w:fill="auto"/>
              <w:kinsoku w:val="0"/>
              <w:wordWrap w:val="0"/>
              <w:topLinePunct/>
              <w:adjustRightInd w:val="0"/>
              <w:snapToGrid w:val="0"/>
              <w:spacing w:line="240" w:lineRule="auto"/>
              <w:ind w:firstLine="450" w:firstLineChars="200"/>
              <w:rPr>
                <w:rFonts w:hint="default" w:ascii="Times New Roman" w:eastAsia="宋体"/>
                <w:bCs/>
                <w:sz w:val="21"/>
                <w:szCs w:val="21"/>
              </w:rPr>
            </w:pPr>
            <w:r>
              <w:rPr>
                <w:rStyle w:val="68"/>
                <w:rFonts w:hint="default" w:ascii="Times New Roman" w:eastAsia="宋体"/>
                <w:bCs/>
                <w:sz w:val="21"/>
                <w:szCs w:val="21"/>
              </w:rPr>
              <w:t>注5：允许在一类海域建设的项目，评价等级为一级。</w:t>
            </w:r>
          </w:p>
          <w:p>
            <w:pPr>
              <w:pStyle w:val="69"/>
              <w:shd w:val="clear" w:color="auto" w:fill="auto"/>
              <w:kinsoku w:val="0"/>
              <w:wordWrap w:val="0"/>
              <w:topLinePunct/>
              <w:adjustRightInd w:val="0"/>
              <w:snapToGrid w:val="0"/>
              <w:spacing w:line="240" w:lineRule="auto"/>
              <w:ind w:firstLine="450" w:firstLineChars="200"/>
              <w:rPr>
                <w:rFonts w:hint="default" w:ascii="Times New Roman" w:eastAsia="宋体"/>
                <w:bCs/>
                <w:sz w:val="21"/>
                <w:szCs w:val="21"/>
              </w:rPr>
            </w:pPr>
            <w:r>
              <w:rPr>
                <w:rStyle w:val="68"/>
                <w:rFonts w:hint="default" w:ascii="Times New Roman" w:eastAsia="宋体"/>
                <w:bCs/>
                <w:sz w:val="21"/>
                <w:szCs w:val="21"/>
              </w:rPr>
              <w:t>注6：同时存在多个水文要素影响的建设项目，分别判定各水文要素影响评价等级，并取其中最高等级作为水文要素影响型建设项目评价等级。</w:t>
            </w:r>
          </w:p>
        </w:tc>
      </w:tr>
    </w:tbl>
    <w:p>
      <w:pPr>
        <w:ind w:firstLine="510" w:firstLineChars="200"/>
        <w:rPr>
          <w:sz w:val="24"/>
        </w:rPr>
      </w:pPr>
      <w:r>
        <w:rPr>
          <w:sz w:val="24"/>
        </w:rPr>
        <w:t>本项目为水库除险加固项目，不改变现状水库设计运行参数。根据《环境影响评价技术导则地表水环境》(HJ2.3-2018)，按水文要素型建设项目评价等级划分，根据水温、径流与受影响地表水域等三类水文要素的影响进行判定。</w:t>
      </w:r>
    </w:p>
    <w:p>
      <w:pPr>
        <w:ind w:firstLine="510" w:firstLineChars="200"/>
        <w:rPr>
          <w:sz w:val="24"/>
        </w:rPr>
      </w:pPr>
      <w:r>
        <w:rPr>
          <w:sz w:val="24"/>
        </w:rPr>
        <w:t>本项目施工期将会产生一定量的废水，生活污水依托附近村庄旱厕，定期清掏用于周边绿化施肥，定期由吸污车清掏外运至彭阳县就近污水处理站，洗漱废水用于场区洒水抑尘；运营期间水库运行本身不产生水污染物，且管理人员办公及食宿均不在水库管理范围内。本项目水库除险加固后不改变现状水库设计运行参数，对水温和径流没有影响，因此不考虑水温和径流，只考虑受影响地表水域中工程扰动水底面积。</w:t>
      </w:r>
    </w:p>
    <w:p>
      <w:pPr>
        <w:ind w:firstLine="510" w:firstLineChars="200"/>
        <w:rPr>
          <w:sz w:val="24"/>
        </w:rPr>
      </w:pPr>
      <w:r>
        <w:rPr>
          <w:sz w:val="24"/>
        </w:rPr>
        <w:t>工程垂直投影面积及外扩范围A</w:t>
      </w:r>
      <w:r>
        <w:rPr>
          <w:sz w:val="24"/>
          <w:vertAlign w:val="subscript"/>
        </w:rPr>
        <w:t>1</w:t>
      </w:r>
      <w:r>
        <w:rPr>
          <w:sz w:val="24"/>
        </w:rPr>
        <w:t>：工程主要对水库进行除险加固，不改变原坝址</w:t>
      </w:r>
      <w:r>
        <w:t>，</w:t>
      </w:r>
      <w:r>
        <w:rPr>
          <w:sz w:val="24"/>
        </w:rPr>
        <w:t>A</w:t>
      </w:r>
      <w:r>
        <w:rPr>
          <w:sz w:val="24"/>
          <w:vertAlign w:val="subscript"/>
        </w:rPr>
        <w:t>1</w:t>
      </w:r>
      <w:r>
        <w:rPr>
          <w:sz w:val="24"/>
        </w:rPr>
        <w:t>=0.090。工程扰动水底面积A</w:t>
      </w:r>
      <w:r>
        <w:rPr>
          <w:sz w:val="24"/>
          <w:vertAlign w:val="subscript"/>
        </w:rPr>
        <w:t>2</w:t>
      </w:r>
      <w:r>
        <w:rPr>
          <w:sz w:val="24"/>
        </w:rPr>
        <w:t>：根据施工单位介绍，本项目主体施工不进行清淤，只对坝顶路面硬化改造；后坝坡培宽加厚、排水设施修复改造、坡脚处增设贴坡排水+排水棱体；建筑物改造修复；故主体工程施工不涉及水域；施工安排在非汛期，不需要施工导流，其扰动水底面积A</w:t>
      </w:r>
      <w:r>
        <w:rPr>
          <w:sz w:val="24"/>
          <w:vertAlign w:val="subscript"/>
        </w:rPr>
        <w:t>2</w:t>
      </w:r>
      <w:r>
        <w:rPr>
          <w:sz w:val="24"/>
        </w:rPr>
        <w:t>=0.00098。</w:t>
      </w:r>
    </w:p>
    <w:p>
      <w:pPr>
        <w:ind w:firstLine="510" w:firstLineChars="200"/>
        <w:rPr>
          <w:sz w:val="24"/>
        </w:rPr>
      </w:pPr>
      <w:r>
        <w:rPr>
          <w:sz w:val="24"/>
        </w:rPr>
        <w:t>综上，本项目评价区不涉及饮用水水源保护区、重点保护与珍稀水生生物的栖息地、重要水生生物的自然产卵场、自然保护区等保护目标，确定本项目地表水环境影响评价等级为三级。</w:t>
      </w:r>
    </w:p>
    <w:p>
      <w:pPr>
        <w:pStyle w:val="3"/>
        <w:numPr>
          <w:ilvl w:val="0"/>
          <w:numId w:val="0"/>
        </w:numPr>
      </w:pPr>
      <w:r>
        <w:t>3.3评价范围</w:t>
      </w:r>
    </w:p>
    <w:p>
      <w:pPr>
        <w:ind w:firstLine="510" w:firstLineChars="200"/>
        <w:rPr>
          <w:sz w:val="24"/>
        </w:rPr>
      </w:pPr>
      <w:r>
        <w:rPr>
          <w:sz w:val="24"/>
        </w:rPr>
        <w:t>本项目为水文要素影响型项目，根据《环境影响评价技术导则 地表水环境》(HJ2.3-2018)，水文要素影响型建设项目评价范围，根据评价等级、水文要素影响类别、影响及恢复程度确定，评价范围应符合以下要求：</w:t>
      </w:r>
    </w:p>
    <w:p>
      <w:pPr>
        <w:numPr>
          <w:ilvl w:val="0"/>
          <w:numId w:val="8"/>
        </w:numPr>
        <w:ind w:firstLine="510" w:firstLineChars="200"/>
        <w:rPr>
          <w:sz w:val="24"/>
        </w:rPr>
      </w:pPr>
      <w:r>
        <w:rPr>
          <w:sz w:val="24"/>
        </w:rPr>
        <w:t>水温要素影响评价范围为建设项目形成水温分层水域，以及下游未恢复到天然(或建设项目建设前)水温的水域；</w:t>
      </w:r>
    </w:p>
    <w:p>
      <w:pPr>
        <w:numPr>
          <w:ilvl w:val="0"/>
          <w:numId w:val="8"/>
        </w:numPr>
        <w:ind w:firstLine="510" w:firstLineChars="200"/>
        <w:rPr>
          <w:sz w:val="24"/>
        </w:rPr>
      </w:pPr>
      <w:r>
        <w:rPr>
          <w:sz w:val="24"/>
        </w:rPr>
        <w:t>径流要素影响评价范围为水体天然性状发生变化的水域，以及下游增减水影响水域；</w:t>
      </w:r>
    </w:p>
    <w:p>
      <w:pPr>
        <w:numPr>
          <w:ilvl w:val="0"/>
          <w:numId w:val="8"/>
        </w:numPr>
        <w:ind w:firstLine="510" w:firstLineChars="200"/>
        <w:rPr>
          <w:sz w:val="24"/>
        </w:rPr>
      </w:pPr>
      <w:r>
        <w:rPr>
          <w:sz w:val="24"/>
        </w:rPr>
        <w:t>地表水域影响评价范围为相对建设项目建设前日均或潮均流速及水深或高(累积频率5%)低(累积频率90%)水位(潮位)变化幅度超过+5%的水域；</w:t>
      </w:r>
    </w:p>
    <w:p>
      <w:pPr>
        <w:numPr>
          <w:ilvl w:val="0"/>
          <w:numId w:val="8"/>
        </w:numPr>
        <w:ind w:firstLine="510" w:firstLineChars="200"/>
        <w:rPr>
          <w:sz w:val="24"/>
        </w:rPr>
      </w:pPr>
      <w:r>
        <w:rPr>
          <w:sz w:val="24"/>
        </w:rPr>
        <w:t>建设项目影响范围涉及水环境保护目标的，评价范围至少应扩大到水环境保护目标内受影响的水域；</w:t>
      </w:r>
    </w:p>
    <w:p>
      <w:pPr>
        <w:ind w:firstLine="510" w:firstLineChars="200"/>
        <w:rPr>
          <w:sz w:val="24"/>
        </w:rPr>
      </w:pPr>
      <w:r>
        <w:rPr>
          <w:sz w:val="24"/>
        </w:rPr>
        <w:t>E）存在多类水文要素影响的建设项目，应分别确定各水文要素影响评价范围，采取各水文要素评价范围的外包线作为水文要素的评价范围。</w:t>
      </w:r>
    </w:p>
    <w:p>
      <w:pPr>
        <w:ind w:firstLine="510" w:firstLineChars="200"/>
        <w:rPr>
          <w:sz w:val="24"/>
        </w:rPr>
      </w:pPr>
      <w:r>
        <w:rPr>
          <w:sz w:val="24"/>
        </w:rPr>
        <w:t>由于本工程建设不影响现状水库设计运行参数，除险加固后水库运行调试方式不发生变化，水温不变，水库除险加固后不影响上下游径流量，不影响区域水资源量，本次评价范围为雅石沟水库水域，主要分析施工期对库区及下游水文情势的影响。</w:t>
      </w:r>
    </w:p>
    <w:p>
      <w:pPr>
        <w:pStyle w:val="3"/>
        <w:numPr>
          <w:ilvl w:val="0"/>
          <w:numId w:val="0"/>
        </w:numPr>
      </w:pPr>
      <w:r>
        <w:t>3.4评价时期</w:t>
      </w:r>
    </w:p>
    <w:p>
      <w:pPr>
        <w:ind w:firstLine="510" w:firstLineChars="200"/>
        <w:rPr>
          <w:sz w:val="24"/>
        </w:rPr>
      </w:pPr>
      <w:r>
        <w:rPr>
          <w:sz w:val="24"/>
        </w:rPr>
        <w:t>项目评价时期确定情况详见表3-4。</w:t>
      </w:r>
    </w:p>
    <w:p>
      <w:pPr>
        <w:pStyle w:val="22"/>
        <w:adjustRightInd w:val="0"/>
        <w:snapToGrid w:val="0"/>
        <w:spacing w:line="240" w:lineRule="auto"/>
        <w:ind w:left="0" w:leftChars="0"/>
        <w:jc w:val="center"/>
        <w:rPr>
          <w:rFonts w:eastAsia="黑体"/>
          <w:spacing w:val="11"/>
        </w:rPr>
      </w:pPr>
    </w:p>
    <w:p>
      <w:pPr>
        <w:pStyle w:val="22"/>
        <w:adjustRightInd w:val="0"/>
        <w:snapToGrid w:val="0"/>
        <w:spacing w:line="240" w:lineRule="auto"/>
        <w:ind w:left="0" w:leftChars="0"/>
        <w:jc w:val="center"/>
        <w:rPr>
          <w:rFonts w:eastAsia="黑体"/>
          <w:spacing w:val="11"/>
        </w:rPr>
      </w:pPr>
    </w:p>
    <w:p>
      <w:pPr>
        <w:pStyle w:val="22"/>
        <w:adjustRightInd w:val="0"/>
        <w:snapToGrid w:val="0"/>
        <w:spacing w:line="240" w:lineRule="auto"/>
        <w:ind w:left="0" w:leftChars="0"/>
        <w:jc w:val="center"/>
        <w:rPr>
          <w:rFonts w:eastAsia="黑体"/>
          <w:spacing w:val="11"/>
        </w:rPr>
      </w:pPr>
      <w:r>
        <w:rPr>
          <w:rFonts w:eastAsia="黑体"/>
          <w:spacing w:val="11"/>
        </w:rPr>
        <w:t>表3-4  评价时期确定表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3090"/>
        <w:gridCol w:w="2325"/>
        <w:gridCol w:w="2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vMerge w:val="restart"/>
            <w:tcBorders>
              <w:tl2br w:val="nil"/>
              <w:tr2bl w:val="nil"/>
            </w:tcBorders>
            <w:noWrap/>
            <w:vAlign w:val="center"/>
          </w:tcPr>
          <w:p>
            <w:pPr>
              <w:adjustRightInd w:val="0"/>
              <w:snapToGrid w:val="0"/>
              <w:jc w:val="center"/>
              <w:rPr>
                <w:b/>
                <w:bCs/>
              </w:rPr>
            </w:pPr>
            <w:r>
              <w:rPr>
                <w:b/>
                <w:bCs/>
              </w:rPr>
              <w:t>受影响地表水体类型</w:t>
            </w:r>
          </w:p>
        </w:tc>
        <w:tc>
          <w:tcPr>
            <w:tcW w:w="7816" w:type="dxa"/>
            <w:gridSpan w:val="3"/>
            <w:tcBorders>
              <w:tl2br w:val="nil"/>
              <w:tr2bl w:val="nil"/>
            </w:tcBorders>
            <w:noWrap/>
            <w:vAlign w:val="center"/>
          </w:tcPr>
          <w:p>
            <w:pPr>
              <w:adjustRightInd w:val="0"/>
              <w:snapToGrid w:val="0"/>
              <w:jc w:val="center"/>
              <w:rPr>
                <w:b/>
                <w:bCs/>
              </w:rPr>
            </w:pPr>
            <w:r>
              <w:rPr>
                <w:b/>
                <w:bCs/>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vMerge w:val="continue"/>
            <w:tcBorders>
              <w:tl2br w:val="nil"/>
              <w:tr2bl w:val="nil"/>
            </w:tcBorders>
            <w:noWrap/>
            <w:vAlign w:val="center"/>
          </w:tcPr>
          <w:p>
            <w:pPr>
              <w:adjustRightInd w:val="0"/>
              <w:snapToGrid w:val="0"/>
              <w:jc w:val="center"/>
              <w:rPr>
                <w:b/>
                <w:bCs/>
              </w:rPr>
            </w:pPr>
          </w:p>
        </w:tc>
        <w:tc>
          <w:tcPr>
            <w:tcW w:w="3090" w:type="dxa"/>
            <w:tcBorders>
              <w:tl2br w:val="nil"/>
              <w:tr2bl w:val="nil"/>
            </w:tcBorders>
            <w:noWrap/>
            <w:vAlign w:val="center"/>
          </w:tcPr>
          <w:p>
            <w:pPr>
              <w:adjustRightInd w:val="0"/>
              <w:snapToGrid w:val="0"/>
              <w:jc w:val="center"/>
              <w:rPr>
                <w:b/>
                <w:bCs/>
              </w:rPr>
            </w:pPr>
            <w:r>
              <w:rPr>
                <w:b/>
                <w:bCs/>
              </w:rPr>
              <w:t>一级</w:t>
            </w:r>
          </w:p>
        </w:tc>
        <w:tc>
          <w:tcPr>
            <w:tcW w:w="2325" w:type="dxa"/>
            <w:tcBorders>
              <w:tl2br w:val="nil"/>
              <w:tr2bl w:val="nil"/>
            </w:tcBorders>
            <w:noWrap/>
            <w:vAlign w:val="center"/>
          </w:tcPr>
          <w:p>
            <w:pPr>
              <w:adjustRightInd w:val="0"/>
              <w:snapToGrid w:val="0"/>
              <w:jc w:val="center"/>
              <w:rPr>
                <w:b/>
                <w:bCs/>
              </w:rPr>
            </w:pPr>
            <w:r>
              <w:rPr>
                <w:b/>
                <w:bCs/>
              </w:rPr>
              <w:t>二级</w:t>
            </w:r>
          </w:p>
        </w:tc>
        <w:tc>
          <w:tcPr>
            <w:tcW w:w="2401" w:type="dxa"/>
            <w:tcBorders>
              <w:tl2br w:val="nil"/>
              <w:tr2bl w:val="nil"/>
            </w:tcBorders>
            <w:noWrap/>
            <w:vAlign w:val="center"/>
          </w:tcPr>
          <w:p>
            <w:pPr>
              <w:adjustRightInd w:val="0"/>
              <w:snapToGrid w:val="0"/>
              <w:jc w:val="center"/>
              <w:rPr>
                <w:b/>
                <w:bCs/>
              </w:rPr>
            </w:pPr>
            <w:r>
              <w:rPr>
                <w:b/>
                <w:bCs/>
              </w:rPr>
              <w:t>水污染影响型（三级A）/水文要素影响型（三级）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tcBorders>
              <w:tl2br w:val="nil"/>
              <w:tr2bl w:val="nil"/>
            </w:tcBorders>
            <w:noWrap/>
            <w:vAlign w:val="center"/>
          </w:tcPr>
          <w:p>
            <w:pPr>
              <w:adjustRightInd w:val="0"/>
              <w:snapToGrid w:val="0"/>
              <w:jc w:val="center"/>
            </w:pPr>
            <w:r>
              <w:t>河流、湖库</w:t>
            </w:r>
          </w:p>
        </w:tc>
        <w:tc>
          <w:tcPr>
            <w:tcW w:w="3090" w:type="dxa"/>
            <w:tcBorders>
              <w:tl2br w:val="nil"/>
              <w:tr2bl w:val="nil"/>
            </w:tcBorders>
            <w:noWrap/>
            <w:vAlign w:val="center"/>
          </w:tcPr>
          <w:p>
            <w:pPr>
              <w:adjustRightInd w:val="0"/>
              <w:snapToGrid w:val="0"/>
              <w:jc w:val="center"/>
            </w:pPr>
            <w:r>
              <w:t>丰水期、平水期、枯水期；至少丰水期和枯水期</w:t>
            </w:r>
          </w:p>
        </w:tc>
        <w:tc>
          <w:tcPr>
            <w:tcW w:w="2325" w:type="dxa"/>
            <w:tcBorders>
              <w:tl2br w:val="nil"/>
              <w:tr2bl w:val="nil"/>
            </w:tcBorders>
            <w:noWrap/>
            <w:vAlign w:val="center"/>
          </w:tcPr>
          <w:p>
            <w:pPr>
              <w:adjustRightInd w:val="0"/>
              <w:snapToGrid w:val="0"/>
              <w:jc w:val="center"/>
            </w:pPr>
            <w:r>
              <w:t>丰水期和枯水期；至少枯水期</w:t>
            </w:r>
          </w:p>
        </w:tc>
        <w:tc>
          <w:tcPr>
            <w:tcW w:w="2401" w:type="dxa"/>
            <w:tcBorders>
              <w:tl2br w:val="nil"/>
              <w:tr2bl w:val="nil"/>
            </w:tcBorders>
            <w:noWrap/>
            <w:vAlign w:val="center"/>
          </w:tcPr>
          <w:p>
            <w:pPr>
              <w:adjustRightInd w:val="0"/>
              <w:snapToGrid w:val="0"/>
              <w:jc w:val="center"/>
            </w:pPr>
            <w:r>
              <w:t>至少枯水期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tcBorders>
              <w:tl2br w:val="nil"/>
              <w:tr2bl w:val="nil"/>
            </w:tcBorders>
            <w:noWrap/>
            <w:vAlign w:val="center"/>
          </w:tcPr>
          <w:p>
            <w:pPr>
              <w:adjustRightInd w:val="0"/>
              <w:snapToGrid w:val="0"/>
              <w:jc w:val="center"/>
            </w:pPr>
            <w:r>
              <w:t>入海河口</w:t>
            </w:r>
          </w:p>
          <w:p>
            <w:pPr>
              <w:adjustRightInd w:val="0"/>
              <w:snapToGrid w:val="0"/>
              <w:jc w:val="center"/>
            </w:pPr>
            <w:r>
              <w:t>（感潮河段）</w:t>
            </w:r>
          </w:p>
        </w:tc>
        <w:tc>
          <w:tcPr>
            <w:tcW w:w="3090" w:type="dxa"/>
            <w:tcBorders>
              <w:tl2br w:val="nil"/>
              <w:tr2bl w:val="nil"/>
            </w:tcBorders>
            <w:noWrap/>
            <w:vAlign w:val="center"/>
          </w:tcPr>
          <w:p>
            <w:pPr>
              <w:adjustRightInd w:val="0"/>
              <w:snapToGrid w:val="0"/>
              <w:jc w:val="center"/>
            </w:pPr>
            <w:r>
              <w:t>河流：丰水期、平水期和枯水期河口：春季、夏季和秋季；至少丰水期和枯水期，春季和秋季</w:t>
            </w:r>
          </w:p>
        </w:tc>
        <w:tc>
          <w:tcPr>
            <w:tcW w:w="2325" w:type="dxa"/>
            <w:tcBorders>
              <w:tl2br w:val="nil"/>
              <w:tr2bl w:val="nil"/>
            </w:tcBorders>
            <w:noWrap/>
            <w:vAlign w:val="center"/>
          </w:tcPr>
          <w:p>
            <w:pPr>
              <w:adjustRightInd w:val="0"/>
              <w:snapToGrid w:val="0"/>
              <w:jc w:val="center"/>
            </w:pPr>
            <w:r>
              <w:t>河流：丰水期和枯水期；河口：春、秋2个季节；至少枯水期或1个季节</w:t>
            </w:r>
          </w:p>
        </w:tc>
        <w:tc>
          <w:tcPr>
            <w:tcW w:w="2401" w:type="dxa"/>
            <w:tcBorders>
              <w:tl2br w:val="nil"/>
              <w:tr2bl w:val="nil"/>
            </w:tcBorders>
            <w:noWrap/>
            <w:vAlign w:val="center"/>
          </w:tcPr>
          <w:p>
            <w:pPr>
              <w:adjustRightInd w:val="0"/>
              <w:snapToGrid w:val="0"/>
              <w:jc w:val="center"/>
            </w:pPr>
            <w:r>
              <w:t>至少枯水期或1个季节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tcBorders>
              <w:tl2br w:val="nil"/>
              <w:tr2bl w:val="nil"/>
            </w:tcBorders>
            <w:noWrap/>
            <w:vAlign w:val="center"/>
          </w:tcPr>
          <w:p>
            <w:pPr>
              <w:adjustRightInd w:val="0"/>
              <w:snapToGrid w:val="0"/>
              <w:jc w:val="center"/>
            </w:pPr>
            <w:r>
              <w:t>近岸海域</w:t>
            </w:r>
          </w:p>
        </w:tc>
        <w:tc>
          <w:tcPr>
            <w:tcW w:w="3090" w:type="dxa"/>
            <w:tcBorders>
              <w:tl2br w:val="nil"/>
              <w:tr2bl w:val="nil"/>
            </w:tcBorders>
            <w:noWrap/>
            <w:vAlign w:val="center"/>
          </w:tcPr>
          <w:p>
            <w:pPr>
              <w:adjustRightInd w:val="0"/>
              <w:snapToGrid w:val="0"/>
              <w:jc w:val="center"/>
            </w:pPr>
            <w:r>
              <w:t>春季、夏季和秋季；至少春、秋2个季节</w:t>
            </w:r>
          </w:p>
        </w:tc>
        <w:tc>
          <w:tcPr>
            <w:tcW w:w="2325" w:type="dxa"/>
            <w:tcBorders>
              <w:tl2br w:val="nil"/>
              <w:tr2bl w:val="nil"/>
            </w:tcBorders>
            <w:noWrap/>
            <w:vAlign w:val="center"/>
          </w:tcPr>
          <w:p>
            <w:pPr>
              <w:adjustRightInd w:val="0"/>
              <w:snapToGrid w:val="0"/>
              <w:jc w:val="center"/>
            </w:pPr>
            <w:r>
              <w:t>春季或秋季，至少</w:t>
            </w:r>
          </w:p>
          <w:p>
            <w:pPr>
              <w:adjustRightInd w:val="0"/>
              <w:snapToGrid w:val="0"/>
              <w:jc w:val="center"/>
            </w:pPr>
            <w:r>
              <w:t>1个季节</w:t>
            </w:r>
          </w:p>
        </w:tc>
        <w:tc>
          <w:tcPr>
            <w:tcW w:w="2401" w:type="dxa"/>
            <w:tcBorders>
              <w:tl2br w:val="nil"/>
              <w:tr2bl w:val="nil"/>
            </w:tcBorders>
            <w:noWrap/>
            <w:vAlign w:val="center"/>
          </w:tcPr>
          <w:p>
            <w:pPr>
              <w:adjustRightInd w:val="0"/>
              <w:snapToGrid w:val="0"/>
              <w:jc w:val="center"/>
            </w:pPr>
            <w:r>
              <w:t>至少1次调查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7" w:type="dxa"/>
            <w:gridSpan w:val="4"/>
            <w:tcBorders>
              <w:tl2br w:val="nil"/>
              <w:tr2bl w:val="nil"/>
            </w:tcBorders>
            <w:noWrap/>
            <w:vAlign w:val="center"/>
          </w:tcPr>
          <w:p>
            <w:pPr>
              <w:adjustRightInd w:val="0"/>
              <w:snapToGrid w:val="0"/>
            </w:pPr>
            <w:r>
              <w:t>注1：感潮河段、入海河口、近岸海域在丰、枯水期(或春夏秋冬四季)均应选择大潮期或小潮期中一个潮期开展评价(无特殊要求时，可不考虑一个潮期内高潮期、低潮期的差别)。选择原则为：依据调查监测海域的环境特征，以影响范围较大或影响程度较重为目标，定性判别和选择大潮期或小潮期作为调查潮期。</w:t>
            </w:r>
          </w:p>
          <w:p>
            <w:pPr>
              <w:adjustRightInd w:val="0"/>
              <w:snapToGrid w:val="0"/>
            </w:pPr>
            <w:r>
              <w:t>注2：冰封期较长且作为生活饮用水与食品加工用水的水源或有渔业用水需求的水域，应将冰封期纳入评价时期。</w:t>
            </w:r>
          </w:p>
          <w:p>
            <w:pPr>
              <w:adjustRightInd w:val="0"/>
              <w:snapToGrid w:val="0"/>
            </w:pPr>
            <w:r>
              <w:t>注3：具有季节性排水特点的建设项目，根据建设项目排水期对应的水期或季节确定评价时期。</w:t>
            </w:r>
          </w:p>
          <w:p>
            <w:pPr>
              <w:adjustRightInd w:val="0"/>
              <w:snapToGrid w:val="0"/>
            </w:pPr>
            <w:r>
              <w:t>注4：水文要素影响型建设项目对评价范围内的水生生物生长、繁殖与游有明显影响的时期，需将对应的时期作为评价时期。</w:t>
            </w:r>
          </w:p>
          <w:p>
            <w:pPr>
              <w:adjustRightInd w:val="0"/>
              <w:snapToGrid w:val="0"/>
            </w:pPr>
            <w:r>
              <w:t>注5：复合影响型建设项目分别确定评价时期，按照覆盖所有评价时期的原则综合确定。</w:t>
            </w:r>
          </w:p>
        </w:tc>
      </w:tr>
    </w:tbl>
    <w:p>
      <w:pPr>
        <w:ind w:firstLine="510" w:firstLineChars="200"/>
        <w:rPr>
          <w:sz w:val="24"/>
        </w:rPr>
      </w:pPr>
      <w:r>
        <w:rPr>
          <w:sz w:val="24"/>
        </w:rPr>
        <w:t>项目评价等级为水文要素影响型三级，评价时期至少为枯水期。因此，综合确定项目评价时期为枯水期。由于项目地处半干旱地区，为中型水库，评价年度水库枯水期无蓄水，因此选择在水库有蓄水阶段采样检测评价。</w:t>
      </w:r>
    </w:p>
    <w:p>
      <w:pPr>
        <w:pStyle w:val="3"/>
        <w:numPr>
          <w:ilvl w:val="0"/>
          <w:numId w:val="0"/>
        </w:numPr>
      </w:pPr>
      <w:r>
        <w:t>3.5评价标准</w:t>
      </w:r>
    </w:p>
    <w:p>
      <w:pPr>
        <w:pStyle w:val="22"/>
        <w:spacing w:before="240" w:after="60" w:line="240" w:lineRule="auto"/>
        <w:ind w:left="0" w:leftChars="0"/>
        <w:rPr>
          <w:b/>
          <w:bCs/>
          <w:spacing w:val="11"/>
          <w:sz w:val="28"/>
        </w:rPr>
      </w:pPr>
      <w:r>
        <w:rPr>
          <w:rFonts w:eastAsia="黑体"/>
          <w:spacing w:val="11"/>
        </w:rPr>
        <w:t>3.5.1环境质量标准</w:t>
      </w:r>
    </w:p>
    <w:p>
      <w:pPr>
        <w:ind w:firstLine="510" w:firstLineChars="200"/>
        <w:rPr>
          <w:sz w:val="24"/>
        </w:rPr>
      </w:pPr>
      <w:r>
        <w:rPr>
          <w:sz w:val="24"/>
        </w:rPr>
        <w:t>水库水质执行《地表水环境质量标准(GB3838-2002)》中Ⅲ类标准。</w:t>
      </w:r>
    </w:p>
    <w:p>
      <w:pPr>
        <w:pStyle w:val="22"/>
        <w:adjustRightInd w:val="0"/>
        <w:snapToGrid w:val="0"/>
        <w:spacing w:line="240" w:lineRule="auto"/>
        <w:ind w:left="452"/>
        <w:jc w:val="center"/>
        <w:rPr>
          <w:rFonts w:eastAsia="黑体"/>
          <w:spacing w:val="11"/>
        </w:rPr>
      </w:pPr>
      <w:r>
        <w:rPr>
          <w:rFonts w:eastAsia="黑体"/>
          <w:spacing w:val="11"/>
        </w:rPr>
        <w:t>表3-5  《地表水环境质量标准》(G63838-2002)Ⅲ类标准</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2536"/>
        <w:gridCol w:w="3055"/>
        <w:gridCol w:w="30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rPr>
                <w:b/>
                <w:bCs/>
              </w:rPr>
            </w:pPr>
            <w:r>
              <w:rPr>
                <w:b/>
                <w:bCs/>
              </w:rPr>
              <w:t>序号</w:t>
            </w:r>
          </w:p>
        </w:tc>
        <w:tc>
          <w:tcPr>
            <w:tcW w:w="2536" w:type="dxa"/>
            <w:tcBorders>
              <w:tl2br w:val="nil"/>
              <w:tr2bl w:val="nil"/>
            </w:tcBorders>
            <w:noWrap/>
            <w:vAlign w:val="center"/>
          </w:tcPr>
          <w:p>
            <w:pPr>
              <w:adjustRightInd w:val="0"/>
              <w:snapToGrid w:val="0"/>
              <w:jc w:val="center"/>
              <w:rPr>
                <w:b/>
                <w:bCs/>
              </w:rPr>
            </w:pPr>
            <w:r>
              <w:rPr>
                <w:b/>
                <w:bCs/>
              </w:rPr>
              <w:t>污染物</w:t>
            </w:r>
          </w:p>
        </w:tc>
        <w:tc>
          <w:tcPr>
            <w:tcW w:w="3055" w:type="dxa"/>
            <w:tcBorders>
              <w:tl2br w:val="nil"/>
              <w:tr2bl w:val="nil"/>
            </w:tcBorders>
            <w:noWrap/>
            <w:vAlign w:val="center"/>
          </w:tcPr>
          <w:p>
            <w:pPr>
              <w:adjustRightInd w:val="0"/>
              <w:snapToGrid w:val="0"/>
              <w:jc w:val="center"/>
              <w:rPr>
                <w:b/>
                <w:bCs/>
              </w:rPr>
            </w:pPr>
            <w:r>
              <w:rPr>
                <w:b/>
                <w:bCs/>
              </w:rPr>
              <w:t>单位</w:t>
            </w:r>
          </w:p>
        </w:tc>
        <w:tc>
          <w:tcPr>
            <w:tcW w:w="3055" w:type="dxa"/>
            <w:tcBorders>
              <w:tl2br w:val="nil"/>
              <w:tr2bl w:val="nil"/>
            </w:tcBorders>
            <w:noWrap/>
            <w:vAlign w:val="center"/>
          </w:tcPr>
          <w:p>
            <w:pPr>
              <w:adjustRightInd w:val="0"/>
              <w:snapToGrid w:val="0"/>
              <w:jc w:val="center"/>
              <w:rPr>
                <w:b/>
                <w:bCs/>
              </w:rPr>
            </w:pPr>
            <w:r>
              <w:rPr>
                <w:b/>
                <w:bCs/>
                <w:spacing w:val="11"/>
              </w:rPr>
              <w:t>Ⅲ类标准限值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pH值</w:t>
            </w:r>
          </w:p>
        </w:tc>
        <w:tc>
          <w:tcPr>
            <w:tcW w:w="3055" w:type="dxa"/>
            <w:tcBorders>
              <w:tl2br w:val="nil"/>
              <w:tr2bl w:val="nil"/>
            </w:tcBorders>
            <w:noWrap/>
            <w:vAlign w:val="center"/>
          </w:tcPr>
          <w:p>
            <w:pPr>
              <w:adjustRightInd w:val="0"/>
              <w:snapToGrid w:val="0"/>
              <w:jc w:val="center"/>
            </w:pPr>
            <w:r>
              <w:t>无量纲</w:t>
            </w:r>
          </w:p>
        </w:tc>
        <w:tc>
          <w:tcPr>
            <w:tcW w:w="3055" w:type="dxa"/>
            <w:tcBorders>
              <w:tl2br w:val="nil"/>
              <w:tr2bl w:val="nil"/>
            </w:tcBorders>
            <w:noWrap/>
            <w:vAlign w:val="center"/>
          </w:tcPr>
          <w:p>
            <w:pPr>
              <w:autoSpaceDE w:val="0"/>
              <w:autoSpaceDN w:val="0"/>
              <w:snapToGrid w:val="0"/>
              <w:jc w:val="center"/>
              <w:rPr>
                <w:szCs w:val="21"/>
              </w:rPr>
            </w:pPr>
            <w:r>
              <w:rPr>
                <w:szCs w:val="28"/>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溶解氧</w:t>
            </w:r>
          </w:p>
        </w:tc>
        <w:tc>
          <w:tcPr>
            <w:tcW w:w="3055" w:type="dxa"/>
            <w:tcBorders>
              <w:tl2br w:val="nil"/>
              <w:tr2bl w:val="nil"/>
            </w:tcBorders>
            <w:noWrap/>
            <w:vAlign w:val="center"/>
          </w:tcPr>
          <w:p>
            <w:pPr>
              <w:adjustRightInd w:val="0"/>
              <w:snapToGrid w:val="0"/>
              <w:jc w:val="center"/>
            </w:pPr>
            <w:r>
              <w:t>mg/L</w:t>
            </w:r>
          </w:p>
        </w:tc>
        <w:tc>
          <w:tcPr>
            <w:tcW w:w="3055" w:type="dxa"/>
            <w:tcBorders>
              <w:tl2br w:val="nil"/>
              <w:tr2bl w:val="nil"/>
            </w:tcBorders>
            <w:noWrap/>
            <w:vAlign w:val="center"/>
          </w:tcPr>
          <w:p>
            <w:pPr>
              <w:autoSpaceDE w:val="0"/>
              <w:autoSpaceDN w:val="0"/>
              <w:snapToGrid w:val="0"/>
              <w:jc w:val="center"/>
              <w:rPr>
                <w:szCs w:val="21"/>
              </w:rPr>
            </w:pPr>
            <w:r>
              <w:rPr>
                <w:szCs w:val="28"/>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3</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高锰酸盐指数</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4</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化学需氧量（COD）</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5</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五日生化需氧量（BOD</w:t>
            </w:r>
            <w:r>
              <w:rPr>
                <w:szCs w:val="28"/>
                <w:vertAlign w:val="subscript"/>
              </w:rPr>
              <w:t>5</w:t>
            </w:r>
            <w:r>
              <w:rPr>
                <w:szCs w:val="28"/>
              </w:rPr>
              <w:t>）</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6</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氨氮（NH</w:t>
            </w:r>
            <w:r>
              <w:rPr>
                <w:szCs w:val="28"/>
                <w:vertAlign w:val="subscript"/>
              </w:rPr>
              <w:t>3</w:t>
            </w:r>
            <w:r>
              <w:rPr>
                <w:szCs w:val="28"/>
              </w:rPr>
              <w:t>-N）</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7</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总磷（以P计）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≤0.05（湖、库）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8</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总氮（湖、库，以N计）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9</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锌</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10</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氟化物（以F</w:t>
            </w:r>
            <w:r>
              <w:rPr>
                <w:szCs w:val="28"/>
                <w:vertAlign w:val="superscript"/>
              </w:rPr>
              <w:t>-</w:t>
            </w:r>
            <w:r>
              <w:rPr>
                <w:szCs w:val="28"/>
              </w:rPr>
              <w:t>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11</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砷</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12</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汞</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13</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镉</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14</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铬（六价）</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15</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铅</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16</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石油类</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17</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阴离子表面活性剂</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18</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硫化物</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19</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粪大肠菌群（CFU/L）</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≤10000（个/L）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20</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氯化物（以Cl</w:t>
            </w:r>
            <w:r>
              <w:rPr>
                <w:szCs w:val="28"/>
                <w:vertAlign w:val="superscript"/>
              </w:rPr>
              <w:t>-</w:t>
            </w:r>
            <w:r>
              <w:rPr>
                <w:szCs w:val="28"/>
              </w:rPr>
              <w:t>计）</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jc w:val="center"/>
              <w:rPr>
                <w:szCs w:val="21"/>
              </w:rPr>
            </w:pPr>
            <w:r>
              <w:rPr>
                <w:szCs w:val="28"/>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21</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镍</w:t>
            </w:r>
          </w:p>
        </w:tc>
        <w:tc>
          <w:tcPr>
            <w:tcW w:w="3055" w:type="dxa"/>
            <w:tcBorders>
              <w:tl2br w:val="nil"/>
              <w:tr2bl w:val="nil"/>
            </w:tcBorders>
            <w:noWrap/>
            <w:vAlign w:val="center"/>
          </w:tcPr>
          <w:p>
            <w:pPr>
              <w:adjustRightInd w:val="0"/>
              <w:snapToGrid w:val="0"/>
              <w:jc w:val="center"/>
            </w:pPr>
            <w:r>
              <w:rPr>
                <w:rFonts w:eastAsia="黑体"/>
                <w:sz w:val="24"/>
              </w:rPr>
              <w:t>mg/L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22</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透明度</w:t>
            </w:r>
          </w:p>
        </w:tc>
        <w:tc>
          <w:tcPr>
            <w:tcW w:w="3055" w:type="dxa"/>
            <w:tcBorders>
              <w:tl2br w:val="nil"/>
              <w:tr2bl w:val="nil"/>
            </w:tcBorders>
            <w:noWrap/>
            <w:vAlign w:val="center"/>
          </w:tcPr>
          <w:p>
            <w:pPr>
              <w:adjustRightInd w:val="0"/>
              <w:snapToGrid w:val="0"/>
              <w:jc w:val="center"/>
            </w:pPr>
            <w:r>
              <w:t>cm</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23</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浊度</w:t>
            </w:r>
          </w:p>
        </w:tc>
        <w:tc>
          <w:tcPr>
            <w:tcW w:w="3055" w:type="dxa"/>
            <w:tcBorders>
              <w:tl2br w:val="nil"/>
              <w:tr2bl w:val="nil"/>
            </w:tcBorders>
            <w:noWrap/>
            <w:vAlign w:val="center"/>
          </w:tcPr>
          <w:p>
            <w:pPr>
              <w:adjustRightInd w:val="0"/>
              <w:snapToGrid w:val="0"/>
              <w:jc w:val="center"/>
              <w:rPr>
                <w:rFonts w:eastAsia="黑体"/>
                <w:sz w:val="24"/>
              </w:rPr>
            </w:pPr>
            <w:r>
              <w:rPr>
                <w:szCs w:val="28"/>
              </w:rPr>
              <w:t>NTU</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24</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蛔虫卵</w:t>
            </w:r>
          </w:p>
        </w:tc>
        <w:tc>
          <w:tcPr>
            <w:tcW w:w="3055" w:type="dxa"/>
            <w:tcBorders>
              <w:tl2br w:val="nil"/>
              <w:tr2bl w:val="nil"/>
            </w:tcBorders>
            <w:noWrap/>
            <w:vAlign w:val="center"/>
          </w:tcPr>
          <w:p>
            <w:pPr>
              <w:adjustRightInd w:val="0"/>
              <w:snapToGrid w:val="0"/>
              <w:jc w:val="center"/>
              <w:rPr>
                <w:rFonts w:eastAsia="黑体"/>
                <w:sz w:val="24"/>
              </w:rPr>
            </w:pPr>
            <w:r>
              <w:rPr>
                <w:szCs w:val="28"/>
              </w:rPr>
              <w:t>个/10L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25</w:t>
            </w:r>
          </w:p>
        </w:tc>
        <w:tc>
          <w:tcPr>
            <w:tcW w:w="2536" w:type="dxa"/>
            <w:tcBorders>
              <w:tl2br w:val="nil"/>
              <w:tr2bl w:val="nil"/>
            </w:tcBorders>
            <w:noWrap/>
            <w:vAlign w:val="center"/>
          </w:tcPr>
          <w:p>
            <w:pPr>
              <w:autoSpaceDE w:val="0"/>
              <w:autoSpaceDN w:val="0"/>
              <w:adjustRightInd w:val="0"/>
              <w:snapToGrid w:val="0"/>
              <w:jc w:val="center"/>
              <w:rPr>
                <w:szCs w:val="21"/>
              </w:rPr>
            </w:pPr>
            <w:r>
              <w:rPr>
                <w:szCs w:val="28"/>
              </w:rPr>
              <w:t>叶绿素a</w:t>
            </w:r>
          </w:p>
        </w:tc>
        <w:tc>
          <w:tcPr>
            <w:tcW w:w="3055" w:type="dxa"/>
            <w:tcBorders>
              <w:tl2br w:val="nil"/>
              <w:tr2bl w:val="nil"/>
            </w:tcBorders>
            <w:noWrap/>
            <w:vAlign w:val="center"/>
          </w:tcPr>
          <w:p>
            <w:pPr>
              <w:adjustRightInd w:val="0"/>
              <w:snapToGrid w:val="0"/>
              <w:jc w:val="center"/>
              <w:rPr>
                <w:rFonts w:eastAsia="黑体"/>
                <w:sz w:val="24"/>
              </w:rPr>
            </w:pPr>
            <w:r>
              <w:rPr>
                <w:szCs w:val="28"/>
              </w:rPr>
              <w:t>μg/L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26</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悬浮物</w:t>
            </w:r>
          </w:p>
        </w:tc>
        <w:tc>
          <w:tcPr>
            <w:tcW w:w="3055" w:type="dxa"/>
            <w:tcBorders>
              <w:tl2br w:val="nil"/>
              <w:tr2bl w:val="nil"/>
            </w:tcBorders>
            <w:noWrap/>
            <w:vAlign w:val="center"/>
          </w:tcPr>
          <w:p>
            <w:pPr>
              <w:adjustRightInd w:val="0"/>
              <w:snapToGrid w:val="0"/>
              <w:jc w:val="center"/>
              <w:rPr>
                <w:rFonts w:eastAsia="黑体"/>
                <w:sz w:val="24"/>
              </w:rPr>
            </w:pPr>
            <w:r>
              <w:rPr>
                <w:rFonts w:eastAsia="黑体"/>
                <w:sz w:val="24"/>
              </w:rPr>
              <w:t>mg/L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tcBorders>
              <w:tl2br w:val="nil"/>
              <w:tr2bl w:val="nil"/>
            </w:tcBorders>
            <w:noWrap/>
            <w:vAlign w:val="center"/>
          </w:tcPr>
          <w:p>
            <w:pPr>
              <w:adjustRightInd w:val="0"/>
              <w:snapToGrid w:val="0"/>
              <w:jc w:val="center"/>
            </w:pPr>
            <w:r>
              <w:t>27</w:t>
            </w:r>
          </w:p>
        </w:tc>
        <w:tc>
          <w:tcPr>
            <w:tcW w:w="2536" w:type="dxa"/>
            <w:tcBorders>
              <w:tl2br w:val="nil"/>
              <w:tr2bl w:val="nil"/>
            </w:tcBorders>
            <w:noWrap/>
            <w:vAlign w:val="center"/>
          </w:tcPr>
          <w:p>
            <w:pPr>
              <w:autoSpaceDE w:val="0"/>
              <w:autoSpaceDN w:val="0"/>
              <w:adjustRightInd w:val="0"/>
              <w:snapToGrid w:val="0"/>
              <w:ind w:left="-112" w:leftChars="-50" w:right="-112" w:rightChars="-50"/>
              <w:jc w:val="center"/>
              <w:rPr>
                <w:szCs w:val="21"/>
              </w:rPr>
            </w:pPr>
            <w:r>
              <w:rPr>
                <w:szCs w:val="28"/>
              </w:rPr>
              <w:t>全盐量</w:t>
            </w:r>
          </w:p>
        </w:tc>
        <w:tc>
          <w:tcPr>
            <w:tcW w:w="3055" w:type="dxa"/>
            <w:tcBorders>
              <w:tl2br w:val="nil"/>
              <w:tr2bl w:val="nil"/>
            </w:tcBorders>
            <w:noWrap/>
            <w:vAlign w:val="center"/>
          </w:tcPr>
          <w:p>
            <w:pPr>
              <w:adjustRightInd w:val="0"/>
              <w:snapToGrid w:val="0"/>
              <w:jc w:val="center"/>
              <w:rPr>
                <w:rFonts w:eastAsia="黑体"/>
                <w:sz w:val="24"/>
              </w:rPr>
            </w:pPr>
            <w:r>
              <w:rPr>
                <w:rFonts w:eastAsia="黑体"/>
                <w:sz w:val="24"/>
              </w:rPr>
              <w:t>mg/L</w:t>
            </w:r>
          </w:p>
        </w:tc>
        <w:tc>
          <w:tcPr>
            <w:tcW w:w="3055" w:type="dxa"/>
            <w:tcBorders>
              <w:tl2br w:val="nil"/>
              <w:tr2bl w:val="nil"/>
            </w:tcBorders>
            <w:noWrap/>
            <w:vAlign w:val="center"/>
          </w:tcPr>
          <w:p>
            <w:pPr>
              <w:autoSpaceDE w:val="0"/>
              <w:autoSpaceDN w:val="0"/>
              <w:snapToGrid w:val="0"/>
              <w:ind w:left="-112" w:leftChars="-50" w:right="-112" w:rightChars="-50"/>
              <w:jc w:val="center"/>
              <w:rPr>
                <w:szCs w:val="21"/>
              </w:rPr>
            </w:pPr>
            <w:r>
              <w:rPr>
                <w:szCs w:val="28"/>
              </w:rPr>
              <w:t>-</w:t>
            </w:r>
          </w:p>
        </w:tc>
      </w:tr>
    </w:tbl>
    <w:p>
      <w:pPr>
        <w:spacing w:before="240" w:after="60"/>
        <w:rPr>
          <w:b/>
          <w:bCs/>
          <w:spacing w:val="11"/>
          <w:sz w:val="28"/>
        </w:rPr>
      </w:pPr>
      <w:r>
        <w:rPr>
          <w:rFonts w:eastAsia="黑体"/>
          <w:spacing w:val="11"/>
          <w:sz w:val="24"/>
        </w:rPr>
        <w:t>3.5.2污染物排放标准</w:t>
      </w:r>
    </w:p>
    <w:p>
      <w:pPr>
        <w:ind w:firstLine="510" w:firstLineChars="200"/>
        <w:rPr>
          <w:sz w:val="24"/>
        </w:rPr>
      </w:pPr>
      <w:r>
        <w:rPr>
          <w:sz w:val="24"/>
        </w:rPr>
        <w:t>本项目施工期废水均综合利用不外排；运营期无新增工作人员，无废水产生，不执行相关排放标准。</w:t>
      </w:r>
    </w:p>
    <w:p>
      <w:pPr>
        <w:pStyle w:val="3"/>
        <w:numPr>
          <w:ilvl w:val="0"/>
          <w:numId w:val="0"/>
        </w:numPr>
      </w:pPr>
      <w:r>
        <w:t>3.6水环境保护目标</w:t>
      </w:r>
    </w:p>
    <w:p>
      <w:pPr>
        <w:ind w:firstLine="510" w:firstLineChars="200"/>
        <w:rPr>
          <w:sz w:val="24"/>
        </w:rPr>
      </w:pPr>
      <w:r>
        <w:rPr>
          <w:sz w:val="24"/>
        </w:rPr>
        <w:t>根据项目拟建地区环境现状，其水环境保护目标见表3-6。</w:t>
      </w:r>
    </w:p>
    <w:p>
      <w:pPr>
        <w:adjustRightInd w:val="0"/>
        <w:snapToGrid w:val="0"/>
        <w:jc w:val="center"/>
        <w:rPr>
          <w:rFonts w:eastAsia="黑体"/>
          <w:sz w:val="24"/>
        </w:rPr>
      </w:pPr>
      <w:r>
        <w:rPr>
          <w:rFonts w:eastAsia="黑体"/>
          <w:sz w:val="24"/>
        </w:rPr>
        <w:t>表3-6  项目水环境保护目标一览表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458"/>
        <w:gridCol w:w="926"/>
        <w:gridCol w:w="1545"/>
        <w:gridCol w:w="1170"/>
        <w:gridCol w:w="2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57" w:type="dxa"/>
            <w:tcBorders>
              <w:tl2br w:val="nil"/>
              <w:tr2bl w:val="nil"/>
            </w:tcBorders>
            <w:noWrap/>
            <w:vAlign w:val="center"/>
          </w:tcPr>
          <w:p>
            <w:pPr>
              <w:pStyle w:val="22"/>
              <w:adjustRightInd w:val="0"/>
              <w:snapToGrid w:val="0"/>
              <w:spacing w:line="240" w:lineRule="auto"/>
              <w:ind w:left="0" w:leftChars="0"/>
              <w:jc w:val="center"/>
              <w:rPr>
                <w:b/>
                <w:bCs/>
                <w:sz w:val="21"/>
              </w:rPr>
            </w:pPr>
            <w:r>
              <w:rPr>
                <w:b/>
                <w:bCs/>
                <w:sz w:val="21"/>
              </w:rPr>
              <w:t>环境要素</w:t>
            </w:r>
          </w:p>
        </w:tc>
        <w:tc>
          <w:tcPr>
            <w:tcW w:w="1458" w:type="dxa"/>
            <w:tcBorders>
              <w:tl2br w:val="nil"/>
              <w:tr2bl w:val="nil"/>
            </w:tcBorders>
            <w:noWrap/>
            <w:vAlign w:val="center"/>
          </w:tcPr>
          <w:p>
            <w:pPr>
              <w:pStyle w:val="22"/>
              <w:adjustRightInd w:val="0"/>
              <w:snapToGrid w:val="0"/>
              <w:spacing w:line="240" w:lineRule="auto"/>
              <w:ind w:left="0" w:leftChars="0"/>
              <w:jc w:val="center"/>
              <w:rPr>
                <w:b/>
                <w:bCs/>
                <w:sz w:val="21"/>
              </w:rPr>
            </w:pPr>
            <w:r>
              <w:rPr>
                <w:b/>
                <w:bCs/>
                <w:sz w:val="21"/>
              </w:rPr>
              <w:t>保护目标</w:t>
            </w:r>
          </w:p>
        </w:tc>
        <w:tc>
          <w:tcPr>
            <w:tcW w:w="926" w:type="dxa"/>
            <w:tcBorders>
              <w:tl2br w:val="nil"/>
              <w:tr2bl w:val="nil"/>
            </w:tcBorders>
            <w:noWrap/>
            <w:vAlign w:val="center"/>
          </w:tcPr>
          <w:p>
            <w:pPr>
              <w:pStyle w:val="22"/>
              <w:adjustRightInd w:val="0"/>
              <w:snapToGrid w:val="0"/>
              <w:spacing w:line="240" w:lineRule="auto"/>
              <w:ind w:left="0" w:leftChars="0"/>
              <w:jc w:val="center"/>
              <w:rPr>
                <w:b/>
                <w:bCs/>
                <w:sz w:val="21"/>
              </w:rPr>
            </w:pPr>
            <w:r>
              <w:rPr>
                <w:b/>
                <w:bCs/>
                <w:sz w:val="21"/>
              </w:rPr>
              <w:t>规模</w:t>
            </w:r>
          </w:p>
        </w:tc>
        <w:tc>
          <w:tcPr>
            <w:tcW w:w="1545" w:type="dxa"/>
            <w:tcBorders>
              <w:tl2br w:val="nil"/>
              <w:tr2bl w:val="nil"/>
            </w:tcBorders>
            <w:noWrap/>
            <w:vAlign w:val="center"/>
          </w:tcPr>
          <w:p>
            <w:pPr>
              <w:pStyle w:val="22"/>
              <w:adjustRightInd w:val="0"/>
              <w:snapToGrid w:val="0"/>
              <w:spacing w:line="240" w:lineRule="auto"/>
              <w:ind w:left="0" w:leftChars="0"/>
              <w:jc w:val="center"/>
              <w:rPr>
                <w:b/>
                <w:bCs/>
                <w:sz w:val="21"/>
              </w:rPr>
            </w:pPr>
            <w:r>
              <w:rPr>
                <w:b/>
                <w:bCs/>
                <w:sz w:val="21"/>
              </w:rPr>
              <w:t>相对位置</w:t>
            </w:r>
          </w:p>
        </w:tc>
        <w:tc>
          <w:tcPr>
            <w:tcW w:w="1170" w:type="dxa"/>
            <w:tcBorders>
              <w:tl2br w:val="nil"/>
              <w:tr2bl w:val="nil"/>
            </w:tcBorders>
            <w:noWrap/>
            <w:vAlign w:val="center"/>
          </w:tcPr>
          <w:p>
            <w:pPr>
              <w:pStyle w:val="22"/>
              <w:adjustRightInd w:val="0"/>
              <w:snapToGrid w:val="0"/>
              <w:spacing w:line="240" w:lineRule="auto"/>
              <w:ind w:left="0" w:leftChars="0"/>
              <w:jc w:val="center"/>
              <w:rPr>
                <w:b/>
                <w:bCs/>
                <w:sz w:val="21"/>
              </w:rPr>
            </w:pPr>
            <w:r>
              <w:rPr>
                <w:b/>
                <w:bCs/>
                <w:sz w:val="21"/>
              </w:rPr>
              <w:t>距离/m</w:t>
            </w:r>
          </w:p>
        </w:tc>
        <w:tc>
          <w:tcPr>
            <w:tcW w:w="2731" w:type="dxa"/>
            <w:tcBorders>
              <w:tl2br w:val="nil"/>
              <w:tr2bl w:val="nil"/>
            </w:tcBorders>
            <w:noWrap/>
            <w:vAlign w:val="center"/>
          </w:tcPr>
          <w:p>
            <w:pPr>
              <w:pStyle w:val="22"/>
              <w:adjustRightInd w:val="0"/>
              <w:snapToGrid w:val="0"/>
              <w:spacing w:line="240" w:lineRule="auto"/>
              <w:ind w:left="0" w:leftChars="0"/>
              <w:jc w:val="center"/>
              <w:rPr>
                <w:b/>
                <w:bCs/>
                <w:sz w:val="21"/>
              </w:rPr>
            </w:pPr>
            <w:r>
              <w:rPr>
                <w:b/>
                <w:bCs/>
                <w:sz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7"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地表水环境</w:t>
            </w:r>
          </w:p>
        </w:tc>
        <w:tc>
          <w:tcPr>
            <w:tcW w:w="1458"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雅石沟水库</w:t>
            </w:r>
          </w:p>
        </w:tc>
        <w:tc>
          <w:tcPr>
            <w:tcW w:w="926"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15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1170"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2731"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《地表水环境质量标准》(GB3838-2002)Ⅲ类</w:t>
            </w:r>
          </w:p>
        </w:tc>
      </w:tr>
    </w:tbl>
    <w:p>
      <w:pPr>
        <w:spacing w:before="240" w:after="60"/>
        <w:jc w:val="center"/>
        <w:rPr>
          <w:rFonts w:eastAsia="黑体"/>
          <w:sz w:val="32"/>
        </w:rPr>
      </w:pPr>
      <w:bookmarkStart w:id="30" w:name="_Toc25790"/>
    </w:p>
    <w:p>
      <w:pPr>
        <w:spacing w:before="240" w:after="60"/>
        <w:jc w:val="center"/>
        <w:rPr>
          <w:rFonts w:eastAsia="黑体"/>
          <w:sz w:val="32"/>
        </w:rPr>
      </w:pPr>
    </w:p>
    <w:p>
      <w:pPr>
        <w:tabs>
          <w:tab w:val="left" w:pos="8447"/>
        </w:tabs>
        <w:jc w:val="left"/>
        <w:sectPr>
          <w:pgSz w:w="11905" w:h="16838"/>
          <w:pgMar w:top="1417" w:right="1417" w:bottom="1417" w:left="1417" w:header="850" w:footer="964" w:gutter="0"/>
          <w:cols w:space="720" w:num="1"/>
          <w:docGrid w:type="linesAndChars" w:linePitch="466" w:charSpace="3276"/>
        </w:sectPr>
      </w:pPr>
    </w:p>
    <w:p>
      <w:pPr>
        <w:spacing w:before="240" w:after="60"/>
        <w:jc w:val="center"/>
        <w:outlineLvl w:val="0"/>
        <w:rPr>
          <w:rFonts w:eastAsia="黑体"/>
          <w:sz w:val="32"/>
        </w:rPr>
      </w:pPr>
      <w:r>
        <w:rPr>
          <w:rFonts w:eastAsia="黑体"/>
          <w:sz w:val="32"/>
        </w:rPr>
        <w:t>4 建设项目基本情况及工程分析</w:t>
      </w:r>
      <w:bookmarkEnd w:id="30"/>
    </w:p>
    <w:p>
      <w:pPr>
        <w:pStyle w:val="3"/>
        <w:numPr>
          <w:ilvl w:val="0"/>
          <w:numId w:val="0"/>
        </w:numPr>
      </w:pPr>
      <w:r>
        <w:t>4.1建设规模</w:t>
      </w:r>
    </w:p>
    <w:p>
      <w:pPr>
        <w:pStyle w:val="22"/>
        <w:spacing w:before="240" w:after="60" w:line="240" w:lineRule="auto"/>
        <w:ind w:left="0" w:leftChars="0"/>
        <w:rPr>
          <w:b/>
          <w:bCs/>
        </w:rPr>
      </w:pPr>
      <w:r>
        <w:rPr>
          <w:rFonts w:eastAsia="黑体"/>
          <w:spacing w:val="11"/>
        </w:rPr>
        <w:t>4.1.1工程任务</w:t>
      </w:r>
    </w:p>
    <w:p>
      <w:pPr>
        <w:ind w:firstLine="510" w:firstLineChars="200"/>
        <w:rPr>
          <w:sz w:val="24"/>
        </w:rPr>
      </w:pPr>
      <w:r>
        <w:rPr>
          <w:sz w:val="24"/>
        </w:rPr>
        <w:t>按安全鉴定评价结论及核查成果，对雅石沟水库除险加固工程，通过水库除险加固，一定程度消除大坝主要的安全隐患，保障水库及下游保护对象防洪安全，更好发挥水库效益。</w:t>
      </w:r>
    </w:p>
    <w:p>
      <w:pPr>
        <w:pStyle w:val="22"/>
        <w:spacing w:before="240" w:after="60" w:line="240" w:lineRule="auto"/>
        <w:ind w:left="0" w:leftChars="0"/>
        <w:rPr>
          <w:b/>
          <w:bCs/>
        </w:rPr>
      </w:pPr>
      <w:r>
        <w:rPr>
          <w:rFonts w:eastAsia="黑体"/>
          <w:spacing w:val="11"/>
        </w:rPr>
        <w:t>4.1.2建设内容</w:t>
      </w:r>
    </w:p>
    <w:p>
      <w:pPr>
        <w:ind w:firstLine="510" w:firstLineChars="200"/>
        <w:rPr>
          <w:sz w:val="24"/>
        </w:rPr>
      </w:pPr>
      <w:r>
        <w:rPr>
          <w:sz w:val="24"/>
        </w:rPr>
        <w:t>针对安全评价的主要结论，对雅石沟水库进行除险加固，本工程主要建设内容如下：</w:t>
      </w:r>
    </w:p>
    <w:p>
      <w:pPr>
        <w:ind w:firstLine="510" w:firstLineChars="200"/>
        <w:rPr>
          <w:sz w:val="24"/>
        </w:rPr>
      </w:pPr>
      <w:r>
        <w:rPr>
          <w:sz w:val="24"/>
        </w:rPr>
        <w:t>（1）坝顶路面硬化改造；</w:t>
      </w:r>
    </w:p>
    <w:p>
      <w:pPr>
        <w:ind w:firstLine="510" w:firstLineChars="200"/>
        <w:rPr>
          <w:sz w:val="24"/>
        </w:rPr>
      </w:pPr>
      <w:r>
        <w:rPr>
          <w:sz w:val="24"/>
        </w:rPr>
        <w:t>（2）后坝坡培宽加厚、排水设施修复改造、坡脚处增设贴坡排水+排水棱体；</w:t>
      </w:r>
    </w:p>
    <w:p>
      <w:pPr>
        <w:ind w:firstLine="510" w:firstLineChars="200"/>
        <w:rPr>
          <w:sz w:val="24"/>
        </w:rPr>
      </w:pPr>
      <w:r>
        <w:rPr>
          <w:sz w:val="24"/>
        </w:rPr>
        <w:t>（3）建筑物改造修复；</w:t>
      </w:r>
    </w:p>
    <w:p>
      <w:pPr>
        <w:pStyle w:val="22"/>
        <w:spacing w:before="240" w:after="60" w:line="240" w:lineRule="auto"/>
        <w:ind w:left="0" w:leftChars="0"/>
        <w:rPr>
          <w:b/>
          <w:bCs/>
        </w:rPr>
      </w:pPr>
      <w:r>
        <w:rPr>
          <w:rFonts w:eastAsia="黑体"/>
          <w:spacing w:val="11"/>
        </w:rPr>
        <w:t>4.1.3工程等别</w:t>
      </w:r>
    </w:p>
    <w:p>
      <w:pPr>
        <w:ind w:firstLine="510" w:firstLineChars="200"/>
        <w:rPr>
          <w:sz w:val="24"/>
        </w:rPr>
      </w:pPr>
      <w:r>
        <w:rPr>
          <w:sz w:val="24"/>
        </w:rPr>
        <w:t>根据《水利水电工程等级划分及洪水标准》(SL252-2017)及《防洪标准》(GB50201-2014)综合确定本工程规模为中型水库，工程等别为Ⅲ等。大坝、输水建筑物及溢洪道等主要建筑物为3级建筑物，次要建筑物为4级。</w:t>
      </w:r>
    </w:p>
    <w:p>
      <w:pPr>
        <w:pStyle w:val="3"/>
        <w:numPr>
          <w:ilvl w:val="0"/>
          <w:numId w:val="0"/>
        </w:numPr>
      </w:pPr>
      <w:r>
        <w:t>4.2项目组成</w:t>
      </w:r>
    </w:p>
    <w:p>
      <w:pPr>
        <w:pStyle w:val="22"/>
        <w:spacing w:before="240" w:after="60" w:line="240" w:lineRule="auto"/>
        <w:ind w:left="0" w:leftChars="0"/>
        <w:rPr>
          <w:rFonts w:eastAsia="黑体"/>
          <w:spacing w:val="11"/>
        </w:rPr>
      </w:pPr>
      <w:r>
        <w:rPr>
          <w:rFonts w:eastAsia="黑体"/>
          <w:spacing w:val="11"/>
        </w:rPr>
        <w:t>4.2.1坝顶路面硬化改造</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坝顶改造：现状坝顶宽度为6.0m的土路，两侧设置防撞栏杆，路面净宽5.0m，先拆除原坝顶路面两侧栏杆、坝顶护角，再对坝顶进行清基，由于前坝坡为混凝土六边形预制块砌护，所以清基厚度为0.3m。然后对坝体进行填筑，填筑土料为10km开挖的黄土，天然含水率较低，填筑前需进行碾压试验，填筑时应洒水制备达到最优含水率后分层碾压，压实度不小于0.97。</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待填筑土方工作完成，开始对坝顶路面进行硬化，现状土路改造为沥青路面。然后从上至下依次采用4cm厚AC-13F细粒式沥青混凝土+6cm厚AC-20C中粒式沥青混凝土+20cm厚水泥稳定碎石(5%)+20cm厚级配砂砾。为防止雨水对路面造成冲刷破坏，路面右侧（后坝坡）设置0.5m C30混凝土压顶，待路面完成硬化工作后，已拆除防撞栏杆继续利用。</w:t>
      </w:r>
    </w:p>
    <w:p>
      <w:pPr>
        <w:spacing w:before="240" w:after="60"/>
      </w:pPr>
      <w:r>
        <w:rPr>
          <w:rFonts w:eastAsia="黑体"/>
          <w:spacing w:val="11"/>
          <w:sz w:val="24"/>
        </w:rPr>
        <w:t>4.2.2泄水建筑物维修加固</w:t>
      </w:r>
    </w:p>
    <w:p>
      <w:pPr>
        <w:spacing w:before="240" w:after="60"/>
        <w:ind w:firstLine="510" w:firstLineChars="200"/>
        <w:rPr>
          <w:sz w:val="24"/>
        </w:rPr>
      </w:pPr>
      <w:r>
        <w:rPr>
          <w:sz w:val="24"/>
        </w:rPr>
        <w:t>后坝坡培宽加厚、排水设施修复改造、坡脚处增设贴坡排水+排水棱体：后坝坡稳定性不满足要求及后坝坡冲刷：为保证坝坡的整体安全及稳定，本次消缺改造对主坝（桩号0+000.00~0+358.70段）后坝坡进行加宽培厚，距离坝顶以下6.5m进行加宽，宽度7m，同时设置现浇C25混凝土排水边沟，坡比为1:3.5，设置3级马道，马道宽度2.5m，为防止雨水冲刷每级马道都设置排水边沟，同时对马道进行硬化处理。为保护坝坡脚不受雨水冲刷，‌并支撑下游坝坡增加其稳定性，本次考虑在后坝坡坡脚部位设置贴坡排水及棱体排水。</w:t>
      </w:r>
    </w:p>
    <w:p>
      <w:pPr>
        <w:spacing w:before="240" w:after="60"/>
      </w:pPr>
      <w:r>
        <w:rPr>
          <w:rFonts w:eastAsia="黑体"/>
          <w:spacing w:val="11"/>
          <w:sz w:val="24"/>
        </w:rPr>
        <w:t>4.2.3建筑物改造</w:t>
      </w:r>
    </w:p>
    <w:p>
      <w:pPr>
        <w:pStyle w:val="52"/>
        <w:adjustRightInd/>
        <w:snapToGrid/>
        <w:spacing w:beforeLines="0" w:afterLines="0" w:line="240" w:lineRule="auto"/>
        <w:ind w:firstLine="510" w:firstLineChars="200"/>
        <w:jc w:val="both"/>
        <w:rPr>
          <w:rFonts w:ascii="Times New Roman"/>
          <w:sz w:val="24"/>
        </w:rPr>
      </w:pPr>
      <w:r>
        <w:rPr>
          <w:rFonts w:ascii="Times New Roman"/>
          <w:sz w:val="24"/>
        </w:rPr>
        <w:t>溢洪道进口土体以及两岸土质边坡有塌陷现象，对进口、两岸边坡进行防护；溢洪道明渠以及泄槽有裂缝对其进行拆除重建；消力坎高度不满足要求，且需增加一道消力坎。原消力坎进行拆除重建，新建第一道消力高度为1.5m，同时在下游新增第二道消力坎，高度为0.7m，两道消力坎长均为5m。</w:t>
      </w:r>
    </w:p>
    <w:p>
      <w:pPr>
        <w:ind w:firstLine="510" w:firstLineChars="200"/>
        <w:rPr>
          <w:sz w:val="24"/>
        </w:rPr>
      </w:pPr>
      <w:r>
        <w:rPr>
          <w:sz w:val="24"/>
        </w:rPr>
        <w:t>项目主要由主体工程、辅助工程、依托工程、临时工程、环保工程等组成，具体项目组成见表4-1。</w:t>
      </w:r>
    </w:p>
    <w:p>
      <w:pPr>
        <w:adjustRightInd w:val="0"/>
        <w:snapToGrid w:val="0"/>
        <w:jc w:val="center"/>
        <w:rPr>
          <w:rFonts w:eastAsia="黑体"/>
          <w:sz w:val="24"/>
        </w:rPr>
      </w:pPr>
      <w:r>
        <w:rPr>
          <w:rFonts w:eastAsia="黑体"/>
          <w:sz w:val="24"/>
        </w:rPr>
        <w:t>表4-1  本项目主要工程内容一览表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4"/>
        <w:gridCol w:w="652"/>
        <w:gridCol w:w="772"/>
        <w:gridCol w:w="6382"/>
        <w:gridCol w:w="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tcBorders>
              <w:tl2br w:val="nil"/>
              <w:tr2bl w:val="nil"/>
            </w:tcBorders>
            <w:noWrap/>
            <w:vAlign w:val="center"/>
          </w:tcPr>
          <w:p>
            <w:pPr>
              <w:adjustRightInd w:val="0"/>
              <w:snapToGrid w:val="0"/>
              <w:jc w:val="center"/>
              <w:rPr>
                <w:b/>
                <w:bCs/>
              </w:rPr>
            </w:pPr>
            <w:r>
              <w:rPr>
                <w:b/>
                <w:bCs/>
              </w:rPr>
              <w:t>工程类别</w:t>
            </w:r>
          </w:p>
        </w:tc>
        <w:tc>
          <w:tcPr>
            <w:tcW w:w="1424" w:type="dxa"/>
            <w:gridSpan w:val="2"/>
            <w:tcBorders>
              <w:tl2br w:val="nil"/>
              <w:tr2bl w:val="nil"/>
            </w:tcBorders>
            <w:noWrap/>
            <w:vAlign w:val="center"/>
          </w:tcPr>
          <w:p>
            <w:pPr>
              <w:adjustRightInd w:val="0"/>
              <w:snapToGrid w:val="0"/>
              <w:jc w:val="center"/>
              <w:rPr>
                <w:b/>
                <w:bCs/>
              </w:rPr>
            </w:pPr>
            <w:r>
              <w:rPr>
                <w:b/>
                <w:bCs/>
              </w:rPr>
              <w:t>工程</w:t>
            </w:r>
          </w:p>
          <w:p>
            <w:pPr>
              <w:adjustRightInd w:val="0"/>
              <w:snapToGrid w:val="0"/>
              <w:jc w:val="center"/>
              <w:rPr>
                <w:b/>
                <w:bCs/>
              </w:rPr>
            </w:pPr>
            <w:r>
              <w:rPr>
                <w:b/>
                <w:bCs/>
              </w:rPr>
              <w:t>名称</w:t>
            </w:r>
          </w:p>
        </w:tc>
        <w:tc>
          <w:tcPr>
            <w:tcW w:w="6382" w:type="dxa"/>
            <w:tcBorders>
              <w:tl2br w:val="nil"/>
              <w:tr2bl w:val="nil"/>
            </w:tcBorders>
            <w:noWrap/>
            <w:vAlign w:val="center"/>
          </w:tcPr>
          <w:p>
            <w:pPr>
              <w:adjustRightInd w:val="0"/>
              <w:snapToGrid w:val="0"/>
              <w:jc w:val="center"/>
              <w:rPr>
                <w:b/>
                <w:bCs/>
              </w:rPr>
            </w:pPr>
            <w:r>
              <w:rPr>
                <w:b/>
                <w:bCs/>
              </w:rPr>
              <w:t>主要内容</w:t>
            </w:r>
          </w:p>
        </w:tc>
        <w:tc>
          <w:tcPr>
            <w:tcW w:w="707" w:type="dxa"/>
            <w:tcBorders>
              <w:tl2br w:val="nil"/>
              <w:tr2bl w:val="nil"/>
            </w:tcBorders>
            <w:noWrap/>
            <w:vAlign w:val="center"/>
          </w:tcPr>
          <w:p>
            <w:pPr>
              <w:adjustRightInd w:val="0"/>
              <w:snapToGrid w:val="0"/>
              <w:jc w:val="center"/>
              <w:rPr>
                <w:b/>
                <w:bCs/>
              </w:rPr>
            </w:pPr>
            <w:r>
              <w:rPr>
                <w:b/>
                <w:bC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restart"/>
            <w:tcBorders>
              <w:tl2br w:val="nil"/>
              <w:tr2bl w:val="nil"/>
            </w:tcBorders>
            <w:noWrap/>
            <w:vAlign w:val="center"/>
          </w:tcPr>
          <w:p>
            <w:pPr>
              <w:adjustRightInd w:val="0"/>
              <w:snapToGrid w:val="0"/>
              <w:jc w:val="center"/>
            </w:pPr>
            <w:r>
              <w:rPr>
                <w:b/>
                <w:bCs/>
              </w:rPr>
              <w:t>主体工程</w:t>
            </w:r>
          </w:p>
        </w:tc>
        <w:tc>
          <w:tcPr>
            <w:tcW w:w="1424" w:type="dxa"/>
            <w:gridSpan w:val="2"/>
            <w:tcBorders>
              <w:tl2br w:val="nil"/>
              <w:tr2bl w:val="nil"/>
            </w:tcBorders>
            <w:noWrap/>
            <w:vAlign w:val="center"/>
          </w:tcPr>
          <w:p>
            <w:pPr>
              <w:adjustRightInd w:val="0"/>
              <w:snapToGrid w:val="0"/>
              <w:jc w:val="center"/>
            </w:pPr>
            <w:r>
              <w:t>坝顶路面硬化改造</w:t>
            </w:r>
          </w:p>
        </w:tc>
        <w:tc>
          <w:tcPr>
            <w:tcW w:w="6382" w:type="dxa"/>
            <w:tcBorders>
              <w:tl2br w:val="nil"/>
              <w:tr2bl w:val="nil"/>
            </w:tcBorders>
            <w:noWrap/>
            <w:vAlign w:val="center"/>
          </w:tcPr>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现状坝顶宽度为6.0m的土路，两侧设置防撞栏杆，路面净宽5.0m，长度380m，拆除原坝顶路面两侧栏杆、坝顶护角；</w:t>
            </w:r>
          </w:p>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对坝顶进行清基，清基厚度为0.3m；</w:t>
            </w:r>
          </w:p>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对坝体进行填筑，填筑土料为黄土；</w:t>
            </w:r>
          </w:p>
          <w:p>
            <w:pPr>
              <w:pStyle w:val="6"/>
              <w:adjustRightInd w:val="0"/>
              <w:snapToGrid w:val="0"/>
              <w:spacing w:line="240" w:lineRule="auto"/>
              <w:ind w:firstLine="452"/>
              <w:rPr>
                <w:rFonts w:ascii="Times New Roman" w:hAnsi="Times New Roman"/>
              </w:rPr>
            </w:pPr>
            <w:r>
              <w:rPr>
                <w:rFonts w:ascii="Times New Roman" w:hAnsi="Times New Roman"/>
                <w:sz w:val="21"/>
                <w:szCs w:val="21"/>
              </w:rPr>
              <w:t>待填筑土方工作完成，对坝顶防汛路面进行硬化。从上至下依次采用6cm厚AC-20C中粒式沥青混凝土+20cm厚水泥稳定碎石（5%）+20cm厚级配砂砾。为防止雨水对路面造成冲刷破坏，路面右侧（后坝坡）设置0.5mC30混凝土压顶，待路面完成硬化工作后，已拆除防撞栏杆继续利用。前坝坡防护围栏已破损，本次拆除重建，长度400m。</w:t>
            </w:r>
          </w:p>
        </w:tc>
        <w:tc>
          <w:tcPr>
            <w:tcW w:w="707" w:type="dxa"/>
            <w:tcBorders>
              <w:tl2br w:val="nil"/>
              <w:tr2bl w:val="nil"/>
            </w:tcBorders>
            <w:noWrap/>
            <w:vAlign w:val="center"/>
          </w:tcPr>
          <w:p>
            <w:pPr>
              <w:pStyle w:val="6"/>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tcBorders>
              <w:tl2br w:val="nil"/>
              <w:tr2bl w:val="nil"/>
            </w:tcBorders>
            <w:noWrap/>
            <w:vAlign w:val="center"/>
          </w:tcPr>
          <w:p>
            <w:pPr>
              <w:adjustRightInd w:val="0"/>
              <w:snapToGrid w:val="0"/>
              <w:jc w:val="center"/>
            </w:pPr>
            <w:r>
              <w:t>坝体加固</w:t>
            </w:r>
          </w:p>
        </w:tc>
        <w:tc>
          <w:tcPr>
            <w:tcW w:w="6382" w:type="dxa"/>
            <w:tcBorders>
              <w:tl2br w:val="nil"/>
              <w:tr2bl w:val="nil"/>
            </w:tcBorders>
            <w:noWrap/>
            <w:vAlign w:val="center"/>
          </w:tcPr>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主坝（桩号0+000.00~0+358.70段）后坝坡进行加宽培厚，距离坝顶以下6.5m进行加宽，宽度7m，同时设置现浇C25混凝土排水边沟，坡比为1:3.5，设置3级马道，马道宽度2.5m，为防止雨水冲刷每级马道都设置排水边沟，同时对马道进行硬化处理。</w:t>
            </w:r>
          </w:p>
          <w:p>
            <w:pPr>
              <w:pStyle w:val="11"/>
              <w:adjustRightInd w:val="0"/>
              <w:snapToGrid w:val="0"/>
              <w:spacing w:after="0"/>
              <w:ind w:left="0" w:leftChars="0" w:firstLine="450" w:firstLineChars="200"/>
            </w:pPr>
            <w:r>
              <w:t>后坝坡修复主要采用格梁条结合草皮护坡的措施，格梁条（250x300mm）为现浇C25混凝土。设置C25混凝土台阶。</w:t>
            </w:r>
          </w:p>
          <w:p>
            <w:pPr>
              <w:pStyle w:val="11"/>
              <w:adjustRightInd w:val="0"/>
              <w:snapToGrid w:val="0"/>
              <w:spacing w:after="0"/>
              <w:ind w:left="0" w:leftChars="0" w:firstLine="450" w:firstLineChars="200"/>
            </w:pPr>
            <w:r>
              <w:t>后坝坡坡脚处设置贴面排水+棱体排水。贴坡排水为0.3m干砌石+土工布，与棱体排水相接。排水反滤设计顶高程为1592.20m，反滤体顶宽1.5m，以保护下游棱体排水及坡脚稳定。改造坝后排水沟1.76公里，为现浇混凝土结构。新建后坝坡排水体60米，采用贴坡排水+棱体排水结构型式。</w:t>
            </w:r>
          </w:p>
        </w:tc>
        <w:tc>
          <w:tcPr>
            <w:tcW w:w="707" w:type="dxa"/>
            <w:tcBorders>
              <w:tl2br w:val="nil"/>
              <w:tr2bl w:val="nil"/>
            </w:tcBorders>
            <w:noWrap/>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tcBorders>
              <w:tl2br w:val="nil"/>
              <w:tr2bl w:val="nil"/>
            </w:tcBorders>
            <w:noWrap/>
            <w:vAlign w:val="center"/>
          </w:tcPr>
          <w:p>
            <w:pPr>
              <w:adjustRightInd w:val="0"/>
              <w:snapToGrid w:val="0"/>
              <w:jc w:val="center"/>
            </w:pPr>
            <w:r>
              <w:t>建筑物改造</w:t>
            </w:r>
          </w:p>
        </w:tc>
        <w:tc>
          <w:tcPr>
            <w:tcW w:w="6382" w:type="dxa"/>
            <w:tcBorders>
              <w:tl2br w:val="nil"/>
              <w:tr2bl w:val="nil"/>
            </w:tcBorders>
            <w:noWrap/>
            <w:vAlign w:val="center"/>
          </w:tcPr>
          <w:p>
            <w:pPr>
              <w:pStyle w:val="6"/>
              <w:adjustRightInd w:val="0"/>
              <w:snapToGrid w:val="0"/>
              <w:spacing w:line="240" w:lineRule="auto"/>
              <w:ind w:firstLine="452"/>
              <w:rPr>
                <w:rFonts w:ascii="Times New Roman" w:hAnsi="Times New Roman"/>
                <w:sz w:val="21"/>
                <w:szCs w:val="21"/>
              </w:rPr>
            </w:pPr>
            <w:r>
              <w:rPr>
                <w:rFonts w:ascii="Times New Roman" w:hAnsi="Times New Roman"/>
                <w:sz w:val="21"/>
                <w:szCs w:val="21"/>
              </w:rPr>
              <w:t>溢洪道进口、两岸边坡进行防护，采用C30混凝土现浇，进口面层铺直径12@150钢筋网。</w:t>
            </w:r>
          </w:p>
          <w:p>
            <w:pPr>
              <w:pStyle w:val="11"/>
              <w:adjustRightInd w:val="0"/>
              <w:snapToGrid w:val="0"/>
              <w:spacing w:after="0"/>
              <w:ind w:left="0" w:leftChars="0" w:firstLine="450" w:firstLineChars="200"/>
            </w:pPr>
            <w:r>
              <w:t>改造溢洪道进口浆砌石段，采用钢筋混凝土结构，长度50米，为八字墙型式。拆除重建泄水槽损毁段100米，溢洪道明渠以及泄槽边墙进行拆除重建，采用C30混凝土现浇；对溢洪道原消力坎进行拆除重建，新建第一道消力坎高度为1.5m，同时在下游新增第二道消力坎，高度为0.7m，两道消力坎长均为5m。</w:t>
            </w:r>
          </w:p>
          <w:p>
            <w:pPr>
              <w:pStyle w:val="11"/>
              <w:adjustRightInd w:val="0"/>
              <w:snapToGrid w:val="0"/>
              <w:spacing w:after="0"/>
              <w:ind w:left="0" w:leftChars="0" w:firstLine="450" w:firstLineChars="200"/>
            </w:pPr>
            <w:r>
              <w:t>对卧管输水涵洞内壁进行衬砌修补。</w:t>
            </w:r>
          </w:p>
        </w:tc>
        <w:tc>
          <w:tcPr>
            <w:tcW w:w="707" w:type="dxa"/>
            <w:tcBorders>
              <w:tl2br w:val="nil"/>
              <w:tr2bl w:val="nil"/>
            </w:tcBorders>
            <w:noWrap/>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restart"/>
            <w:tcBorders>
              <w:tl2br w:val="nil"/>
              <w:tr2bl w:val="nil"/>
            </w:tcBorders>
            <w:noWrap/>
            <w:vAlign w:val="center"/>
          </w:tcPr>
          <w:p>
            <w:pPr>
              <w:adjustRightInd w:val="0"/>
              <w:snapToGrid w:val="0"/>
              <w:jc w:val="center"/>
              <w:rPr>
                <w:b/>
                <w:bCs/>
              </w:rPr>
            </w:pPr>
            <w:r>
              <w:rPr>
                <w:b/>
                <w:bCs/>
              </w:rPr>
              <w:t>临时工程</w:t>
            </w:r>
          </w:p>
        </w:tc>
        <w:tc>
          <w:tcPr>
            <w:tcW w:w="1424" w:type="dxa"/>
            <w:gridSpan w:val="2"/>
            <w:tcBorders>
              <w:tl2br w:val="nil"/>
              <w:tr2bl w:val="nil"/>
            </w:tcBorders>
            <w:noWrap/>
            <w:vAlign w:val="center"/>
          </w:tcPr>
          <w:p>
            <w:pPr>
              <w:adjustRightInd w:val="0"/>
              <w:snapToGrid w:val="0"/>
              <w:jc w:val="center"/>
            </w:pPr>
            <w:r>
              <w:t>临时取土场</w:t>
            </w:r>
          </w:p>
        </w:tc>
        <w:tc>
          <w:tcPr>
            <w:tcW w:w="6382" w:type="dxa"/>
            <w:tcBorders>
              <w:tl2br w:val="nil"/>
              <w:tr2bl w:val="nil"/>
            </w:tcBorders>
            <w:noWrap/>
            <w:vAlign w:val="center"/>
          </w:tcPr>
          <w:p>
            <w:pPr>
              <w:adjustRightInd w:val="0"/>
              <w:snapToGrid w:val="0"/>
              <w:ind w:firstLine="450" w:firstLineChars="200"/>
            </w:pPr>
            <w:r>
              <w:t>临时取土场占地</w:t>
            </w:r>
            <w:r>
              <w:rPr>
                <w:kern w:val="0"/>
                <w:szCs w:val="21"/>
              </w:rPr>
              <w:t>51992.74</w:t>
            </w:r>
            <w:r>
              <w:t>m</w:t>
            </w:r>
            <w:r>
              <w:rPr>
                <w:vertAlign w:val="superscript"/>
              </w:rPr>
              <w:t>2</w:t>
            </w:r>
            <w:r>
              <w:t>，取土量</w:t>
            </w:r>
            <w:r>
              <w:rPr>
                <w:kern w:val="0"/>
                <w:szCs w:val="21"/>
              </w:rPr>
              <w:t>203599.98m</w:t>
            </w:r>
            <w:r>
              <w:rPr>
                <w:kern w:val="0"/>
                <w:szCs w:val="21"/>
                <w:vertAlign w:val="superscript"/>
              </w:rPr>
              <w:t>3</w:t>
            </w:r>
            <w:r>
              <w:rPr>
                <w:kern w:val="0"/>
                <w:szCs w:val="21"/>
              </w:rPr>
              <w:t>，</w:t>
            </w:r>
            <w:r>
              <w:t>位于水库下游西南侧，</w:t>
            </w:r>
            <w:r>
              <w:rPr>
                <w:bCs/>
                <w:szCs w:val="21"/>
              </w:rPr>
              <w:t>有便道通至坝址，开采运输便利；</w:t>
            </w:r>
            <w:r>
              <w:t>取土结束后，对其临时占地进行</w:t>
            </w:r>
            <w:r>
              <w:rPr>
                <w:kern w:val="0"/>
              </w:rPr>
              <w:t>机械</w:t>
            </w:r>
            <w:r>
              <w:t>土地整治、植被恢复，逐渐恢复其原有水土保持功能。</w:t>
            </w:r>
          </w:p>
        </w:tc>
        <w:tc>
          <w:tcPr>
            <w:tcW w:w="707" w:type="dxa"/>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tcBorders>
              <w:tl2br w:val="nil"/>
              <w:tr2bl w:val="nil"/>
            </w:tcBorders>
            <w:noWrap/>
            <w:vAlign w:val="center"/>
          </w:tcPr>
          <w:p>
            <w:pPr>
              <w:adjustRightInd w:val="0"/>
              <w:snapToGrid w:val="0"/>
              <w:jc w:val="center"/>
            </w:pPr>
            <w:r>
              <w:t>施工生产生活区</w:t>
            </w:r>
          </w:p>
        </w:tc>
        <w:tc>
          <w:tcPr>
            <w:tcW w:w="6382" w:type="dxa"/>
            <w:tcBorders>
              <w:tl2br w:val="nil"/>
              <w:tr2bl w:val="nil"/>
            </w:tcBorders>
            <w:noWrap/>
            <w:vAlign w:val="center"/>
          </w:tcPr>
          <w:p>
            <w:pPr>
              <w:adjustRightInd w:val="0"/>
              <w:snapToGrid w:val="0"/>
              <w:ind w:firstLine="450" w:firstLineChars="200"/>
            </w:pPr>
            <w:r>
              <w:t>本项目施工生产生活区临时占地3200m</w:t>
            </w:r>
            <w:r>
              <w:rPr>
                <w:vertAlign w:val="superscript"/>
              </w:rPr>
              <w:t>2</w:t>
            </w:r>
            <w:r>
              <w:t>，施工人员生活设施依托水库管理房和周围民房，场地内设置施工材料临时堆场。</w:t>
            </w:r>
          </w:p>
        </w:tc>
        <w:tc>
          <w:tcPr>
            <w:tcW w:w="707" w:type="dxa"/>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tcBorders>
              <w:tl2br w:val="nil"/>
              <w:tr2bl w:val="nil"/>
            </w:tcBorders>
            <w:noWrap/>
            <w:vAlign w:val="center"/>
          </w:tcPr>
          <w:p>
            <w:pPr>
              <w:adjustRightInd w:val="0"/>
              <w:snapToGrid w:val="0"/>
              <w:jc w:val="center"/>
            </w:pPr>
            <w:r>
              <w:t>施工道路</w:t>
            </w:r>
          </w:p>
        </w:tc>
        <w:tc>
          <w:tcPr>
            <w:tcW w:w="6382" w:type="dxa"/>
            <w:tcBorders>
              <w:tl2br w:val="nil"/>
              <w:tr2bl w:val="nil"/>
            </w:tcBorders>
            <w:noWrap/>
            <w:vAlign w:val="center"/>
          </w:tcPr>
          <w:p>
            <w:pPr>
              <w:adjustRightInd w:val="0"/>
              <w:snapToGrid w:val="0"/>
              <w:ind w:firstLine="450" w:firstLineChars="200"/>
            </w:pPr>
            <w:r>
              <w:t>本项目施工期依托现有道路。</w:t>
            </w:r>
          </w:p>
        </w:tc>
        <w:tc>
          <w:tcPr>
            <w:tcW w:w="707" w:type="dxa"/>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tcBorders>
              <w:tl2br w:val="nil"/>
              <w:tr2bl w:val="nil"/>
            </w:tcBorders>
            <w:noWrap/>
            <w:vAlign w:val="center"/>
          </w:tcPr>
          <w:p>
            <w:pPr>
              <w:adjustRightInd w:val="0"/>
              <w:snapToGrid w:val="0"/>
              <w:jc w:val="center"/>
            </w:pPr>
            <w:r>
              <w:t>坝体施工作业面</w:t>
            </w:r>
          </w:p>
        </w:tc>
        <w:tc>
          <w:tcPr>
            <w:tcW w:w="6382" w:type="dxa"/>
            <w:tcBorders>
              <w:tl2br w:val="nil"/>
              <w:tr2bl w:val="nil"/>
            </w:tcBorders>
            <w:noWrap/>
            <w:vAlign w:val="center"/>
          </w:tcPr>
          <w:p>
            <w:pPr>
              <w:adjustRightInd w:val="0"/>
              <w:snapToGrid w:val="0"/>
              <w:ind w:firstLine="450" w:firstLineChars="200"/>
            </w:pPr>
            <w:r>
              <w:t>坝体施工作业面占地</w:t>
            </w:r>
            <w:r>
              <w:rPr>
                <w:kern w:val="0"/>
                <w:szCs w:val="21"/>
              </w:rPr>
              <w:t>22193.3</w:t>
            </w:r>
            <w:r>
              <w:t>m</w:t>
            </w:r>
            <w:r>
              <w:rPr>
                <w:vertAlign w:val="superscript"/>
              </w:rPr>
              <w:t>2</w:t>
            </w:r>
            <w:r>
              <w:t>。</w:t>
            </w:r>
          </w:p>
        </w:tc>
        <w:tc>
          <w:tcPr>
            <w:tcW w:w="707" w:type="dxa"/>
            <w:tcBorders>
              <w:tl2br w:val="nil"/>
              <w:tr2bl w:val="nil"/>
            </w:tcBorders>
            <w:noWrap/>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restart"/>
            <w:tcBorders>
              <w:tl2br w:val="nil"/>
              <w:tr2bl w:val="nil"/>
            </w:tcBorders>
            <w:noWrap/>
            <w:vAlign w:val="center"/>
          </w:tcPr>
          <w:p>
            <w:pPr>
              <w:adjustRightInd w:val="0"/>
              <w:snapToGrid w:val="0"/>
              <w:jc w:val="center"/>
              <w:rPr>
                <w:b/>
                <w:bCs/>
              </w:rPr>
            </w:pPr>
            <w:r>
              <w:rPr>
                <w:b/>
                <w:bCs/>
              </w:rPr>
              <w:t>公用工程</w:t>
            </w:r>
          </w:p>
        </w:tc>
        <w:tc>
          <w:tcPr>
            <w:tcW w:w="1424" w:type="dxa"/>
            <w:gridSpan w:val="2"/>
            <w:vMerge w:val="restart"/>
            <w:tcBorders>
              <w:tl2br w:val="nil"/>
              <w:tr2bl w:val="nil"/>
            </w:tcBorders>
            <w:noWrap/>
            <w:vAlign w:val="center"/>
          </w:tcPr>
          <w:p>
            <w:pPr>
              <w:adjustRightInd w:val="0"/>
              <w:snapToGrid w:val="0"/>
              <w:jc w:val="center"/>
            </w:pPr>
            <w:r>
              <w:t>供水</w:t>
            </w:r>
          </w:p>
        </w:tc>
        <w:tc>
          <w:tcPr>
            <w:tcW w:w="6382" w:type="dxa"/>
            <w:tcBorders>
              <w:tl2br w:val="nil"/>
              <w:tr2bl w:val="nil"/>
            </w:tcBorders>
            <w:noWrap/>
            <w:vAlign w:val="center"/>
          </w:tcPr>
          <w:p>
            <w:pPr>
              <w:adjustRightInd w:val="0"/>
              <w:snapToGrid w:val="0"/>
              <w:ind w:firstLine="450" w:firstLineChars="200"/>
            </w:pPr>
            <w:r>
              <w:t>施工期用水主要为施工人员生活用水（7.20m</w:t>
            </w:r>
            <w:r>
              <w:rPr>
                <w:vertAlign w:val="superscript"/>
              </w:rPr>
              <w:t>3</w:t>
            </w:r>
            <w:r>
              <w:t>/d）及施工用水。</w:t>
            </w:r>
          </w:p>
          <w:p>
            <w:pPr>
              <w:adjustRightInd w:val="0"/>
              <w:snapToGrid w:val="0"/>
              <w:ind w:firstLine="450" w:firstLineChars="200"/>
            </w:pPr>
            <w:r>
              <w:t>施工人员生活用水依托附近村庄居民用水，施工用水为项目区河道长流水。</w:t>
            </w:r>
          </w:p>
        </w:tc>
        <w:tc>
          <w:tcPr>
            <w:tcW w:w="707" w:type="dxa"/>
            <w:vMerge w:val="restart"/>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vMerge w:val="continue"/>
            <w:tcBorders>
              <w:tl2br w:val="nil"/>
              <w:tr2bl w:val="nil"/>
            </w:tcBorders>
            <w:noWrap/>
            <w:vAlign w:val="center"/>
          </w:tcPr>
          <w:p>
            <w:pPr>
              <w:adjustRightInd w:val="0"/>
              <w:snapToGrid w:val="0"/>
              <w:jc w:val="center"/>
            </w:pPr>
          </w:p>
        </w:tc>
        <w:tc>
          <w:tcPr>
            <w:tcW w:w="6382" w:type="dxa"/>
            <w:tcBorders>
              <w:tl2br w:val="nil"/>
              <w:tr2bl w:val="nil"/>
            </w:tcBorders>
            <w:noWrap/>
            <w:vAlign w:val="center"/>
          </w:tcPr>
          <w:p>
            <w:pPr>
              <w:adjustRightInd w:val="0"/>
              <w:snapToGrid w:val="0"/>
              <w:ind w:firstLine="450" w:firstLineChars="200"/>
            </w:pPr>
            <w:r>
              <w:t>本项目现状管理人员2人，不新增水库管理人员，运营期不新增生活用水。</w:t>
            </w:r>
          </w:p>
        </w:tc>
        <w:tc>
          <w:tcPr>
            <w:tcW w:w="707" w:type="dxa"/>
            <w:vMerge w:val="continue"/>
            <w:tcBorders>
              <w:tl2br w:val="nil"/>
              <w:tr2bl w:val="nil"/>
            </w:tcBorders>
            <w:noWrap/>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vMerge w:val="restart"/>
            <w:tcBorders>
              <w:tl2br w:val="nil"/>
              <w:tr2bl w:val="nil"/>
            </w:tcBorders>
            <w:noWrap/>
            <w:vAlign w:val="center"/>
          </w:tcPr>
          <w:p>
            <w:pPr>
              <w:adjustRightInd w:val="0"/>
              <w:snapToGrid w:val="0"/>
              <w:jc w:val="center"/>
            </w:pPr>
            <w:r>
              <w:t>排水</w:t>
            </w:r>
          </w:p>
        </w:tc>
        <w:tc>
          <w:tcPr>
            <w:tcW w:w="6382" w:type="dxa"/>
            <w:tcBorders>
              <w:tl2br w:val="nil"/>
              <w:tr2bl w:val="nil"/>
            </w:tcBorders>
            <w:noWrap/>
            <w:vAlign w:val="center"/>
          </w:tcPr>
          <w:p>
            <w:pPr>
              <w:adjustRightInd w:val="0"/>
              <w:snapToGrid w:val="0"/>
              <w:ind w:firstLine="450" w:firstLineChars="200"/>
            </w:pPr>
            <w:r>
              <w:t>施工期废水主要为施工人员生活污水（5.76m</w:t>
            </w:r>
            <w:r>
              <w:rPr>
                <w:vertAlign w:val="superscript"/>
              </w:rPr>
              <w:t>3</w:t>
            </w:r>
            <w:r>
              <w:t>/d），施工废水经沉淀后回用不外排。</w:t>
            </w:r>
          </w:p>
          <w:p>
            <w:pPr>
              <w:adjustRightInd w:val="0"/>
              <w:snapToGrid w:val="0"/>
              <w:ind w:firstLine="450" w:firstLineChars="200"/>
            </w:pPr>
            <w:r>
              <w:t>施工人员生活污水依托附近村庄旱厕，定期清运；洗漱废水用于场区洒水抑尘。</w:t>
            </w:r>
          </w:p>
        </w:tc>
        <w:tc>
          <w:tcPr>
            <w:tcW w:w="707" w:type="dxa"/>
            <w:vMerge w:val="restart"/>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vMerge w:val="continue"/>
            <w:tcBorders>
              <w:tl2br w:val="nil"/>
              <w:tr2bl w:val="nil"/>
            </w:tcBorders>
            <w:noWrap/>
            <w:vAlign w:val="center"/>
          </w:tcPr>
          <w:p>
            <w:pPr>
              <w:adjustRightInd w:val="0"/>
              <w:snapToGrid w:val="0"/>
              <w:jc w:val="center"/>
            </w:pPr>
          </w:p>
        </w:tc>
        <w:tc>
          <w:tcPr>
            <w:tcW w:w="6382" w:type="dxa"/>
            <w:tcBorders>
              <w:tl2br w:val="nil"/>
              <w:tr2bl w:val="nil"/>
            </w:tcBorders>
            <w:noWrap/>
            <w:vAlign w:val="center"/>
          </w:tcPr>
          <w:p>
            <w:pPr>
              <w:adjustRightInd w:val="0"/>
              <w:snapToGrid w:val="0"/>
              <w:ind w:firstLine="450" w:firstLineChars="200"/>
            </w:pPr>
            <w:r>
              <w:t>运营期无新增生活污水。</w:t>
            </w:r>
          </w:p>
        </w:tc>
        <w:tc>
          <w:tcPr>
            <w:tcW w:w="707" w:type="dxa"/>
            <w:vMerge w:val="continue"/>
            <w:tcBorders>
              <w:tl2br w:val="nil"/>
              <w:tr2bl w:val="nil"/>
            </w:tcBorders>
            <w:noWrap/>
            <w:vAlign w:val="center"/>
          </w:tcPr>
          <w:p>
            <w:pPr>
              <w:adjustRightInd w:val="0"/>
              <w:snapToGrid w:val="0"/>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rPr>
                <w:b/>
                <w:bCs/>
              </w:rPr>
            </w:pPr>
          </w:p>
        </w:tc>
        <w:tc>
          <w:tcPr>
            <w:tcW w:w="1424" w:type="dxa"/>
            <w:gridSpan w:val="2"/>
            <w:tcBorders>
              <w:tl2br w:val="nil"/>
              <w:tr2bl w:val="nil"/>
            </w:tcBorders>
            <w:noWrap/>
            <w:vAlign w:val="center"/>
          </w:tcPr>
          <w:p>
            <w:pPr>
              <w:adjustRightInd w:val="0"/>
              <w:snapToGrid w:val="0"/>
              <w:jc w:val="center"/>
            </w:pPr>
            <w:r>
              <w:t>供电</w:t>
            </w:r>
          </w:p>
        </w:tc>
        <w:tc>
          <w:tcPr>
            <w:tcW w:w="6382" w:type="dxa"/>
            <w:tcBorders>
              <w:tl2br w:val="nil"/>
              <w:tr2bl w:val="nil"/>
            </w:tcBorders>
            <w:noWrap/>
            <w:vAlign w:val="center"/>
          </w:tcPr>
          <w:p>
            <w:pPr>
              <w:adjustRightInd w:val="0"/>
              <w:snapToGrid w:val="0"/>
              <w:ind w:firstLine="450" w:firstLineChars="200"/>
            </w:pPr>
            <w:r>
              <w:t>由周边村庄供给。</w:t>
            </w:r>
          </w:p>
        </w:tc>
        <w:tc>
          <w:tcPr>
            <w:tcW w:w="707" w:type="dxa"/>
            <w:tcBorders>
              <w:tl2br w:val="nil"/>
              <w:tr2bl w:val="nil"/>
            </w:tcBorders>
            <w:noWrap/>
            <w:vAlign w:val="center"/>
          </w:tcPr>
          <w:p>
            <w:pPr>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restart"/>
            <w:tcBorders>
              <w:tl2br w:val="nil"/>
              <w:tr2bl w:val="nil"/>
            </w:tcBorders>
            <w:noWrap/>
            <w:vAlign w:val="center"/>
          </w:tcPr>
          <w:p>
            <w:pPr>
              <w:adjustRightInd w:val="0"/>
              <w:snapToGrid w:val="0"/>
              <w:jc w:val="center"/>
              <w:rPr>
                <w:b/>
                <w:bCs/>
              </w:rPr>
            </w:pPr>
            <w:r>
              <w:rPr>
                <w:b/>
                <w:bCs/>
              </w:rPr>
              <w:t>环保工程</w:t>
            </w:r>
          </w:p>
        </w:tc>
        <w:tc>
          <w:tcPr>
            <w:tcW w:w="652" w:type="dxa"/>
            <w:vMerge w:val="restart"/>
            <w:tcBorders>
              <w:tl2br w:val="nil"/>
              <w:tr2bl w:val="nil"/>
            </w:tcBorders>
            <w:noWrap/>
            <w:vAlign w:val="center"/>
          </w:tcPr>
          <w:p>
            <w:pPr>
              <w:adjustRightInd w:val="0"/>
              <w:snapToGrid w:val="0"/>
              <w:jc w:val="center"/>
            </w:pPr>
            <w:r>
              <w:t>施工期</w:t>
            </w:r>
          </w:p>
        </w:tc>
        <w:tc>
          <w:tcPr>
            <w:tcW w:w="772" w:type="dxa"/>
            <w:tcBorders>
              <w:tl2br w:val="nil"/>
              <w:tr2bl w:val="nil"/>
            </w:tcBorders>
            <w:noWrap/>
            <w:vAlign w:val="center"/>
          </w:tcPr>
          <w:p>
            <w:pPr>
              <w:adjustRightInd w:val="0"/>
              <w:snapToGrid w:val="0"/>
              <w:jc w:val="center"/>
            </w:pPr>
            <w:r>
              <w:t>废气</w:t>
            </w:r>
          </w:p>
          <w:p>
            <w:pPr>
              <w:adjustRightInd w:val="0"/>
              <w:snapToGrid w:val="0"/>
              <w:jc w:val="center"/>
            </w:pPr>
            <w:r>
              <w:t>治理</w:t>
            </w:r>
          </w:p>
        </w:tc>
        <w:tc>
          <w:tcPr>
            <w:tcW w:w="6382" w:type="dxa"/>
            <w:tcBorders>
              <w:tl2br w:val="nil"/>
              <w:tr2bl w:val="nil"/>
            </w:tcBorders>
            <w:noWrap/>
            <w:vAlign w:val="center"/>
          </w:tcPr>
          <w:p>
            <w:pPr>
              <w:adjustRightInd w:val="0"/>
              <w:snapToGrid w:val="0"/>
              <w:ind w:firstLine="450" w:firstLineChars="200"/>
            </w:pPr>
            <w:r>
              <w:t>施工扬尘：施工围挡，施工场地洒水、运输车辆盖上篷布，建筑垃圾及时清理、清运。</w:t>
            </w:r>
          </w:p>
          <w:p>
            <w:pPr>
              <w:adjustRightInd w:val="0"/>
              <w:snapToGrid w:val="0"/>
              <w:ind w:firstLine="450" w:firstLineChars="200"/>
            </w:pPr>
            <w:r>
              <w:t>施工机械废气：加强施工机械的使用管理和保养维修，合理降低使用次数，优化机械设备。</w:t>
            </w:r>
          </w:p>
        </w:tc>
        <w:tc>
          <w:tcPr>
            <w:tcW w:w="707" w:type="dxa"/>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pPr>
          </w:p>
        </w:tc>
        <w:tc>
          <w:tcPr>
            <w:tcW w:w="652" w:type="dxa"/>
            <w:vMerge w:val="continue"/>
            <w:tcBorders>
              <w:tl2br w:val="nil"/>
              <w:tr2bl w:val="nil"/>
            </w:tcBorders>
            <w:noWrap/>
            <w:vAlign w:val="center"/>
          </w:tcPr>
          <w:p>
            <w:pPr>
              <w:adjustRightInd w:val="0"/>
              <w:snapToGrid w:val="0"/>
              <w:jc w:val="center"/>
            </w:pPr>
          </w:p>
        </w:tc>
        <w:tc>
          <w:tcPr>
            <w:tcW w:w="772" w:type="dxa"/>
            <w:tcBorders>
              <w:tl2br w:val="nil"/>
              <w:tr2bl w:val="nil"/>
            </w:tcBorders>
            <w:noWrap/>
            <w:vAlign w:val="center"/>
          </w:tcPr>
          <w:p>
            <w:pPr>
              <w:adjustRightInd w:val="0"/>
              <w:snapToGrid w:val="0"/>
              <w:jc w:val="center"/>
            </w:pPr>
            <w:r>
              <w:t>废水</w:t>
            </w:r>
          </w:p>
          <w:p>
            <w:pPr>
              <w:adjustRightInd w:val="0"/>
              <w:snapToGrid w:val="0"/>
              <w:jc w:val="center"/>
            </w:pPr>
            <w:r>
              <w:t>治理</w:t>
            </w:r>
          </w:p>
        </w:tc>
        <w:tc>
          <w:tcPr>
            <w:tcW w:w="6382" w:type="dxa"/>
            <w:tcBorders>
              <w:tl2br w:val="nil"/>
              <w:tr2bl w:val="nil"/>
            </w:tcBorders>
            <w:noWrap/>
            <w:vAlign w:val="center"/>
          </w:tcPr>
          <w:p>
            <w:pPr>
              <w:adjustRightInd w:val="0"/>
              <w:snapToGrid w:val="0"/>
              <w:ind w:firstLine="450" w:firstLineChars="200"/>
            </w:pPr>
            <w:r>
              <w:t>施工期施工废水经1座10m</w:t>
            </w:r>
            <w:r>
              <w:rPr>
                <w:vertAlign w:val="superscript"/>
              </w:rPr>
              <w:t>3</w:t>
            </w:r>
            <w:r>
              <w:t>的沉淀池处理后全部回用不外排。生活污水依托附近村庄旱厕，定期清掏用于周边绿化施肥，洗漱废水用于场区洒水抑尘。</w:t>
            </w:r>
          </w:p>
        </w:tc>
        <w:tc>
          <w:tcPr>
            <w:tcW w:w="707" w:type="dxa"/>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pPr>
          </w:p>
        </w:tc>
        <w:tc>
          <w:tcPr>
            <w:tcW w:w="652" w:type="dxa"/>
            <w:vMerge w:val="continue"/>
            <w:tcBorders>
              <w:tl2br w:val="nil"/>
              <w:tr2bl w:val="nil"/>
            </w:tcBorders>
            <w:noWrap/>
            <w:vAlign w:val="center"/>
          </w:tcPr>
          <w:p>
            <w:pPr>
              <w:adjustRightInd w:val="0"/>
              <w:snapToGrid w:val="0"/>
              <w:jc w:val="center"/>
            </w:pPr>
          </w:p>
        </w:tc>
        <w:tc>
          <w:tcPr>
            <w:tcW w:w="772" w:type="dxa"/>
            <w:tcBorders>
              <w:tl2br w:val="nil"/>
              <w:tr2bl w:val="nil"/>
            </w:tcBorders>
            <w:noWrap/>
            <w:vAlign w:val="center"/>
          </w:tcPr>
          <w:p>
            <w:pPr>
              <w:adjustRightInd w:val="0"/>
              <w:snapToGrid w:val="0"/>
              <w:jc w:val="center"/>
            </w:pPr>
            <w:r>
              <w:t>噪声</w:t>
            </w:r>
          </w:p>
          <w:p>
            <w:pPr>
              <w:adjustRightInd w:val="0"/>
              <w:snapToGrid w:val="0"/>
              <w:jc w:val="center"/>
            </w:pPr>
            <w:r>
              <w:t>治理</w:t>
            </w:r>
          </w:p>
        </w:tc>
        <w:tc>
          <w:tcPr>
            <w:tcW w:w="6382" w:type="dxa"/>
            <w:tcBorders>
              <w:tl2br w:val="nil"/>
              <w:tr2bl w:val="nil"/>
            </w:tcBorders>
            <w:noWrap/>
            <w:vAlign w:val="center"/>
          </w:tcPr>
          <w:p>
            <w:pPr>
              <w:adjustRightInd w:val="0"/>
              <w:snapToGrid w:val="0"/>
              <w:ind w:firstLine="450" w:firstLineChars="200"/>
            </w:pPr>
            <w:r>
              <w:t>施工期选用低噪声施工设备、合理安排施工时间（禁止夜间(22:00~次日6:00)施工）、合理布置施工营地等。</w:t>
            </w:r>
          </w:p>
        </w:tc>
        <w:tc>
          <w:tcPr>
            <w:tcW w:w="707" w:type="dxa"/>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pPr>
          </w:p>
        </w:tc>
        <w:tc>
          <w:tcPr>
            <w:tcW w:w="652" w:type="dxa"/>
            <w:vMerge w:val="continue"/>
            <w:tcBorders>
              <w:tl2br w:val="nil"/>
              <w:tr2bl w:val="nil"/>
            </w:tcBorders>
            <w:noWrap/>
            <w:vAlign w:val="center"/>
          </w:tcPr>
          <w:p>
            <w:pPr>
              <w:adjustRightInd w:val="0"/>
              <w:snapToGrid w:val="0"/>
              <w:jc w:val="center"/>
            </w:pPr>
          </w:p>
        </w:tc>
        <w:tc>
          <w:tcPr>
            <w:tcW w:w="772" w:type="dxa"/>
            <w:tcBorders>
              <w:tl2br w:val="nil"/>
              <w:tr2bl w:val="nil"/>
            </w:tcBorders>
            <w:noWrap/>
            <w:vAlign w:val="center"/>
          </w:tcPr>
          <w:p>
            <w:pPr>
              <w:adjustRightInd w:val="0"/>
              <w:snapToGrid w:val="0"/>
              <w:jc w:val="center"/>
            </w:pPr>
            <w:r>
              <w:t>固废</w:t>
            </w:r>
          </w:p>
          <w:p>
            <w:pPr>
              <w:adjustRightInd w:val="0"/>
              <w:snapToGrid w:val="0"/>
              <w:jc w:val="center"/>
            </w:pPr>
            <w:r>
              <w:t>治理</w:t>
            </w:r>
          </w:p>
        </w:tc>
        <w:tc>
          <w:tcPr>
            <w:tcW w:w="6382" w:type="dxa"/>
            <w:tcBorders>
              <w:tl2br w:val="nil"/>
              <w:tr2bl w:val="nil"/>
            </w:tcBorders>
            <w:noWrap/>
            <w:vAlign w:val="center"/>
          </w:tcPr>
          <w:p>
            <w:pPr>
              <w:widowControl/>
              <w:adjustRightInd w:val="0"/>
              <w:snapToGrid w:val="0"/>
              <w:ind w:firstLine="450" w:firstLineChars="200"/>
            </w:pPr>
            <w:r>
              <w:t>施工期生活垃圾分类收集，交环卫部门统一处置；</w:t>
            </w:r>
          </w:p>
          <w:p>
            <w:pPr>
              <w:widowControl/>
              <w:adjustRightInd w:val="0"/>
              <w:snapToGrid w:val="0"/>
              <w:ind w:firstLine="450" w:firstLineChars="200"/>
            </w:pPr>
            <w:r>
              <w:t>建筑垃圾能综合利用的综合利用，不能综合利用的统一运至政府指定地点处置。</w:t>
            </w:r>
          </w:p>
        </w:tc>
        <w:tc>
          <w:tcPr>
            <w:tcW w:w="707" w:type="dxa"/>
            <w:tcBorders>
              <w:tl2br w:val="nil"/>
              <w:tr2bl w:val="nil"/>
            </w:tcBorders>
            <w:noWrap/>
            <w:vAlign w:val="center"/>
          </w:tcPr>
          <w:p>
            <w:pPr>
              <w:widowControl/>
              <w:adjustRightInd w:val="0"/>
              <w:snapToGrid w:val="0"/>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pPr>
          </w:p>
        </w:tc>
        <w:tc>
          <w:tcPr>
            <w:tcW w:w="652" w:type="dxa"/>
            <w:vMerge w:val="continue"/>
            <w:tcBorders>
              <w:tl2br w:val="nil"/>
              <w:tr2bl w:val="nil"/>
            </w:tcBorders>
            <w:noWrap/>
            <w:vAlign w:val="center"/>
          </w:tcPr>
          <w:p>
            <w:pPr>
              <w:adjustRightInd w:val="0"/>
              <w:snapToGrid w:val="0"/>
              <w:jc w:val="center"/>
            </w:pPr>
          </w:p>
        </w:tc>
        <w:tc>
          <w:tcPr>
            <w:tcW w:w="772" w:type="dxa"/>
            <w:tcBorders>
              <w:tl2br w:val="nil"/>
              <w:tr2bl w:val="nil"/>
            </w:tcBorders>
            <w:noWrap/>
            <w:vAlign w:val="center"/>
          </w:tcPr>
          <w:p>
            <w:pPr>
              <w:adjustRightInd w:val="0"/>
              <w:snapToGrid w:val="0"/>
              <w:jc w:val="center"/>
            </w:pPr>
            <w:r>
              <w:t>水土</w:t>
            </w:r>
          </w:p>
          <w:p>
            <w:pPr>
              <w:adjustRightInd w:val="0"/>
              <w:snapToGrid w:val="0"/>
              <w:jc w:val="center"/>
            </w:pPr>
            <w:r>
              <w:t>保持</w:t>
            </w:r>
          </w:p>
        </w:tc>
        <w:tc>
          <w:tcPr>
            <w:tcW w:w="6382" w:type="dxa"/>
            <w:tcBorders>
              <w:tl2br w:val="nil"/>
              <w:tr2bl w:val="nil"/>
            </w:tcBorders>
            <w:noWrap/>
            <w:vAlign w:val="center"/>
          </w:tcPr>
          <w:p>
            <w:pPr>
              <w:adjustRightInd w:val="0"/>
              <w:snapToGrid w:val="0"/>
              <w:ind w:firstLine="450" w:firstLineChars="200"/>
            </w:pPr>
            <w:r>
              <w:t>主体工程防治区：施工期降尘洒水、塑料防尘网遮盖及临时排水沟开挖，培厚后的坡面及顶面采用草皮护坡。</w:t>
            </w:r>
          </w:p>
          <w:p>
            <w:pPr>
              <w:adjustRightInd w:val="0"/>
              <w:snapToGrid w:val="0"/>
              <w:ind w:firstLine="450" w:firstLineChars="200"/>
            </w:pPr>
            <w:r>
              <w:t>取土场、施工生产生活区等临时占地，施工期洒水降尘、表土剥离并妥善保存，施工及取土结束后，恢复表土，播撒草种，恢复其原有植被形态。</w:t>
            </w:r>
          </w:p>
        </w:tc>
        <w:tc>
          <w:tcPr>
            <w:tcW w:w="707" w:type="dxa"/>
            <w:tcBorders>
              <w:tl2br w:val="nil"/>
              <w:tr2bl w:val="nil"/>
            </w:tcBorders>
            <w:noWrap/>
            <w:vAlign w:val="center"/>
          </w:tcPr>
          <w:p>
            <w:pPr>
              <w:adjustRightInd w:val="0"/>
              <w:snapToGrid w:val="0"/>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tcBorders>
              <w:tl2br w:val="nil"/>
              <w:tr2bl w:val="nil"/>
            </w:tcBorders>
            <w:noWrap/>
            <w:vAlign w:val="center"/>
          </w:tcPr>
          <w:p>
            <w:pPr>
              <w:adjustRightInd w:val="0"/>
              <w:snapToGrid w:val="0"/>
              <w:jc w:val="center"/>
            </w:pPr>
          </w:p>
        </w:tc>
        <w:tc>
          <w:tcPr>
            <w:tcW w:w="1424" w:type="dxa"/>
            <w:gridSpan w:val="2"/>
            <w:tcBorders>
              <w:tl2br w:val="nil"/>
              <w:tr2bl w:val="nil"/>
            </w:tcBorders>
            <w:noWrap/>
            <w:vAlign w:val="center"/>
          </w:tcPr>
          <w:p>
            <w:pPr>
              <w:adjustRightInd w:val="0"/>
              <w:snapToGrid w:val="0"/>
              <w:jc w:val="center"/>
            </w:pPr>
            <w:r>
              <w:t>运营期</w:t>
            </w:r>
          </w:p>
        </w:tc>
        <w:tc>
          <w:tcPr>
            <w:tcW w:w="6382" w:type="dxa"/>
            <w:tcBorders>
              <w:tl2br w:val="nil"/>
              <w:tr2bl w:val="nil"/>
            </w:tcBorders>
            <w:noWrap/>
            <w:vAlign w:val="center"/>
          </w:tcPr>
          <w:p>
            <w:pPr>
              <w:adjustRightInd w:val="0"/>
              <w:snapToGrid w:val="0"/>
              <w:ind w:firstLine="450" w:firstLineChars="200"/>
            </w:pPr>
            <w:r>
              <w:t>本项目运营期无废气、废水、噪声、固废产生。</w:t>
            </w:r>
          </w:p>
        </w:tc>
        <w:tc>
          <w:tcPr>
            <w:tcW w:w="707" w:type="dxa"/>
            <w:tcBorders>
              <w:tl2br w:val="nil"/>
              <w:tr2bl w:val="nil"/>
            </w:tcBorders>
            <w:noWrap/>
            <w:vAlign w:val="center"/>
          </w:tcPr>
          <w:p>
            <w:pPr>
              <w:adjustRightInd w:val="0"/>
              <w:snapToGrid w:val="0"/>
              <w:jc w:val="center"/>
            </w:pPr>
            <w:r>
              <w:t>/</w:t>
            </w:r>
          </w:p>
        </w:tc>
      </w:tr>
    </w:tbl>
    <w:p>
      <w:pPr>
        <w:pStyle w:val="3"/>
        <w:numPr>
          <w:ilvl w:val="1"/>
          <w:numId w:val="0"/>
        </w:numPr>
      </w:pPr>
      <w:r>
        <w:t>4.4工程设计</w:t>
      </w:r>
    </w:p>
    <w:p>
      <w:pPr>
        <w:ind w:firstLine="510" w:firstLineChars="200"/>
        <w:rPr>
          <w:sz w:val="24"/>
        </w:rPr>
      </w:pPr>
      <w:r>
        <w:rPr>
          <w:sz w:val="24"/>
        </w:rPr>
        <w:t>（1）坝顶路面硬化改造：现状坝顶道路为土路，由于雨水冲刷，凹凸不平，道路标准较低，不利于防汛交通。本次考虑对坝顶铺装沥青混凝土路面。</w:t>
      </w:r>
    </w:p>
    <w:p>
      <w:pPr>
        <w:ind w:firstLine="510" w:firstLineChars="200"/>
        <w:rPr>
          <w:sz w:val="24"/>
        </w:rPr>
      </w:pPr>
      <w:r>
        <w:rPr>
          <w:sz w:val="24"/>
        </w:rPr>
        <w:t>（2）下游坝坡稳定性不满足要求及坡面砌护损坏的处理：后坝坡稳定性不满足要求及后坝坡冲刷：为保证坝坡的整体安全及稳定，本次消缺改造对主坝（桩号0+000.00~0+358.70段）后坝坡进行加宽培厚，距离坝顶以下6.5m进行加宽，宽度7m，同时设置现浇C25混凝土排水边沟，坡比为1:3.5，设置3级马道，马道宽度2.5m，为防止雨水冲刷每级马道都设置排水边沟，同时对马道进行硬化处理。后坝坡坡脚处设置贴面排水+棱体排水。贴坡排水为0.3m干砌石+土工布，与棱体排水相接。</w:t>
      </w:r>
    </w:p>
    <w:p>
      <w:pPr>
        <w:numPr>
          <w:ilvl w:val="0"/>
          <w:numId w:val="9"/>
        </w:numPr>
        <w:ind w:firstLine="510" w:firstLineChars="200"/>
        <w:rPr>
          <w:sz w:val="24"/>
        </w:rPr>
      </w:pPr>
      <w:r>
        <w:rPr>
          <w:sz w:val="24"/>
        </w:rPr>
        <w:t>溢洪道泄槽段左右边墙存在多处开裂、破损，边墙后土体存在雨水冲刷掏空后形成的孔洞，对溢洪道明渠、泄槽段进行拆除重建。溢洪道原消力坎损坏严重，拆除后重建一排消力坎，并在下游新增第二排消力坎。</w:t>
      </w:r>
    </w:p>
    <w:p>
      <w:pPr>
        <w:pStyle w:val="3"/>
        <w:numPr>
          <w:ilvl w:val="1"/>
          <w:numId w:val="0"/>
        </w:numPr>
      </w:pPr>
      <w:r>
        <w:t>4.5施工方案</w:t>
      </w:r>
    </w:p>
    <w:p>
      <w:pPr>
        <w:spacing w:before="240" w:after="60"/>
        <w:rPr>
          <w:b/>
          <w:bCs/>
          <w:sz w:val="24"/>
        </w:rPr>
      </w:pPr>
      <w:r>
        <w:rPr>
          <w:rFonts w:eastAsia="黑体"/>
          <w:sz w:val="24"/>
        </w:rPr>
        <w:t>4.5.1施工工艺</w:t>
      </w:r>
    </w:p>
    <w:p>
      <w:pPr>
        <w:ind w:firstLine="510" w:firstLineChars="200"/>
        <w:rPr>
          <w:sz w:val="24"/>
          <w:szCs w:val="18"/>
        </w:rPr>
      </w:pPr>
      <w:r>
        <w:rPr>
          <w:sz w:val="24"/>
          <w:szCs w:val="18"/>
        </w:rPr>
        <w:t>本工程为现有水库加固改造，消除大坝存在的安全隐患，保证水库安全。根据工程特征，主要包括坝体维修加固、泄水建筑物加固工程、输水建筑物维修加固和机电、金属结构和信息化工程，在施工过程中不涉及水下构筑物施工，不涉及降低库存标高后施工。</w:t>
      </w:r>
    </w:p>
    <w:p>
      <w:pPr>
        <w:ind w:firstLine="510" w:firstLineChars="200"/>
        <w:rPr>
          <w:b/>
          <w:bCs/>
          <w:sz w:val="24"/>
        </w:rPr>
      </w:pPr>
      <w:r>
        <w:rPr>
          <w:b/>
          <w:bCs/>
          <w:sz w:val="24"/>
        </w:rPr>
        <w:t>建基面清基：</w:t>
      </w:r>
    </w:p>
    <w:p>
      <w:pPr>
        <w:ind w:firstLine="510" w:firstLineChars="200"/>
        <w:rPr>
          <w:sz w:val="24"/>
        </w:rPr>
      </w:pPr>
      <w:r>
        <w:rPr>
          <w:sz w:val="24"/>
        </w:rPr>
        <w:t>后坝坡加宽培厚应先进行建基面清基处理，主要包括坝顶现状碎石路面清理、后坝坡植被层清理、坝坡脚块石清理、坝前坡砼预制板及砂砾石垫层清理等，清基以挖掘机、推土机为主，配合人工清理，自卸汽车出渣，清基至新鲜原装土基面，厚度约为0.5m。坝基清基范围应超出堤坡脚线以外0.5m，并将堤基平整压实后，再实施回填。</w:t>
      </w:r>
    </w:p>
    <w:p>
      <w:pPr>
        <w:ind w:firstLine="510" w:firstLineChars="200"/>
        <w:rPr>
          <w:b/>
          <w:bCs/>
          <w:sz w:val="24"/>
        </w:rPr>
      </w:pPr>
      <w:r>
        <w:rPr>
          <w:b/>
          <w:bCs/>
          <w:sz w:val="24"/>
        </w:rPr>
        <w:t>土方开挖：</w:t>
      </w:r>
    </w:p>
    <w:p>
      <w:pPr>
        <w:ind w:firstLine="510" w:firstLineChars="200"/>
        <w:rPr>
          <w:sz w:val="24"/>
        </w:rPr>
      </w:pPr>
      <w:r>
        <w:rPr>
          <w:sz w:val="24"/>
        </w:rPr>
        <w:t>土方开挖采用1.0~1.5m</w:t>
      </w:r>
      <w:r>
        <w:rPr>
          <w:sz w:val="24"/>
          <w:vertAlign w:val="superscript"/>
        </w:rPr>
        <w:t>3</w:t>
      </w:r>
      <w:r>
        <w:rPr>
          <w:sz w:val="24"/>
        </w:rPr>
        <w:t>挖掘机开挖，15t自卸车拉运。岸坡开挖时按设计的坡度进行，且岸边削成平整斜面，以利排水，不可削成台阶形，更不能削成反坡，也不允许出现突出的折坡点。岸坡和基础易分化崩解的土层，开挖后不能及时回填的，应保留保护层。</w:t>
      </w:r>
    </w:p>
    <w:p>
      <w:pPr>
        <w:ind w:firstLine="510" w:firstLineChars="200"/>
        <w:rPr>
          <w:sz w:val="24"/>
        </w:rPr>
      </w:pPr>
      <w:r>
        <w:rPr>
          <w:sz w:val="24"/>
        </w:rPr>
        <w:t>使用机械开挖土方时，实际施工的边坡坡度应适当留有修坡余量，再用人工修整，应满足施工图纸要求的坡度和平整度。在土方开挖边坡上遇有地下水渗流时，应在修整和加固前，采取有效的疏导和保护措施。</w:t>
      </w:r>
    </w:p>
    <w:p>
      <w:pPr>
        <w:ind w:firstLine="510" w:firstLineChars="200"/>
        <w:rPr>
          <w:b/>
          <w:bCs/>
          <w:sz w:val="24"/>
        </w:rPr>
      </w:pPr>
      <w:r>
        <w:rPr>
          <w:b/>
          <w:bCs/>
          <w:sz w:val="24"/>
        </w:rPr>
        <w:t>土方回填：</w:t>
      </w:r>
    </w:p>
    <w:p>
      <w:pPr>
        <w:ind w:firstLine="510" w:firstLineChars="200"/>
        <w:rPr>
          <w:sz w:val="24"/>
        </w:rPr>
      </w:pPr>
      <w:r>
        <w:rPr>
          <w:sz w:val="24"/>
        </w:rPr>
        <w:t>拦洪库坝体根据不同地形地貌、现状建筑物和坝段，主要采用加高培厚方式。</w:t>
      </w:r>
    </w:p>
    <w:p>
      <w:pPr>
        <w:ind w:firstLine="510" w:firstLineChars="200"/>
        <w:rPr>
          <w:sz w:val="24"/>
        </w:rPr>
      </w:pPr>
      <w:r>
        <w:rPr>
          <w:sz w:val="24"/>
        </w:rPr>
        <w:t>坝体填筑利用库区料场取筑坝土料，采用反铲挖掘机开采，自卸汽车运输上坝。自卸汽车配推土机铺料，采用凸块振动碾采用进退错距法压实。填筑时，须分层填筑碾压，每层铺设厚度不大于0.3m。为了保证填筑质量，坝体填筑不安排冬季施工。为保证工程的完整性和质量，设计方面做以下规定：</w:t>
      </w:r>
    </w:p>
    <w:p>
      <w:pPr>
        <w:ind w:firstLine="510" w:firstLineChars="200"/>
        <w:rPr>
          <w:sz w:val="24"/>
        </w:rPr>
      </w:pPr>
      <w:r>
        <w:rPr>
          <w:sz w:val="24"/>
        </w:rPr>
        <w:t>（1）施工中如发现堤身中有暗沟、孔洞、塌陷区、杂填土等不良现象，应及时通知业主和设计代表，查明情况并采取处理措施。</w:t>
      </w:r>
    </w:p>
    <w:p>
      <w:pPr>
        <w:ind w:firstLine="510" w:firstLineChars="200"/>
        <w:rPr>
          <w:sz w:val="24"/>
        </w:rPr>
      </w:pPr>
      <w:r>
        <w:rPr>
          <w:sz w:val="24"/>
        </w:rPr>
        <w:t>（2）在满足取土要求条件下，可就近取土填筑，对于填筑碾压断面，上坝土料不得含植物根茎、石块、砖瓦垃圾等杂质。填筑土料选用壤土时，要求分层铺土碾压，每层铺土厚度控制在0.3m以内，含水率控制在最优含水率±2%以内，压实系数不小于0.98。施工时须做回填土料室内击实实验，以确定其最大干容重及最优含水量。</w:t>
      </w:r>
    </w:p>
    <w:p>
      <w:pPr>
        <w:ind w:firstLine="510" w:firstLineChars="200"/>
        <w:rPr>
          <w:sz w:val="24"/>
        </w:rPr>
      </w:pPr>
      <w:r>
        <w:rPr>
          <w:sz w:val="24"/>
        </w:rPr>
        <w:t>（3）如要使用光面碾磙来压实填筑层，或因故停工搁置较久，产生层间光面及层面疏松时，在铺填上层土料前，须将下层表面刨毛（深度0.3～0.5m），含水量不足时，适量洒水，以保证层面充分结合。</w:t>
      </w:r>
    </w:p>
    <w:p>
      <w:pPr>
        <w:ind w:firstLine="510" w:firstLineChars="200"/>
        <w:rPr>
          <w:sz w:val="24"/>
        </w:rPr>
      </w:pPr>
      <w:r>
        <w:rPr>
          <w:sz w:val="24"/>
        </w:rPr>
        <w:t>（4）由于履带式推土机的接地压强太小，设计方面不推荐作为独立的碾压机具使用。应采用12～15t平碾，铺土厚度控制在0.25m。</w:t>
      </w:r>
    </w:p>
    <w:p>
      <w:pPr>
        <w:ind w:firstLine="510" w:firstLineChars="200"/>
        <w:rPr>
          <w:sz w:val="24"/>
        </w:rPr>
      </w:pPr>
      <w:r>
        <w:rPr>
          <w:sz w:val="24"/>
        </w:rPr>
        <w:t>（5）碾压的土层经检验合格后，方可铺筑下一层新土。防洪堤及拦洪堤施工应参照《碾压式土石坝施工规范》DL/T 5129-2013施工要求进行施工。</w:t>
      </w:r>
    </w:p>
    <w:p>
      <w:pPr>
        <w:ind w:firstLine="510" w:firstLineChars="200"/>
        <w:rPr>
          <w:b/>
          <w:bCs/>
          <w:sz w:val="24"/>
        </w:rPr>
      </w:pPr>
      <w:r>
        <w:rPr>
          <w:b/>
          <w:bCs/>
          <w:sz w:val="24"/>
        </w:rPr>
        <w:t>下游坝坡工程施工：</w:t>
      </w:r>
    </w:p>
    <w:p>
      <w:pPr>
        <w:ind w:firstLine="510" w:firstLineChars="200"/>
        <w:rPr>
          <w:sz w:val="24"/>
        </w:rPr>
      </w:pPr>
      <w:r>
        <w:rPr>
          <w:sz w:val="24"/>
        </w:rPr>
        <w:t>下游坝坡采用混凝土网格植草坪护坡，施工前人工对局部被破坏的砂壳坝面进行修整，合格后即可开始草皮护坡施工。施工时，将混凝土预制网格做好，顺坡将腐殖土卸下，然后撒上草籽，搅拌均匀，及时洒水。</w:t>
      </w:r>
    </w:p>
    <w:p>
      <w:pPr>
        <w:ind w:firstLine="510" w:firstLineChars="200"/>
        <w:rPr>
          <w:sz w:val="24"/>
        </w:rPr>
      </w:pPr>
      <w:r>
        <w:rPr>
          <w:sz w:val="24"/>
        </w:rPr>
        <w:t>坡面挖方施工根据放样后的横、竖梁位置，采用小型机具配合人工挖方。对不稳定的挖方槽底及坡面要做换填夯实处理。同一级边坡挖方顺序是：由上至下，一步到位，槽底密实平顺，禁止超挖。</w:t>
      </w:r>
    </w:p>
    <w:p>
      <w:pPr>
        <w:ind w:firstLine="510" w:firstLineChars="200"/>
        <w:rPr>
          <w:sz w:val="24"/>
        </w:rPr>
      </w:pPr>
      <w:r>
        <w:rPr>
          <w:sz w:val="24"/>
        </w:rPr>
        <w:t>混凝土格条浇筑顺序为：由底级到上级，先脚墙后竖梁再平台。</w:t>
      </w:r>
    </w:p>
    <w:p>
      <w:pPr>
        <w:ind w:firstLine="510" w:firstLineChars="200"/>
        <w:rPr>
          <w:sz w:val="24"/>
        </w:rPr>
      </w:pPr>
      <w:r>
        <w:rPr>
          <w:sz w:val="24"/>
        </w:rPr>
        <w:t>混凝土的浇筑运输采用车载+滑槽形式。为保证混凝土的搅拌质量，在混凝土搅拌过程中严格控制混凝土的和易性及坍落度。混凝土浇筑时，严格控制振捣质量，以混凝土停止下沉，不再冒出气泡，表面呈现平坦、泛浆现象为振捣标准。浇筑后的混凝土，根据实际天气情况，做好必要的洒水养护工作。</w:t>
      </w:r>
    </w:p>
    <w:p>
      <w:pPr>
        <w:ind w:firstLine="510" w:firstLineChars="200"/>
        <w:rPr>
          <w:b/>
          <w:bCs/>
          <w:sz w:val="24"/>
        </w:rPr>
      </w:pPr>
      <w:r>
        <w:rPr>
          <w:b/>
          <w:bCs/>
          <w:sz w:val="24"/>
        </w:rPr>
        <w:t>溢洪道施工：</w:t>
      </w:r>
    </w:p>
    <w:p>
      <w:pPr>
        <w:ind w:firstLine="510" w:firstLineChars="200"/>
        <w:rPr>
          <w:sz w:val="24"/>
        </w:rPr>
      </w:pPr>
      <w:r>
        <w:rPr>
          <w:sz w:val="24"/>
        </w:rPr>
        <w:t>主要对现状溢洪道下游一级消力池消力坎拆除后重新增设消力坎。</w:t>
      </w:r>
    </w:p>
    <w:p>
      <w:pPr>
        <w:ind w:firstLine="510" w:firstLineChars="200"/>
        <w:rPr>
          <w:sz w:val="24"/>
        </w:rPr>
      </w:pPr>
      <w:r>
        <w:rPr>
          <w:sz w:val="24"/>
        </w:rPr>
        <w:t>消力坎工程选用的水泥必须符合现行国家标准的规定，水泥强度等级应与混凝土设计强度等级相适应，有抗冻要求较高的部位宜使用较高强度等级的水泥。溢洪道出口陡坡及消力池等均采用抗硫酸盐水泥。</w:t>
      </w:r>
    </w:p>
    <w:p>
      <w:pPr>
        <w:ind w:firstLine="510" w:firstLineChars="200"/>
        <w:rPr>
          <w:sz w:val="24"/>
        </w:rPr>
      </w:pPr>
      <w:r>
        <w:rPr>
          <w:sz w:val="24"/>
        </w:rPr>
        <w:t>细骨料应质地坚硬、清洁、级配良好，天然砂的细度模数宜在2.2～3.0范围内。细骨料的含水率应保持稳定，人工砂饱和面干的含水率不宜超过6％，必要时应采取加速脱水措施。</w:t>
      </w:r>
    </w:p>
    <w:p>
      <w:pPr>
        <w:ind w:firstLine="510" w:firstLineChars="200"/>
        <w:rPr>
          <w:sz w:val="24"/>
        </w:rPr>
      </w:pPr>
      <w:r>
        <w:rPr>
          <w:sz w:val="24"/>
        </w:rPr>
        <w:t>混凝土拌和与养护用水的pH值和水中的不溶物、可溶物、氯化物、硫酸盐的含量应符合国家相关规范的规定。混凝土施工应严格执行水电部《水工混凝土施工规范》（SL677-2014）和《水工混凝土试验规程》（SL352-2006）中的有关规定。</w:t>
      </w:r>
    </w:p>
    <w:p>
      <w:pPr>
        <w:ind w:firstLine="510" w:firstLineChars="200"/>
        <w:rPr>
          <w:sz w:val="24"/>
        </w:rPr>
      </w:pPr>
      <w:r>
        <w:rPr>
          <w:b/>
          <w:bCs/>
          <w:sz w:val="24"/>
        </w:rPr>
        <w:t>坝顶巡护道路沥青路面施工</w:t>
      </w:r>
      <w:r>
        <w:rPr>
          <w:sz w:val="24"/>
        </w:rPr>
        <w:t>：</w:t>
      </w:r>
    </w:p>
    <w:p>
      <w:pPr>
        <w:ind w:firstLine="510" w:firstLineChars="200"/>
        <w:rPr>
          <w:sz w:val="24"/>
        </w:rPr>
      </w:pPr>
      <w:r>
        <w:rPr>
          <w:sz w:val="24"/>
        </w:rPr>
        <w:t>摊铺时，沥青混合料必须缓慢、均匀、连续不间断地摊铺，不得随意变换速度或中途停顿。摊铺机螺旋送料器中的混合料的高度保持不低于送料器高度的2/3，并保证在摊铺机全宽度断面上不发生离析。</w:t>
      </w:r>
    </w:p>
    <w:p>
      <w:pPr>
        <w:ind w:firstLine="510" w:firstLineChars="200"/>
        <w:rPr>
          <w:sz w:val="24"/>
        </w:rPr>
      </w:pPr>
      <w:r>
        <w:rPr>
          <w:sz w:val="24"/>
        </w:rPr>
        <w:t>混合料的摊铺应以摊铺机的参考线控制铺筑层标高，上下两层之间的横向接缝应错开50cm以上。</w:t>
      </w:r>
    </w:p>
    <w:p>
      <w:pPr>
        <w:ind w:firstLine="510" w:firstLineChars="200"/>
      </w:pPr>
      <w:r>
        <w:rPr>
          <w:sz w:val="24"/>
        </w:rPr>
        <w:t>沥青路面纵向接缝宜用平接缝，接缝的搭接长度与厚度有关，宜为40～80cm。搭接处应清扫干净并洒粘层沥青，接缝应充分压实并搭接平整。纵向接缝不得重合，热接缝错开量不少于15cm，冷接缝错开量不少于30cm。沥横向接缝施工必须做到紧密粘结、充分压实、连接平顺，不得产生明显的接缝离析。</w:t>
      </w:r>
    </w:p>
    <w:p>
      <w:pPr>
        <w:ind w:firstLine="510" w:firstLineChars="200"/>
        <w:rPr>
          <w:sz w:val="24"/>
        </w:rPr>
      </w:pPr>
      <w:r>
        <w:rPr>
          <w:sz w:val="24"/>
        </w:rPr>
        <w:t>本工程建设流程及产污环节见图4-1。</w:t>
      </w:r>
    </w:p>
    <w:p>
      <w:pPr>
        <w:pStyle w:val="22"/>
        <w:adjustRightInd w:val="0"/>
        <w:snapToGrid w:val="0"/>
        <w:spacing w:line="240" w:lineRule="auto"/>
        <w:ind w:left="0" w:leftChars="0"/>
        <w:jc w:val="center"/>
        <w:rPr>
          <w:rFonts w:eastAsia="黑体"/>
          <w:spacing w:val="11"/>
        </w:rPr>
      </w:pPr>
      <w:r>
        <w:object>
          <v:shape id="_x0000_i1025" o:spt="75" type="#_x0000_t75" style="height:147.75pt;width:453pt;" o:ole="t" filled="f" o:preferrelative="t" stroked="f" coordsize="21600,21600">
            <v:path/>
            <v:fill on="f" focussize="0,0"/>
            <v:stroke on="f" joinstyle="miter"/>
            <v:imagedata r:id="rId39" croptop="26763f" cropbottom="19564f" o:title=""/>
            <o:lock v:ext="edit" aspectratio="f"/>
            <w10:wrap type="none"/>
            <w10:anchorlock/>
          </v:shape>
          <o:OLEObject Type="Embed" ProgID="Visio.Drawing.15" ShapeID="_x0000_i1025" DrawAspect="Content" ObjectID="_1468075725" r:id="rId38">
            <o:LockedField>false</o:LockedField>
          </o:OLEObject>
        </w:object>
      </w:r>
      <w:r>
        <w:rPr>
          <w:rFonts w:eastAsia="黑体"/>
          <w:spacing w:val="11"/>
        </w:rPr>
        <w:t>图4-1  本工程建设流程及产污环节图</w:t>
      </w:r>
    </w:p>
    <w:p>
      <w:pPr>
        <w:spacing w:before="240" w:after="60"/>
        <w:rPr>
          <w:b/>
          <w:bCs/>
          <w:spacing w:val="11"/>
          <w:sz w:val="24"/>
        </w:rPr>
      </w:pPr>
      <w:r>
        <w:rPr>
          <w:rFonts w:eastAsia="黑体"/>
          <w:spacing w:val="11"/>
          <w:sz w:val="24"/>
        </w:rPr>
        <w:t>4.5.2施工导流</w:t>
      </w:r>
    </w:p>
    <w:p>
      <w:pPr>
        <w:ind w:firstLine="510" w:firstLineChars="200"/>
        <w:rPr>
          <w:sz w:val="24"/>
        </w:rPr>
      </w:pPr>
      <w:r>
        <w:rPr>
          <w:sz w:val="24"/>
        </w:rPr>
        <w:t>本工程建设的主要内容解决雅石沟水库的下游坝坡的稳定问题以及溢洪道的改造施工等，施工安排在非汛期，不需要施工导流。但施工期内仍有极端天气降雨可能引起洪水，施工时应考虑洪水对工程造成的危害，应考虑施工应急度汛。</w:t>
      </w:r>
    </w:p>
    <w:p>
      <w:pPr>
        <w:pStyle w:val="3"/>
        <w:numPr>
          <w:ilvl w:val="1"/>
          <w:numId w:val="0"/>
        </w:numPr>
      </w:pPr>
      <w:r>
        <w:t>4.6水环境影响分析</w:t>
      </w:r>
    </w:p>
    <w:p>
      <w:pPr>
        <w:pStyle w:val="22"/>
        <w:spacing w:before="240" w:after="60" w:line="240" w:lineRule="auto"/>
        <w:ind w:left="0" w:leftChars="0"/>
      </w:pPr>
      <w:r>
        <w:rPr>
          <w:rFonts w:eastAsia="黑体"/>
        </w:rPr>
        <w:t>4.6.1施工期</w:t>
      </w:r>
    </w:p>
    <w:p>
      <w:pPr>
        <w:ind w:firstLine="510" w:firstLineChars="200"/>
        <w:rPr>
          <w:bCs/>
          <w:sz w:val="24"/>
          <w:szCs w:val="21"/>
        </w:rPr>
      </w:pPr>
      <w:r>
        <w:rPr>
          <w:bCs/>
          <w:sz w:val="24"/>
          <w:szCs w:val="21"/>
        </w:rPr>
        <w:t>（1）对水文情势的影响</w:t>
      </w:r>
    </w:p>
    <w:p>
      <w:pPr>
        <w:ind w:firstLine="510" w:firstLineChars="200"/>
        <w:rPr>
          <w:bCs/>
          <w:sz w:val="24"/>
          <w:szCs w:val="21"/>
        </w:rPr>
      </w:pPr>
      <w:r>
        <w:rPr>
          <w:bCs/>
          <w:sz w:val="24"/>
          <w:szCs w:val="21"/>
        </w:rPr>
        <w:t>本项目属于水文要素影响型，评价等级为三级。本项目为水库除险加固工程，施工范围主要集中在水库大坝周围，由于是在已经建成的水库大坝上进行修缮、改造和维护，涉及水域的工程量很少，工程施工不会对水库上下游水文情势产生影响。</w:t>
      </w:r>
    </w:p>
    <w:p>
      <w:pPr>
        <w:ind w:firstLine="510" w:firstLineChars="200"/>
        <w:rPr>
          <w:bCs/>
          <w:sz w:val="24"/>
          <w:szCs w:val="21"/>
        </w:rPr>
      </w:pPr>
      <w:r>
        <w:rPr>
          <w:bCs/>
          <w:sz w:val="24"/>
          <w:szCs w:val="21"/>
        </w:rPr>
        <w:t>（2）对水库水质的影响</w:t>
      </w:r>
    </w:p>
    <w:p>
      <w:pPr>
        <w:ind w:firstLine="510" w:firstLineChars="200"/>
        <w:rPr>
          <w:bCs/>
          <w:sz w:val="24"/>
          <w:szCs w:val="21"/>
        </w:rPr>
      </w:pPr>
      <w:r>
        <w:rPr>
          <w:bCs/>
          <w:sz w:val="24"/>
          <w:szCs w:val="21"/>
        </w:rPr>
        <w:t>施工期对水库水质产生影响主要为施工污（废）水的排放。</w:t>
      </w:r>
    </w:p>
    <w:p>
      <w:pPr>
        <w:ind w:firstLine="510" w:firstLineChars="200"/>
        <w:rPr>
          <w:bCs/>
          <w:sz w:val="24"/>
          <w:szCs w:val="21"/>
        </w:rPr>
      </w:pPr>
      <w:r>
        <w:rPr>
          <w:bCs/>
          <w:sz w:val="24"/>
          <w:szCs w:val="21"/>
        </w:rPr>
        <w:t>本项目施工混凝土均外购，不产生混凝土搅拌废水。本项目施工现场严禁进行机械、设备的维修工作。因此不产生含油机修废水。生活污水依托附近村庄旱厕，定期清掏用于周边绿化施肥，洗漱废水用于场区洒水抑尘，不外排，不会对水环境造成显著的不利影响。</w:t>
      </w:r>
    </w:p>
    <w:p>
      <w:pPr>
        <w:pStyle w:val="22"/>
        <w:spacing w:before="240" w:after="60" w:line="240" w:lineRule="auto"/>
        <w:ind w:left="0" w:leftChars="0"/>
      </w:pPr>
      <w:r>
        <w:rPr>
          <w:rFonts w:eastAsia="黑体"/>
          <w:spacing w:val="11"/>
        </w:rPr>
        <w:t>4.6.2运营期</w:t>
      </w:r>
    </w:p>
    <w:p>
      <w:pPr>
        <w:kinsoku w:val="0"/>
        <w:wordWrap w:val="0"/>
        <w:topLinePunct/>
        <w:ind w:firstLine="510" w:firstLineChars="200"/>
        <w:rPr>
          <w:sz w:val="24"/>
        </w:rPr>
      </w:pPr>
      <w:r>
        <w:rPr>
          <w:sz w:val="24"/>
        </w:rPr>
        <w:t>项目运营期无新增工作人员，无废水产生。</w:t>
      </w:r>
    </w:p>
    <w:p>
      <w:pPr>
        <w:kinsoku w:val="0"/>
        <w:wordWrap w:val="0"/>
        <w:topLinePunct/>
        <w:ind w:firstLine="510" w:firstLineChars="200"/>
        <w:rPr>
          <w:kern w:val="0"/>
          <w:sz w:val="24"/>
        </w:rPr>
      </w:pPr>
      <w:r>
        <w:rPr>
          <w:kern w:val="0"/>
          <w:sz w:val="24"/>
        </w:rPr>
        <w:t>本项目对雅石沟水库进行除险加固。由于是在已经建成的水库大坝上进行修缮、改造和维护，项目的建设对水库水位、水温、下泄流量几乎无影响。</w:t>
      </w:r>
    </w:p>
    <w:p>
      <w:pPr>
        <w:kinsoku w:val="0"/>
        <w:wordWrap w:val="0"/>
        <w:topLinePunct/>
        <w:ind w:firstLine="510" w:firstLineChars="200"/>
        <w:rPr>
          <w:kern w:val="0"/>
          <w:sz w:val="24"/>
        </w:rPr>
      </w:pPr>
      <w:r>
        <w:rPr>
          <w:kern w:val="0"/>
          <w:sz w:val="24"/>
        </w:rPr>
        <w:t>雅石沟水库库区地处黄土塬梁峁丘陵地貌单元，两岸山体高出水位很多，库区正常蓄水位范围内无村庄、公路、农田，附近亦没有低于库水位的洼地，因此加坝后库区不会产生浸没和淹没。</w:t>
      </w:r>
    </w:p>
    <w:p>
      <w:pPr>
        <w:kinsoku w:val="0"/>
        <w:wordWrap w:val="0"/>
        <w:topLinePunct/>
        <w:ind w:firstLine="510" w:firstLineChars="200"/>
        <w:rPr>
          <w:kern w:val="0"/>
          <w:sz w:val="24"/>
        </w:rPr>
      </w:pPr>
      <w:r>
        <w:rPr>
          <w:kern w:val="0"/>
          <w:sz w:val="24"/>
        </w:rPr>
        <w:t>（1）对库区地下水的影响</w:t>
      </w:r>
    </w:p>
    <w:p>
      <w:pPr>
        <w:kinsoku w:val="0"/>
        <w:wordWrap w:val="0"/>
        <w:topLinePunct/>
        <w:ind w:firstLine="510" w:firstLineChars="200"/>
        <w:rPr>
          <w:kern w:val="0"/>
          <w:sz w:val="24"/>
        </w:rPr>
      </w:pPr>
      <w:r>
        <w:rPr>
          <w:kern w:val="0"/>
          <w:sz w:val="24"/>
        </w:rPr>
        <w:t>水库蓄水后，库水向四周基裂隙水补给。除险加固后，库区水位增加，两岸的地下水侧渗补给量也会增加，相应的孔隙水水位也会有所提升。</w:t>
      </w:r>
    </w:p>
    <w:p>
      <w:pPr>
        <w:kinsoku w:val="0"/>
        <w:wordWrap w:val="0"/>
        <w:topLinePunct/>
        <w:ind w:firstLine="510" w:firstLineChars="200"/>
        <w:rPr>
          <w:kern w:val="0"/>
          <w:sz w:val="24"/>
        </w:rPr>
      </w:pPr>
      <w:r>
        <w:rPr>
          <w:kern w:val="0"/>
          <w:sz w:val="24"/>
        </w:rPr>
        <w:t>总的来说，库区无工农业污染源和生活污染源排放口，水库运行后库区河段水质也不会变差，因此不会造成补给区地下水水质的恶化。运营期可加强对库区地下水水质的动态监测。</w:t>
      </w:r>
    </w:p>
    <w:p>
      <w:pPr>
        <w:pStyle w:val="22"/>
        <w:spacing w:line="240" w:lineRule="auto"/>
        <w:ind w:left="0" w:leftChars="0" w:firstLine="554" w:firstLineChars="200"/>
        <w:rPr>
          <w:spacing w:val="11"/>
        </w:rPr>
      </w:pPr>
      <w:r>
        <w:rPr>
          <w:spacing w:val="11"/>
        </w:rPr>
        <w:t>（2）水体富营养化影响分析</w:t>
      </w:r>
    </w:p>
    <w:p>
      <w:pPr>
        <w:pStyle w:val="22"/>
        <w:spacing w:line="240" w:lineRule="auto"/>
        <w:ind w:left="0" w:leftChars="0" w:firstLine="554" w:firstLineChars="200"/>
        <w:rPr>
          <w:spacing w:val="11"/>
        </w:rPr>
      </w:pPr>
      <w:r>
        <w:rPr>
          <w:spacing w:val="11"/>
        </w:rPr>
        <w:t>富营养化的发生是由于过量的营养元素进入水体造成的。大量调查研究表明，氮（N）、磷（P）是主导作用因子，而其他元素，天然水体中含量一般都不缺少。因而N、P含量的多少一般是湖泊富营养化发生起决定作用的因素。</w:t>
      </w:r>
    </w:p>
    <w:p>
      <w:pPr>
        <w:pStyle w:val="22"/>
        <w:spacing w:line="240" w:lineRule="auto"/>
        <w:ind w:left="0" w:leftChars="0" w:firstLine="554" w:firstLineChars="200"/>
        <w:rPr>
          <w:spacing w:val="11"/>
        </w:rPr>
      </w:pPr>
      <w:r>
        <w:rPr>
          <w:spacing w:val="11"/>
        </w:rPr>
        <w:t>根据本项目水库水质监测报告，项目水质中N、P均不满足《地表水环境质量标准》(GB3838-2002)中Ⅲ类水质标准。本项目对水库除险加固，运营期无三废排放，且施工期不会对水质造成不利影响，因此不会导致水体富营养化程度加重。水库水体能定期流动，水库发生富营养化的可能性较小。为保障库区的水质安全，建议建设单位加强管理，定期对库区水质进行监测，防止库区水体发生富营养化。</w:t>
      </w:r>
    </w:p>
    <w:p>
      <w:pPr>
        <w:pStyle w:val="22"/>
        <w:spacing w:line="240" w:lineRule="auto"/>
        <w:ind w:left="0" w:leftChars="0" w:firstLine="554" w:firstLineChars="200"/>
        <w:rPr>
          <w:spacing w:val="11"/>
        </w:rPr>
      </w:pPr>
      <w:r>
        <w:rPr>
          <w:spacing w:val="11"/>
        </w:rPr>
        <w:t>（4）水温影响分析</w:t>
      </w:r>
    </w:p>
    <w:p>
      <w:pPr>
        <w:pStyle w:val="22"/>
        <w:spacing w:line="240" w:lineRule="auto"/>
        <w:ind w:left="0" w:leftChars="0" w:firstLine="554" w:firstLineChars="200"/>
        <w:rPr>
          <w:spacing w:val="11"/>
        </w:rPr>
      </w:pPr>
      <w:r>
        <w:rPr>
          <w:spacing w:val="11"/>
        </w:rPr>
        <w:t>水库水温变化与气温条件、热传播(尤其是气温和地温的热传播)及水体流动特性有密切的关系。水库水温分层状况与水深、水库运行方式和水体交换的频繁程度、径流总量及洪水规模紧密相关。</w:t>
      </w:r>
    </w:p>
    <w:p>
      <w:pPr>
        <w:pStyle w:val="22"/>
        <w:spacing w:line="240" w:lineRule="auto"/>
        <w:ind w:left="0" w:leftChars="0" w:firstLine="554" w:firstLineChars="200"/>
        <w:rPr>
          <w:spacing w:val="11"/>
        </w:rPr>
      </w:pPr>
      <w:r>
        <w:rPr>
          <w:spacing w:val="11"/>
        </w:rPr>
        <w:t>由于本次</w:t>
      </w:r>
      <w:r>
        <w:rPr>
          <w:bCs/>
          <w:szCs w:val="21"/>
        </w:rPr>
        <w:t>是在已经建成的水库大坝上进行修缮、改造和维护，</w:t>
      </w:r>
      <w:r>
        <w:rPr>
          <w:spacing w:val="11"/>
        </w:rPr>
        <w:t>水库运行方式不会改变。则影响项目运营期水库水温的因素主要为气候条件（日照、辐射、空气、降雨等）洪水、径流量等因素决定。因此，本项目运营期水库水温与建设前基本一致，不会发生改变。</w:t>
      </w:r>
    </w:p>
    <w:p>
      <w:pPr>
        <w:pStyle w:val="22"/>
        <w:spacing w:line="240" w:lineRule="auto"/>
        <w:ind w:left="0" w:leftChars="0" w:firstLine="554" w:firstLineChars="200"/>
        <w:rPr>
          <w:spacing w:val="11"/>
        </w:rPr>
      </w:pPr>
      <w:r>
        <w:rPr>
          <w:spacing w:val="11"/>
        </w:rPr>
        <w:t>（5）水库水文情势变化</w:t>
      </w:r>
    </w:p>
    <w:p>
      <w:pPr>
        <w:pStyle w:val="22"/>
        <w:spacing w:line="240" w:lineRule="auto"/>
        <w:ind w:left="0" w:leftChars="0" w:firstLine="554" w:firstLineChars="200"/>
        <w:rPr>
          <w:spacing w:val="11"/>
        </w:rPr>
      </w:pPr>
      <w:r>
        <w:rPr>
          <w:spacing w:val="11"/>
        </w:rPr>
        <w:t>本项目属于水文要素影响型，评价等级为三级。本项目为水库除险加固工程，施工范围主要集中在水库大坝周围，只对大坝进行修缮、改造和维护，运营期不会对水库上下游水文情势产生影响。</w:t>
      </w:r>
    </w:p>
    <w:p>
      <w:pPr>
        <w:pStyle w:val="22"/>
        <w:spacing w:line="240" w:lineRule="auto"/>
        <w:ind w:left="0" w:leftChars="0" w:firstLine="554" w:firstLineChars="200"/>
        <w:rPr>
          <w:spacing w:val="11"/>
        </w:rPr>
      </w:pPr>
      <w:r>
        <w:rPr>
          <w:spacing w:val="11"/>
        </w:rPr>
        <w:t>（6）水库除险加固后对下游水文情势变化</w:t>
      </w:r>
    </w:p>
    <w:p>
      <w:pPr>
        <w:pStyle w:val="22"/>
        <w:spacing w:line="240" w:lineRule="auto"/>
        <w:ind w:left="0" w:leftChars="0" w:firstLine="554" w:firstLineChars="200"/>
        <w:rPr>
          <w:spacing w:val="11"/>
        </w:rPr>
      </w:pPr>
      <w:r>
        <w:rPr>
          <w:spacing w:val="11"/>
        </w:rPr>
        <w:t>水库除险加固工程后防洪调度运用原则与现状调度运用原则基本一致，本项目建设后洪峰流量和洪水总量不变，因此，本项目建设对下游水位、流速等水文情势无影响。</w:t>
      </w:r>
    </w:p>
    <w:p>
      <w:pPr>
        <w:ind w:firstLine="510" w:firstLineChars="200"/>
        <w:rPr>
          <w:sz w:val="24"/>
        </w:rPr>
      </w:pPr>
    </w:p>
    <w:p>
      <w:pPr>
        <w:ind w:firstLine="510" w:firstLineChars="200"/>
        <w:rPr>
          <w:sz w:val="24"/>
        </w:rPr>
        <w:sectPr>
          <w:pgSz w:w="11905" w:h="16838"/>
          <w:pgMar w:top="1417" w:right="1417" w:bottom="1417" w:left="1417" w:header="850" w:footer="964" w:gutter="0"/>
          <w:cols w:space="720" w:num="1"/>
          <w:docGrid w:type="linesAndChars" w:linePitch="466" w:charSpace="3276"/>
        </w:sectPr>
      </w:pPr>
    </w:p>
    <w:p>
      <w:pPr>
        <w:pStyle w:val="22"/>
        <w:spacing w:before="240" w:after="60" w:line="240" w:lineRule="auto"/>
        <w:ind w:left="0" w:leftChars="0"/>
        <w:jc w:val="center"/>
        <w:outlineLvl w:val="0"/>
        <w:rPr>
          <w:b/>
          <w:bCs/>
          <w:spacing w:val="11"/>
          <w:sz w:val="32"/>
        </w:rPr>
      </w:pPr>
      <w:bookmarkStart w:id="31" w:name="_Toc9709"/>
      <w:r>
        <w:rPr>
          <w:rFonts w:eastAsia="黑体"/>
          <w:spacing w:val="11"/>
          <w:sz w:val="32"/>
        </w:rPr>
        <w:t>5 环境现状调查与评价</w:t>
      </w:r>
      <w:bookmarkEnd w:id="31"/>
    </w:p>
    <w:p>
      <w:pPr>
        <w:pStyle w:val="3"/>
        <w:numPr>
          <w:ilvl w:val="1"/>
          <w:numId w:val="0"/>
        </w:numPr>
      </w:pPr>
      <w:r>
        <w:t>5.1地理位置</w:t>
      </w:r>
    </w:p>
    <w:p>
      <w:pPr>
        <w:ind w:firstLine="510" w:firstLineChars="200"/>
        <w:rPr>
          <w:sz w:val="24"/>
        </w:rPr>
      </w:pPr>
      <w:r>
        <w:rPr>
          <w:sz w:val="24"/>
        </w:rPr>
        <w:t>雅石沟水库地处彭阳县东北部的草庙乡崾岘村，位于泾河一级支流安家川河上游雅石沟上，地理位置东经106°43′，北纬36°05′，距彭阳县城约35km。水库位置见图5-1。</w:t>
      </w:r>
    </w:p>
    <w:p>
      <w:pPr>
        <w:jc w:val="center"/>
        <w:rPr>
          <w:kern w:val="0"/>
          <w:sz w:val="24"/>
        </w:rPr>
      </w:pPr>
      <w:r>
        <w:rPr>
          <w:sz w:val="24"/>
        </w:rPr>
        <w:drawing>
          <wp:inline distT="0" distB="0" distL="114300" distR="114300">
            <wp:extent cx="5071745" cy="6195060"/>
            <wp:effectExtent l="0" t="0" r="14605" b="15240"/>
            <wp:docPr id="31" name="图片 124" descr="雅石沟水库位置示意-Mode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4" descr="雅石沟水库位置示意-Model_00(1)"/>
                    <pic:cNvPicPr>
                      <a:picLocks noChangeAspect="1"/>
                    </pic:cNvPicPr>
                  </pic:nvPicPr>
                  <pic:blipFill>
                    <a:blip r:embed="rId40"/>
                    <a:srcRect l="1759" t="8664" r="1965" b="8221"/>
                    <a:stretch>
                      <a:fillRect/>
                    </a:stretch>
                  </pic:blipFill>
                  <pic:spPr>
                    <a:xfrm>
                      <a:off x="0" y="0"/>
                      <a:ext cx="5071745" cy="6195060"/>
                    </a:xfrm>
                    <a:prstGeom prst="rect">
                      <a:avLst/>
                    </a:prstGeom>
                    <a:noFill/>
                    <a:ln>
                      <a:noFill/>
                    </a:ln>
                  </pic:spPr>
                </pic:pic>
              </a:graphicData>
            </a:graphic>
          </wp:inline>
        </w:drawing>
      </w:r>
    </w:p>
    <w:p>
      <w:pPr>
        <w:pStyle w:val="22"/>
        <w:adjustRightInd w:val="0"/>
        <w:snapToGrid w:val="0"/>
        <w:spacing w:line="240" w:lineRule="auto"/>
        <w:ind w:left="0" w:leftChars="0"/>
        <w:jc w:val="center"/>
      </w:pPr>
      <w:r>
        <w:rPr>
          <w:rFonts w:eastAsia="黑体"/>
          <w:spacing w:val="11"/>
          <w:kern w:val="0"/>
        </w:rPr>
        <w:t>图5-1  雅石沟水库地理位置示意图</w:t>
      </w:r>
    </w:p>
    <w:p>
      <w:pPr>
        <w:pStyle w:val="22"/>
        <w:spacing w:before="240" w:after="60" w:line="240" w:lineRule="auto"/>
        <w:ind w:left="0" w:leftChars="0"/>
        <w:rPr>
          <w:rFonts w:eastAsia="黑体"/>
          <w:sz w:val="28"/>
        </w:rPr>
      </w:pPr>
    </w:p>
    <w:p>
      <w:pPr>
        <w:pStyle w:val="3"/>
        <w:numPr>
          <w:ilvl w:val="1"/>
          <w:numId w:val="0"/>
        </w:numPr>
      </w:pPr>
      <w:r>
        <w:t>5.2流域概况</w:t>
      </w:r>
    </w:p>
    <w:p>
      <w:pPr>
        <w:spacing w:before="240" w:after="60"/>
        <w:rPr>
          <w:b/>
          <w:bCs/>
          <w:sz w:val="24"/>
        </w:rPr>
      </w:pPr>
      <w:r>
        <w:rPr>
          <w:rFonts w:eastAsia="黑体"/>
          <w:sz w:val="24"/>
        </w:rPr>
        <w:t>5.2.1气象特征</w:t>
      </w:r>
    </w:p>
    <w:p>
      <w:pPr>
        <w:pStyle w:val="22"/>
        <w:spacing w:line="240" w:lineRule="auto"/>
        <w:ind w:left="0" w:leftChars="0" w:firstLine="554" w:firstLineChars="200"/>
        <w:rPr>
          <w:spacing w:val="11"/>
        </w:rPr>
      </w:pPr>
      <w:r>
        <w:rPr>
          <w:spacing w:val="11"/>
        </w:rPr>
        <w:t>水库流域属温带半干旱地区，大陆性季风气候，境内四季分明，光照充足，春季气温多变，夏季短暂凉爽，秋季降温迅速，冬季寒冷漫长。夏季受东南季风影响，冬季受蒙古高压控制，气候干冷。年平均气温8°C；1月最冷，平均气温-7.6°C；7月最热，平均气温19.5°C，日照充足，全年日照2500小时以上，日照率55%～72%。大于等于10°C积温为2300～3200C，全年无霜期120～160天。区域多年平均风速约1.8m/s，多年平均最大风速约12.5m/s。</w:t>
      </w:r>
    </w:p>
    <w:p>
      <w:pPr>
        <w:pStyle w:val="22"/>
        <w:spacing w:before="240" w:after="60" w:line="240" w:lineRule="auto"/>
        <w:ind w:left="0" w:leftChars="0"/>
        <w:rPr>
          <w:spacing w:val="11"/>
        </w:rPr>
      </w:pPr>
      <w:r>
        <w:rPr>
          <w:rFonts w:eastAsia="黑体"/>
        </w:rPr>
        <w:t>5.2.2河流水系</w:t>
      </w:r>
    </w:p>
    <w:p>
      <w:pPr>
        <w:pStyle w:val="22"/>
        <w:spacing w:line="240" w:lineRule="auto"/>
        <w:ind w:left="0" w:leftChars="0" w:firstLine="554" w:firstLineChars="200"/>
        <w:rPr>
          <w:spacing w:val="11"/>
        </w:rPr>
      </w:pPr>
      <w:r>
        <w:rPr>
          <w:spacing w:val="11"/>
        </w:rPr>
        <w:t>蒲河，古为清水，也称蒲川河，为泾河左岸一级支流。因河谷两岸多生蒲草而得名蒲河。发源于甘肃省环县，由西北向东南流经镇原县殷家城乡，在三岔镇有安家川河从西注入后，始称蒲河。东南流经镇原县、西峰区、泾川县、宁县、于宁县长庆桥北汇入泾河。全长175公里，流域面积7189平方公里，其中庆阳地区内流域面积4605平方公里。</w:t>
      </w:r>
    </w:p>
    <w:p>
      <w:pPr>
        <w:pStyle w:val="22"/>
        <w:spacing w:before="240" w:after="60" w:line="240" w:lineRule="auto"/>
        <w:ind w:left="0" w:leftChars="0"/>
        <w:rPr>
          <w:rFonts w:eastAsia="黑体"/>
          <w:spacing w:val="11"/>
        </w:rPr>
      </w:pPr>
      <w:r>
        <w:rPr>
          <w:rFonts w:eastAsia="黑体"/>
          <w:spacing w:val="11"/>
        </w:rPr>
        <w:t>5.2.3水文特征</w:t>
      </w:r>
    </w:p>
    <w:p>
      <w:pPr>
        <w:numPr>
          <w:ilvl w:val="0"/>
          <w:numId w:val="10"/>
        </w:numPr>
        <w:ind w:firstLine="554" w:firstLineChars="200"/>
        <w:rPr>
          <w:spacing w:val="11"/>
          <w:sz w:val="24"/>
        </w:rPr>
      </w:pPr>
      <w:r>
        <w:rPr>
          <w:spacing w:val="11"/>
          <w:sz w:val="24"/>
        </w:rPr>
        <w:t>概况</w:t>
      </w:r>
    </w:p>
    <w:p>
      <w:pPr>
        <w:pStyle w:val="22"/>
        <w:spacing w:line="240" w:lineRule="auto"/>
        <w:ind w:left="0" w:leftChars="0" w:firstLine="554" w:firstLineChars="200"/>
        <w:rPr>
          <w:spacing w:val="11"/>
        </w:rPr>
      </w:pPr>
      <w:r>
        <w:rPr>
          <w:spacing w:val="11"/>
        </w:rPr>
        <w:t>雅石沟水库地处彭阳县东北部的草庙乡崾岘村，位于泾河一级支流安家川河上游雅石沟上，地理位置东经106°43′，北纬36°05′，距彭阳县城约35km。雅石沟水库坝址以上流域为黄土丘陵沟壑地形，植被较差，侵蚀严重，地形起伏较大，沟谷纵横，为树枝状水系，坝址以上集水面积44km</w:t>
      </w:r>
      <w:r>
        <w:rPr>
          <w:spacing w:val="11"/>
          <w:vertAlign w:val="superscript"/>
        </w:rPr>
        <w:t>2</w:t>
      </w:r>
      <w:r>
        <w:rPr>
          <w:spacing w:val="11"/>
        </w:rPr>
        <w:t>，沟道长度约8km，沟道比降约15.6‰。</w:t>
      </w:r>
    </w:p>
    <w:p>
      <w:pPr>
        <w:pStyle w:val="22"/>
        <w:spacing w:line="240" w:lineRule="auto"/>
        <w:ind w:left="0" w:leftChars="0" w:firstLine="554" w:firstLineChars="200"/>
        <w:rPr>
          <w:spacing w:val="11"/>
        </w:rPr>
      </w:pPr>
      <w:r>
        <w:rPr>
          <w:spacing w:val="11"/>
        </w:rPr>
        <w:t>（2）降水</w:t>
      </w:r>
    </w:p>
    <w:p>
      <w:pPr>
        <w:pStyle w:val="22"/>
        <w:spacing w:line="240" w:lineRule="auto"/>
        <w:ind w:left="0" w:leftChars="0" w:firstLine="554" w:firstLineChars="200"/>
        <w:rPr>
          <w:spacing w:val="11"/>
        </w:rPr>
      </w:pPr>
      <w:r>
        <w:rPr>
          <w:spacing w:val="11"/>
        </w:rPr>
        <w:t>工程流域多年平均降水量约460mm。年降水量年内分配很不均匀，主要集中6～9月，多为暴雨，可占全年降水量的70%左右，尤以7～8月最多，占全年降水量的45%左右，降水量年际变化大，多年平均降水量变差系数Cv＝0.26，Cs=2Cv，保证率为50%、75%的设计年降水量分别为449mm、375mm。</w:t>
      </w:r>
    </w:p>
    <w:p>
      <w:pPr>
        <w:pStyle w:val="22"/>
        <w:spacing w:line="240" w:lineRule="auto"/>
        <w:ind w:left="0" w:leftChars="0" w:firstLine="554" w:firstLineChars="200"/>
        <w:rPr>
          <w:spacing w:val="11"/>
        </w:rPr>
      </w:pPr>
      <w:r>
        <w:rPr>
          <w:spacing w:val="11"/>
        </w:rPr>
        <w:t>（3）水面蒸发</w:t>
      </w:r>
    </w:p>
    <w:p>
      <w:pPr>
        <w:pStyle w:val="22"/>
        <w:spacing w:line="240" w:lineRule="auto"/>
        <w:ind w:left="0" w:leftChars="0" w:firstLine="554" w:firstLineChars="200"/>
        <w:rPr>
          <w:spacing w:val="11"/>
        </w:rPr>
      </w:pPr>
      <w:r>
        <w:rPr>
          <w:spacing w:val="11"/>
        </w:rPr>
        <w:t>工程流域所在地日照时间长、湿度小、空气干燥、风速大，蒸发强烈。多年平均水面蒸发量990mm（E601型蒸发皿），年内蒸发最强烈为5～7月，干旱指数约2.2。</w:t>
      </w:r>
    </w:p>
    <w:p>
      <w:pPr>
        <w:pStyle w:val="22"/>
        <w:adjustRightInd w:val="0"/>
        <w:snapToGrid w:val="0"/>
        <w:spacing w:line="240" w:lineRule="auto"/>
        <w:ind w:left="0" w:leftChars="0"/>
        <w:jc w:val="center"/>
        <w:rPr>
          <w:rFonts w:eastAsia="黑体"/>
          <w:spacing w:val="11"/>
        </w:rPr>
      </w:pPr>
      <w:r>
        <w:rPr>
          <w:rFonts w:eastAsia="黑体"/>
          <w:spacing w:val="11"/>
        </w:rPr>
        <w:t>表5-1  工程流域多年平均降水、蒸发量月分配表</w:t>
      </w:r>
    </w:p>
    <w:tbl>
      <w:tblPr>
        <w:tblStyle w:val="28"/>
        <w:tblW w:w="4999" w:type="pct"/>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autofit"/>
        <w:tblCellMar>
          <w:top w:w="0" w:type="dxa"/>
          <w:left w:w="108" w:type="dxa"/>
          <w:bottom w:w="0" w:type="dxa"/>
          <w:right w:w="108" w:type="dxa"/>
        </w:tblCellMar>
      </w:tblPr>
      <w:tblGrid>
        <w:gridCol w:w="3052"/>
        <w:gridCol w:w="3117"/>
        <w:gridCol w:w="3116"/>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月份</w:t>
            </w:r>
          </w:p>
        </w:tc>
        <w:tc>
          <w:tcPr>
            <w:tcW w:w="1678" w:type="pct"/>
            <w:tcBorders>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降水量（mm）</w:t>
            </w:r>
          </w:p>
        </w:tc>
        <w:tc>
          <w:tcPr>
            <w:tcW w:w="1678" w:type="pct"/>
            <w:tcBorders>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蒸发量（mm）</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3.2</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31.7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2月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5.1</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38.6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3月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12.9</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76.2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4月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24.4</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121.8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5月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43.2</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147.5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6月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69.5</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145.5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7月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101.2</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119.8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8月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105.8</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107.9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9月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57.5</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72.3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10月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29.4</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59.4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11月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6</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39.6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12月</w:t>
            </w:r>
          </w:p>
        </w:tc>
        <w:tc>
          <w:tcPr>
            <w:tcW w:w="2860" w:type="dxa"/>
            <w:tcBorders>
              <w:top w:val="nil"/>
              <w:left w:val="nil"/>
              <w:bottom w:val="single" w:color="auto" w:sz="4" w:space="0"/>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1.8</w:t>
            </w:r>
          </w:p>
        </w:tc>
        <w:tc>
          <w:tcPr>
            <w:tcW w:w="2860" w:type="dxa"/>
            <w:tcBorders>
              <w:top w:val="nil"/>
              <w:left w:val="nil"/>
              <w:bottom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29.7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0" w:hRule="atLeast"/>
        </w:trPr>
        <w:tc>
          <w:tcPr>
            <w:tcW w:w="1643" w:type="pct"/>
            <w:tcBorders>
              <w:top w:val="nil"/>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合计</w:t>
            </w:r>
          </w:p>
        </w:tc>
        <w:tc>
          <w:tcPr>
            <w:tcW w:w="2860" w:type="dxa"/>
            <w:tcBorders>
              <w:top w:val="nil"/>
              <w:left w:val="nil"/>
              <w:right w:val="single" w:color="auto" w:sz="4" w:space="0"/>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460</w:t>
            </w:r>
          </w:p>
        </w:tc>
        <w:tc>
          <w:tcPr>
            <w:tcW w:w="2860" w:type="dxa"/>
            <w:tcBorders>
              <w:top w:val="nil"/>
              <w:left w:val="nil"/>
            </w:tcBorders>
            <w:noWrap/>
            <w:vAlign w:val="center"/>
          </w:tcPr>
          <w:p>
            <w:pPr>
              <w:pStyle w:val="22"/>
              <w:adjustRightInd w:val="0"/>
              <w:snapToGrid w:val="0"/>
              <w:spacing w:line="240" w:lineRule="auto"/>
              <w:ind w:left="0" w:leftChars="0"/>
              <w:jc w:val="center"/>
              <w:rPr>
                <w:spacing w:val="11"/>
                <w:sz w:val="21"/>
                <w:szCs w:val="21"/>
              </w:rPr>
            </w:pPr>
            <w:r>
              <w:rPr>
                <w:spacing w:val="11"/>
                <w:sz w:val="21"/>
                <w:szCs w:val="21"/>
              </w:rPr>
              <w:t>990</w:t>
            </w:r>
          </w:p>
        </w:tc>
      </w:tr>
    </w:tbl>
    <w:p>
      <w:pPr>
        <w:ind w:firstLine="510" w:firstLineChars="200"/>
        <w:rPr>
          <w:sz w:val="24"/>
        </w:rPr>
      </w:pPr>
      <w:r>
        <w:rPr>
          <w:sz w:val="24"/>
        </w:rPr>
        <w:t>（4）径流量特性</w:t>
      </w:r>
    </w:p>
    <w:p>
      <w:pPr>
        <w:ind w:firstLine="510" w:firstLineChars="200"/>
        <w:rPr>
          <w:sz w:val="24"/>
          <w:lang w:bidi="zh-CN"/>
        </w:rPr>
      </w:pPr>
      <w:r>
        <w:rPr>
          <w:sz w:val="24"/>
          <w:lang w:val="zh-CN" w:bidi="zh-CN"/>
        </w:rPr>
        <w:t>彭阳县地表径流主要来源于大气降水，径流空间分布趋势与降水大体一致，由南向北逐渐减小，变化幅度相差较大，在20mm～80mm之间，流域的径流特点是年内分配不均，与降水的年内变化关系十分密切，由于70%左右的降水集中在6～9月，径流与降水关系较为密切，径流主要在6～9月。径流的年际变化较大，不仅有丰枯交替的特点，同时存在连续干旱的情况。</w:t>
      </w:r>
      <w:r>
        <w:rPr>
          <w:sz w:val="24"/>
          <w:lang w:bidi="zh-CN"/>
        </w:rPr>
        <w:t>彭阳水文站</w:t>
      </w:r>
      <w:r>
        <w:rPr>
          <w:sz w:val="24"/>
          <w:lang w:val="zh-CN" w:bidi="zh-CN"/>
        </w:rPr>
        <w:t>实测多年平均径流量为</w:t>
      </w:r>
      <w:r>
        <w:rPr>
          <w:sz w:val="24"/>
          <w:lang w:bidi="zh-CN"/>
        </w:rPr>
        <w:t>4877</w:t>
      </w:r>
      <w:r>
        <w:rPr>
          <w:sz w:val="24"/>
          <w:lang w:val="zh-CN" w:bidi="zh-CN"/>
        </w:rPr>
        <w:t>万m</w:t>
      </w:r>
      <w:r>
        <w:rPr>
          <w:sz w:val="24"/>
          <w:vertAlign w:val="superscript"/>
          <w:lang w:val="zh-CN" w:bidi="zh-CN"/>
        </w:rPr>
        <w:t>3</w:t>
      </w:r>
      <w:r>
        <w:rPr>
          <w:sz w:val="24"/>
          <w:lang w:val="zh-CN" w:bidi="zh-CN"/>
        </w:rPr>
        <w:t>；多年平均流量为1.</w:t>
      </w:r>
      <w:r>
        <w:rPr>
          <w:sz w:val="24"/>
          <w:lang w:bidi="zh-CN"/>
        </w:rPr>
        <w:t>55</w:t>
      </w:r>
      <w:r>
        <w:rPr>
          <w:sz w:val="24"/>
          <w:lang w:val="zh-CN" w:bidi="zh-CN"/>
        </w:rPr>
        <w:t>m</w:t>
      </w:r>
      <w:r>
        <w:rPr>
          <w:sz w:val="24"/>
          <w:vertAlign w:val="superscript"/>
          <w:lang w:val="zh-CN" w:bidi="zh-CN"/>
        </w:rPr>
        <w:t>3</w:t>
      </w:r>
      <w:r>
        <w:rPr>
          <w:sz w:val="24"/>
          <w:lang w:val="zh-CN" w:bidi="zh-CN"/>
        </w:rPr>
        <w:t>/s，</w:t>
      </w:r>
      <w:r>
        <w:rPr>
          <w:sz w:val="24"/>
          <w:lang w:bidi="zh-CN"/>
        </w:rPr>
        <w:t>折算多年平均径流深约31.6mm。</w:t>
      </w:r>
    </w:p>
    <w:p>
      <w:pPr>
        <w:ind w:firstLine="510" w:firstLineChars="200"/>
        <w:rPr>
          <w:sz w:val="24"/>
        </w:rPr>
      </w:pPr>
      <w:r>
        <w:rPr>
          <w:sz w:val="24"/>
        </w:rPr>
        <w:t>雅石沟水库所在雅石沟水库流域位于彭阳水文站东北向，经查多年平均径流深等值线图，区域径流深自南向北递减（详见区域多年平均径流深等值线示意图），水库流域多年平均径流深约为20.0mm，</w:t>
      </w:r>
      <w:r>
        <w:rPr>
          <w:bCs/>
          <w:sz w:val="24"/>
        </w:rPr>
        <w:t>流域面积为44.0km</w:t>
      </w:r>
      <w:r>
        <w:rPr>
          <w:bCs/>
          <w:sz w:val="24"/>
          <w:vertAlign w:val="superscript"/>
        </w:rPr>
        <w:t>2</w:t>
      </w:r>
      <w:r>
        <w:rPr>
          <w:bCs/>
          <w:sz w:val="24"/>
        </w:rPr>
        <w:t>，</w:t>
      </w:r>
      <w:r>
        <w:rPr>
          <w:sz w:val="24"/>
        </w:rPr>
        <w:t>多年平均径流量为88.0万m</w:t>
      </w:r>
      <w:r>
        <w:rPr>
          <w:sz w:val="24"/>
          <w:vertAlign w:val="superscript"/>
        </w:rPr>
        <w:t>3</w:t>
      </w:r>
      <w:r>
        <w:rPr>
          <w:sz w:val="24"/>
        </w:rPr>
        <w:t>。水库流域多年平均径流深变差系数约0.53，20%、50%、75%、85%、95%年径流量分别为123.2万m</w:t>
      </w:r>
      <w:r>
        <w:rPr>
          <w:sz w:val="24"/>
          <w:vertAlign w:val="superscript"/>
        </w:rPr>
        <w:t>3</w:t>
      </w:r>
      <w:r>
        <w:rPr>
          <w:sz w:val="24"/>
        </w:rPr>
        <w:t>、80.1万m</w:t>
      </w:r>
      <w:r>
        <w:rPr>
          <w:sz w:val="24"/>
          <w:vertAlign w:val="superscript"/>
        </w:rPr>
        <w:t>3</w:t>
      </w:r>
      <w:r>
        <w:rPr>
          <w:sz w:val="24"/>
        </w:rPr>
        <w:t>、53.7万m</w:t>
      </w:r>
      <w:r>
        <w:rPr>
          <w:sz w:val="24"/>
          <w:vertAlign w:val="superscript"/>
        </w:rPr>
        <w:t>3</w:t>
      </w:r>
      <w:r>
        <w:rPr>
          <w:sz w:val="24"/>
        </w:rPr>
        <w:t>、47.5万m</w:t>
      </w:r>
      <w:r>
        <w:rPr>
          <w:sz w:val="24"/>
          <w:vertAlign w:val="superscript"/>
        </w:rPr>
        <w:t>3</w:t>
      </w:r>
      <w:r>
        <w:rPr>
          <w:sz w:val="24"/>
        </w:rPr>
        <w:t>、27.3万m</w:t>
      </w:r>
      <w:r>
        <w:rPr>
          <w:sz w:val="24"/>
          <w:vertAlign w:val="superscript"/>
        </w:rPr>
        <w:t>3</w:t>
      </w:r>
      <w:r>
        <w:rPr>
          <w:sz w:val="24"/>
        </w:rPr>
        <w:t>。</w:t>
      </w:r>
    </w:p>
    <w:p>
      <w:pPr>
        <w:pStyle w:val="23"/>
        <w:spacing w:after="0" w:line="240" w:lineRule="auto"/>
        <w:jc w:val="center"/>
        <w:rPr>
          <w:rFonts w:eastAsia="黑体"/>
          <w:sz w:val="24"/>
        </w:rPr>
      </w:pPr>
    </w:p>
    <w:p>
      <w:pPr>
        <w:pStyle w:val="23"/>
        <w:spacing w:after="0" w:line="240" w:lineRule="auto"/>
        <w:jc w:val="center"/>
        <w:rPr>
          <w:rFonts w:eastAsia="黑体"/>
          <w:sz w:val="24"/>
        </w:rPr>
      </w:pPr>
    </w:p>
    <w:p>
      <w:pPr>
        <w:pStyle w:val="23"/>
        <w:adjustRightInd w:val="0"/>
        <w:snapToGrid w:val="0"/>
        <w:spacing w:after="0" w:line="240" w:lineRule="auto"/>
        <w:jc w:val="center"/>
        <w:rPr>
          <w:rFonts w:eastAsia="黑体"/>
          <w:sz w:val="24"/>
        </w:rPr>
      </w:pPr>
    </w:p>
    <w:p>
      <w:pPr>
        <w:pStyle w:val="23"/>
        <w:adjustRightInd w:val="0"/>
        <w:snapToGrid w:val="0"/>
        <w:spacing w:after="0" w:line="240" w:lineRule="auto"/>
        <w:jc w:val="center"/>
        <w:rPr>
          <w:rFonts w:eastAsia="黑体"/>
          <w:sz w:val="24"/>
        </w:rPr>
      </w:pPr>
      <w:r>
        <w:rPr>
          <w:rFonts w:eastAsia="黑体"/>
          <w:sz w:val="24"/>
        </w:rPr>
        <w:t>表5-2  雅石沟水库流域各来水频率径流量逐月分配</w:t>
      </w:r>
    </w:p>
    <w:tbl>
      <w:tblPr>
        <w:tblStyle w:val="28"/>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3"/>
        <w:gridCol w:w="514"/>
        <w:gridCol w:w="515"/>
        <w:gridCol w:w="515"/>
        <w:gridCol w:w="515"/>
        <w:gridCol w:w="515"/>
        <w:gridCol w:w="515"/>
        <w:gridCol w:w="515"/>
        <w:gridCol w:w="515"/>
        <w:gridCol w:w="515"/>
        <w:gridCol w:w="515"/>
        <w:gridCol w:w="515"/>
        <w:gridCol w:w="515"/>
        <w:gridCol w:w="515"/>
        <w:gridCol w:w="709"/>
        <w:gridCol w:w="93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vMerge w:val="restart"/>
            <w:tcBorders>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典型年</w:t>
            </w:r>
          </w:p>
        </w:tc>
        <w:tc>
          <w:tcPr>
            <w:tcW w:w="6694" w:type="dxa"/>
            <w:gridSpan w:val="13"/>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天然径流量（万m</w:t>
            </w:r>
            <w:r>
              <w:rPr>
                <w:snapToGrid w:val="0"/>
                <w:kern w:val="21"/>
                <w:szCs w:val="21"/>
                <w:vertAlign w:val="superscript"/>
              </w:rPr>
              <w:t>3</w:t>
            </w:r>
            <w:r>
              <w:rPr>
                <w:snapToGrid w:val="0"/>
                <w:kern w:val="21"/>
                <w:szCs w:val="21"/>
              </w:rPr>
              <w:t>）</w:t>
            </w:r>
          </w:p>
        </w:tc>
        <w:tc>
          <w:tcPr>
            <w:tcW w:w="1640" w:type="dxa"/>
            <w:gridSpan w:val="2"/>
            <w:tcBorders>
              <w:left w:val="single" w:color="000000" w:sz="4" w:space="0"/>
              <w:bottom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汛期</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vMerge w:val="continue"/>
            <w:tcBorders>
              <w:top w:val="single" w:color="000000" w:sz="8" w:space="0"/>
              <w:bottom w:val="single" w:color="000000" w:sz="4" w:space="0"/>
              <w:right w:val="single" w:color="000000" w:sz="4" w:space="0"/>
            </w:tcBorders>
            <w:noWrap/>
            <w:vAlign w:val="center"/>
          </w:tcPr>
          <w:p>
            <w:pPr>
              <w:widowControl/>
              <w:adjustRightInd w:val="0"/>
              <w:snapToGrid w:val="0"/>
              <w:jc w:val="center"/>
              <w:rPr>
                <w:snapToGrid w:val="0"/>
                <w:kern w:val="21"/>
                <w:szCs w:val="21"/>
              </w:rPr>
            </w:pPr>
          </w:p>
        </w:tc>
        <w:tc>
          <w:tcPr>
            <w:tcW w:w="514"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5月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7月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8月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9月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10月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11月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12月</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全年</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起止月份</w:t>
            </w:r>
          </w:p>
        </w:tc>
        <w:tc>
          <w:tcPr>
            <w:tcW w:w="931" w:type="dxa"/>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天然径流量(万m</w:t>
            </w:r>
            <w:r>
              <w:rPr>
                <w:snapToGrid w:val="0"/>
                <w:kern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偏丰年（P=20%）</w:t>
            </w:r>
          </w:p>
        </w:tc>
        <w:tc>
          <w:tcPr>
            <w:tcW w:w="514"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4.0</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2.8</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11.6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42.2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28.2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10.1</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5.1</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4.0</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123.2</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6~9</w:t>
            </w:r>
          </w:p>
        </w:tc>
        <w:tc>
          <w:tcPr>
            <w:tcW w:w="931" w:type="dxa"/>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92.1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平水年（P=50%）</w:t>
            </w:r>
          </w:p>
        </w:tc>
        <w:tc>
          <w:tcPr>
            <w:tcW w:w="514"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3.0</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4.8</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3.9</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13.6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17.7</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11.0</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3.5</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2.7</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80.1</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6~9</w:t>
            </w:r>
          </w:p>
        </w:tc>
        <w:tc>
          <w:tcPr>
            <w:tcW w:w="931" w:type="dxa"/>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48.9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偏枯年（P=75%）</w:t>
            </w:r>
          </w:p>
        </w:tc>
        <w:tc>
          <w:tcPr>
            <w:tcW w:w="514"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5.2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4.9</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9.7</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11.9</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10.3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3.9</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0.7</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0.8</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0.8</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53.7</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6~9</w:t>
            </w:r>
          </w:p>
        </w:tc>
        <w:tc>
          <w:tcPr>
            <w:tcW w:w="931" w:type="dxa"/>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35.9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偏枯年（P=85%）</w:t>
            </w:r>
          </w:p>
        </w:tc>
        <w:tc>
          <w:tcPr>
            <w:tcW w:w="514"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1.1</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8.6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10.6</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9.2</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3.5</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0.7</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0.7</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0.7</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47.5</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6~9</w:t>
            </w:r>
          </w:p>
        </w:tc>
        <w:tc>
          <w:tcPr>
            <w:tcW w:w="931" w:type="dxa"/>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31.8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枯水年（P=95%）</w:t>
            </w:r>
          </w:p>
        </w:tc>
        <w:tc>
          <w:tcPr>
            <w:tcW w:w="514"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0.8</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0.8</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0.9</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2.0</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3.3</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6.4</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6.9</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0.9</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0.8</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1.1</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1.0</w:t>
            </w:r>
          </w:p>
        </w:tc>
        <w:tc>
          <w:tcPr>
            <w:tcW w:w="51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27.3</w:t>
            </w:r>
          </w:p>
        </w:tc>
        <w:tc>
          <w:tcPr>
            <w:tcW w:w="70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6~9</w:t>
            </w:r>
          </w:p>
        </w:tc>
        <w:tc>
          <w:tcPr>
            <w:tcW w:w="931" w:type="dxa"/>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17.5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53" w:type="dxa"/>
            <w:tcBorders>
              <w:top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多年平均</w:t>
            </w:r>
          </w:p>
        </w:tc>
        <w:tc>
          <w:tcPr>
            <w:tcW w:w="514"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3.3</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3.6</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5.3</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4.3</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7.2</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7.3</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15.0</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19.4</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12.1</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3.9</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3.6</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3.0</w:t>
            </w:r>
          </w:p>
        </w:tc>
        <w:tc>
          <w:tcPr>
            <w:tcW w:w="515"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88</w:t>
            </w:r>
          </w:p>
        </w:tc>
        <w:tc>
          <w:tcPr>
            <w:tcW w:w="709" w:type="dxa"/>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6~9</w:t>
            </w:r>
          </w:p>
        </w:tc>
        <w:tc>
          <w:tcPr>
            <w:tcW w:w="931" w:type="dxa"/>
            <w:tcBorders>
              <w:top w:val="single" w:color="000000" w:sz="4" w:space="0"/>
              <w:left w:val="single" w:color="000000" w:sz="4" w:space="0"/>
            </w:tcBorders>
            <w:noWrap/>
            <w:vAlign w:val="center"/>
          </w:tcPr>
          <w:p>
            <w:pPr>
              <w:widowControl/>
              <w:adjustRightInd w:val="0"/>
              <w:snapToGrid w:val="0"/>
              <w:jc w:val="center"/>
              <w:textAlignment w:val="center"/>
              <w:rPr>
                <w:snapToGrid w:val="0"/>
                <w:kern w:val="21"/>
                <w:szCs w:val="21"/>
              </w:rPr>
            </w:pPr>
            <w:r>
              <w:rPr>
                <w:snapToGrid w:val="0"/>
                <w:kern w:val="21"/>
                <w:szCs w:val="21"/>
              </w:rPr>
              <w:t>53.8</w:t>
            </w:r>
          </w:p>
        </w:tc>
      </w:tr>
    </w:tbl>
    <w:p>
      <w:pPr>
        <w:pStyle w:val="22"/>
        <w:spacing w:line="240" w:lineRule="auto"/>
        <w:ind w:left="0" w:leftChars="0" w:firstLine="550" w:firstLineChars="200"/>
      </w:pPr>
      <w:r>
        <w:rPr>
          <w:rFonts w:eastAsia="仿宋_GB2312"/>
          <w:kern w:val="0"/>
        </w:rPr>
        <w:t>（</w:t>
      </w:r>
      <w:r>
        <w:rPr>
          <w:kern w:val="0"/>
        </w:rPr>
        <w:t>5</w:t>
      </w:r>
      <w:r>
        <w:rPr>
          <w:rFonts w:eastAsia="仿宋_GB2312"/>
          <w:kern w:val="0"/>
        </w:rPr>
        <w:t>）</w:t>
      </w:r>
      <w:r>
        <w:t>泥沙</w:t>
      </w:r>
      <w:bookmarkStart w:id="32" w:name="_Toc2417"/>
    </w:p>
    <w:bookmarkEnd w:id="32"/>
    <w:p>
      <w:pPr>
        <w:spacing w:before="60"/>
        <w:ind w:firstLine="450"/>
        <w:rPr>
          <w:sz w:val="24"/>
        </w:rPr>
      </w:pPr>
      <w:r>
        <w:rPr>
          <w:sz w:val="24"/>
        </w:rPr>
        <w:t>①区域泥沙特征</w:t>
      </w:r>
    </w:p>
    <w:p>
      <w:pPr>
        <w:spacing w:before="60"/>
        <w:ind w:firstLine="448"/>
        <w:rPr>
          <w:sz w:val="24"/>
        </w:rPr>
      </w:pPr>
      <w:r>
        <w:rPr>
          <w:sz w:val="24"/>
        </w:rPr>
        <w:t>彭阳水文站多年平均输沙量为815.3万t，输沙模数约5280t/km</w:t>
      </w:r>
      <w:r>
        <w:rPr>
          <w:kern w:val="0"/>
          <w:sz w:val="24"/>
          <w:vertAlign w:val="superscript"/>
        </w:rPr>
        <w:t>2</w:t>
      </w:r>
      <w:r>
        <w:rPr>
          <w:sz w:val="24"/>
        </w:rPr>
        <w:t>；多年平均含沙量176.7kg/m</w:t>
      </w:r>
      <w:r>
        <w:rPr>
          <w:sz w:val="24"/>
          <w:vertAlign w:val="superscript"/>
        </w:rPr>
        <w:t>3</w:t>
      </w:r>
      <w:r>
        <w:rPr>
          <w:sz w:val="24"/>
        </w:rPr>
        <w:t>，洪水主要集中在7～8月，最大含沙量为972kg/ m</w:t>
      </w:r>
      <w:r>
        <w:rPr>
          <w:sz w:val="24"/>
          <w:vertAlign w:val="superscript"/>
        </w:rPr>
        <w:t>3</w:t>
      </w:r>
      <w:r>
        <w:rPr>
          <w:sz w:val="24"/>
        </w:rPr>
        <w:t xml:space="preserve"> (1982年5月27日)。</w:t>
      </w:r>
    </w:p>
    <w:p>
      <w:pPr>
        <w:spacing w:before="60"/>
        <w:ind w:firstLine="510" w:firstLineChars="200"/>
        <w:rPr>
          <w:sz w:val="24"/>
        </w:rPr>
      </w:pPr>
      <w:r>
        <w:rPr>
          <w:sz w:val="24"/>
        </w:rPr>
        <w:t>彭阳县茹河、安家川河流域属典型的黄土丘陵沟壑区，是我区水土流失严重的地区之一，尤其安家川河多年平均输沙模数在8000t/km</w:t>
      </w:r>
      <w:r>
        <w:rPr>
          <w:sz w:val="24"/>
          <w:vertAlign w:val="superscript"/>
        </w:rPr>
        <w:t>2</w:t>
      </w:r>
      <w:r>
        <w:rPr>
          <w:sz w:val="24"/>
        </w:rPr>
        <w:t>左右。经查多年平均径流深等值线图，水库流域多年平均输沙模数为5000~8000t/km</w:t>
      </w:r>
      <w:r>
        <w:rPr>
          <w:sz w:val="24"/>
          <w:vertAlign w:val="superscript"/>
        </w:rPr>
        <w:t>2</w:t>
      </w:r>
      <w:r>
        <w:rPr>
          <w:sz w:val="24"/>
        </w:rPr>
        <w:t>。水库流域位于彭阳水文站东北，区域输沙模数自南向北递增。</w:t>
      </w:r>
    </w:p>
    <w:p>
      <w:pPr>
        <w:spacing w:before="60"/>
        <w:ind w:firstLine="510" w:firstLineChars="200"/>
        <w:rPr>
          <w:sz w:val="24"/>
        </w:rPr>
      </w:pPr>
      <w:r>
        <w:rPr>
          <w:sz w:val="24"/>
        </w:rPr>
        <w:t>雅石沟水库即位于多沙的安家川河流域上游，水库流域多年平均输沙模数约为6950t/km</w:t>
      </w:r>
      <w:r>
        <w:rPr>
          <w:sz w:val="24"/>
          <w:vertAlign w:val="superscript"/>
        </w:rPr>
        <w:t>2</w:t>
      </w:r>
      <w:r>
        <w:rPr>
          <w:sz w:val="24"/>
        </w:rPr>
        <w:t>，年输沙量为30.6万t，主要集中在6～9月，占全年的95.4%，尤以7～8月为著，占82.4%。多年平均输沙量月分配见表5-3。</w:t>
      </w:r>
    </w:p>
    <w:p>
      <w:pPr>
        <w:adjustRightInd w:val="0"/>
        <w:snapToGrid w:val="0"/>
        <w:jc w:val="center"/>
        <w:rPr>
          <w:rFonts w:eastAsia="黑体"/>
          <w:sz w:val="24"/>
        </w:rPr>
      </w:pPr>
      <w:r>
        <w:rPr>
          <w:rFonts w:eastAsia="黑体"/>
          <w:sz w:val="24"/>
        </w:rPr>
        <w:t>表5-3  雅石沟水库输沙量逐月分配表  单位：万t</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49"/>
        <w:gridCol w:w="649"/>
        <w:gridCol w:w="649"/>
        <w:gridCol w:w="649"/>
        <w:gridCol w:w="650"/>
        <w:gridCol w:w="650"/>
        <w:gridCol w:w="650"/>
        <w:gridCol w:w="650"/>
        <w:gridCol w:w="650"/>
        <w:gridCol w:w="650"/>
        <w:gridCol w:w="650"/>
        <w:gridCol w:w="650"/>
        <w:gridCol w:w="650"/>
        <w:gridCol w:w="6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63" w:type="dxa"/>
            <w:noWrap/>
            <w:vAlign w:val="center"/>
          </w:tcPr>
          <w:p>
            <w:pPr>
              <w:adjustRightInd w:val="0"/>
              <w:snapToGrid w:val="0"/>
              <w:jc w:val="center"/>
              <w:rPr>
                <w:szCs w:val="21"/>
              </w:rPr>
            </w:pPr>
            <w:r>
              <w:rPr>
                <w:szCs w:val="21"/>
              </w:rPr>
              <w:t>月份</w:t>
            </w:r>
          </w:p>
        </w:tc>
        <w:tc>
          <w:tcPr>
            <w:tcW w:w="663" w:type="dxa"/>
            <w:noWrap/>
            <w:vAlign w:val="center"/>
          </w:tcPr>
          <w:p>
            <w:pPr>
              <w:adjustRightInd w:val="0"/>
              <w:snapToGrid w:val="0"/>
              <w:jc w:val="center"/>
              <w:rPr>
                <w:szCs w:val="21"/>
              </w:rPr>
            </w:pPr>
            <w:r>
              <w:rPr>
                <w:szCs w:val="21"/>
              </w:rPr>
              <w:t>1</w:t>
            </w:r>
          </w:p>
        </w:tc>
        <w:tc>
          <w:tcPr>
            <w:tcW w:w="663" w:type="dxa"/>
            <w:noWrap/>
            <w:vAlign w:val="center"/>
          </w:tcPr>
          <w:p>
            <w:pPr>
              <w:adjustRightInd w:val="0"/>
              <w:snapToGrid w:val="0"/>
              <w:jc w:val="center"/>
              <w:rPr>
                <w:szCs w:val="21"/>
              </w:rPr>
            </w:pPr>
            <w:r>
              <w:rPr>
                <w:szCs w:val="21"/>
              </w:rPr>
              <w:t>2</w:t>
            </w:r>
          </w:p>
        </w:tc>
        <w:tc>
          <w:tcPr>
            <w:tcW w:w="663" w:type="dxa"/>
            <w:noWrap/>
            <w:vAlign w:val="center"/>
          </w:tcPr>
          <w:p>
            <w:pPr>
              <w:adjustRightInd w:val="0"/>
              <w:snapToGrid w:val="0"/>
              <w:jc w:val="center"/>
              <w:rPr>
                <w:szCs w:val="21"/>
              </w:rPr>
            </w:pPr>
            <w:r>
              <w:rPr>
                <w:szCs w:val="21"/>
              </w:rPr>
              <w:t>3</w:t>
            </w:r>
          </w:p>
        </w:tc>
        <w:tc>
          <w:tcPr>
            <w:tcW w:w="663" w:type="dxa"/>
            <w:noWrap/>
            <w:vAlign w:val="center"/>
          </w:tcPr>
          <w:p>
            <w:pPr>
              <w:adjustRightInd w:val="0"/>
              <w:snapToGrid w:val="0"/>
              <w:jc w:val="center"/>
              <w:rPr>
                <w:szCs w:val="21"/>
              </w:rPr>
            </w:pPr>
            <w:r>
              <w:rPr>
                <w:szCs w:val="21"/>
              </w:rPr>
              <w:t>4</w:t>
            </w:r>
          </w:p>
        </w:tc>
        <w:tc>
          <w:tcPr>
            <w:tcW w:w="663" w:type="dxa"/>
            <w:noWrap/>
            <w:vAlign w:val="center"/>
          </w:tcPr>
          <w:p>
            <w:pPr>
              <w:adjustRightInd w:val="0"/>
              <w:snapToGrid w:val="0"/>
              <w:jc w:val="center"/>
              <w:rPr>
                <w:szCs w:val="21"/>
              </w:rPr>
            </w:pPr>
            <w:r>
              <w:rPr>
                <w:szCs w:val="21"/>
              </w:rPr>
              <w:t>5</w:t>
            </w:r>
          </w:p>
        </w:tc>
        <w:tc>
          <w:tcPr>
            <w:tcW w:w="663" w:type="dxa"/>
            <w:noWrap/>
            <w:vAlign w:val="center"/>
          </w:tcPr>
          <w:p>
            <w:pPr>
              <w:adjustRightInd w:val="0"/>
              <w:snapToGrid w:val="0"/>
              <w:jc w:val="center"/>
              <w:rPr>
                <w:szCs w:val="21"/>
              </w:rPr>
            </w:pPr>
            <w:r>
              <w:rPr>
                <w:szCs w:val="21"/>
              </w:rPr>
              <w:t>6</w:t>
            </w:r>
          </w:p>
        </w:tc>
        <w:tc>
          <w:tcPr>
            <w:tcW w:w="663" w:type="dxa"/>
            <w:noWrap/>
            <w:vAlign w:val="center"/>
          </w:tcPr>
          <w:p>
            <w:pPr>
              <w:adjustRightInd w:val="0"/>
              <w:snapToGrid w:val="0"/>
              <w:jc w:val="center"/>
              <w:rPr>
                <w:szCs w:val="21"/>
              </w:rPr>
            </w:pPr>
            <w:r>
              <w:rPr>
                <w:szCs w:val="21"/>
              </w:rPr>
              <w:t>7</w:t>
            </w:r>
          </w:p>
        </w:tc>
        <w:tc>
          <w:tcPr>
            <w:tcW w:w="663" w:type="dxa"/>
            <w:noWrap/>
            <w:vAlign w:val="center"/>
          </w:tcPr>
          <w:p>
            <w:pPr>
              <w:adjustRightInd w:val="0"/>
              <w:snapToGrid w:val="0"/>
              <w:jc w:val="center"/>
              <w:rPr>
                <w:szCs w:val="21"/>
              </w:rPr>
            </w:pPr>
            <w:r>
              <w:rPr>
                <w:szCs w:val="21"/>
              </w:rPr>
              <w:t>8</w:t>
            </w:r>
          </w:p>
        </w:tc>
        <w:tc>
          <w:tcPr>
            <w:tcW w:w="663" w:type="dxa"/>
            <w:noWrap/>
            <w:vAlign w:val="center"/>
          </w:tcPr>
          <w:p>
            <w:pPr>
              <w:adjustRightInd w:val="0"/>
              <w:snapToGrid w:val="0"/>
              <w:jc w:val="center"/>
              <w:rPr>
                <w:szCs w:val="21"/>
              </w:rPr>
            </w:pPr>
            <w:r>
              <w:rPr>
                <w:szCs w:val="21"/>
              </w:rPr>
              <w:t>9</w:t>
            </w:r>
          </w:p>
        </w:tc>
        <w:tc>
          <w:tcPr>
            <w:tcW w:w="663" w:type="dxa"/>
            <w:noWrap/>
            <w:vAlign w:val="center"/>
          </w:tcPr>
          <w:p>
            <w:pPr>
              <w:adjustRightInd w:val="0"/>
              <w:snapToGrid w:val="0"/>
              <w:jc w:val="center"/>
              <w:rPr>
                <w:szCs w:val="21"/>
              </w:rPr>
            </w:pPr>
            <w:r>
              <w:rPr>
                <w:szCs w:val="21"/>
              </w:rPr>
              <w:t>10</w:t>
            </w:r>
          </w:p>
        </w:tc>
        <w:tc>
          <w:tcPr>
            <w:tcW w:w="663" w:type="dxa"/>
            <w:noWrap/>
            <w:vAlign w:val="center"/>
          </w:tcPr>
          <w:p>
            <w:pPr>
              <w:adjustRightInd w:val="0"/>
              <w:snapToGrid w:val="0"/>
              <w:jc w:val="center"/>
              <w:rPr>
                <w:szCs w:val="21"/>
              </w:rPr>
            </w:pPr>
            <w:r>
              <w:rPr>
                <w:szCs w:val="21"/>
              </w:rPr>
              <w:t>11</w:t>
            </w:r>
          </w:p>
        </w:tc>
        <w:tc>
          <w:tcPr>
            <w:tcW w:w="663" w:type="dxa"/>
            <w:noWrap/>
            <w:vAlign w:val="center"/>
          </w:tcPr>
          <w:p>
            <w:pPr>
              <w:adjustRightInd w:val="0"/>
              <w:snapToGrid w:val="0"/>
              <w:jc w:val="center"/>
              <w:rPr>
                <w:szCs w:val="21"/>
              </w:rPr>
            </w:pPr>
            <w:r>
              <w:rPr>
                <w:szCs w:val="21"/>
              </w:rPr>
              <w:t>12</w:t>
            </w:r>
          </w:p>
        </w:tc>
        <w:tc>
          <w:tcPr>
            <w:tcW w:w="668" w:type="dxa"/>
            <w:noWrap/>
            <w:vAlign w:val="center"/>
          </w:tcPr>
          <w:p>
            <w:pPr>
              <w:adjustRightInd w:val="0"/>
              <w:snapToGrid w:val="0"/>
              <w:jc w:val="center"/>
              <w:rPr>
                <w:szCs w:val="21"/>
              </w:rPr>
            </w:pPr>
            <w:r>
              <w:rPr>
                <w:szCs w:val="21"/>
              </w:rPr>
              <w:t>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63" w:type="dxa"/>
            <w:noWrap/>
            <w:vAlign w:val="center"/>
          </w:tcPr>
          <w:p>
            <w:pPr>
              <w:adjustRightInd w:val="0"/>
              <w:snapToGrid w:val="0"/>
              <w:jc w:val="center"/>
              <w:rPr>
                <w:szCs w:val="21"/>
              </w:rPr>
            </w:pPr>
            <w:r>
              <w:rPr>
                <w:szCs w:val="21"/>
              </w:rPr>
              <w:t>多年平均</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1.285</w:t>
            </w:r>
          </w:p>
        </w:tc>
        <w:tc>
          <w:tcPr>
            <w:tcW w:w="663" w:type="dxa"/>
            <w:noWrap/>
            <w:vAlign w:val="center"/>
          </w:tcPr>
          <w:p>
            <w:pPr>
              <w:adjustRightInd w:val="0"/>
              <w:snapToGrid w:val="0"/>
              <w:jc w:val="center"/>
              <w:rPr>
                <w:szCs w:val="21"/>
              </w:rPr>
            </w:pPr>
            <w:r>
              <w:rPr>
                <w:szCs w:val="21"/>
              </w:rPr>
              <w:t>3.213</w:t>
            </w:r>
          </w:p>
        </w:tc>
        <w:tc>
          <w:tcPr>
            <w:tcW w:w="663" w:type="dxa"/>
            <w:noWrap/>
            <w:vAlign w:val="center"/>
          </w:tcPr>
          <w:p>
            <w:pPr>
              <w:adjustRightInd w:val="0"/>
              <w:snapToGrid w:val="0"/>
              <w:jc w:val="center"/>
              <w:rPr>
                <w:szCs w:val="21"/>
              </w:rPr>
            </w:pPr>
            <w:r>
              <w:rPr>
                <w:szCs w:val="21"/>
              </w:rPr>
              <w:t>8.293</w:t>
            </w:r>
          </w:p>
        </w:tc>
        <w:tc>
          <w:tcPr>
            <w:tcW w:w="663" w:type="dxa"/>
            <w:noWrap/>
            <w:vAlign w:val="center"/>
          </w:tcPr>
          <w:p>
            <w:pPr>
              <w:adjustRightInd w:val="0"/>
              <w:snapToGrid w:val="0"/>
              <w:jc w:val="center"/>
              <w:rPr>
                <w:szCs w:val="21"/>
              </w:rPr>
            </w:pPr>
            <w:r>
              <w:rPr>
                <w:szCs w:val="21"/>
              </w:rPr>
              <w:t>16.922</w:t>
            </w:r>
          </w:p>
        </w:tc>
        <w:tc>
          <w:tcPr>
            <w:tcW w:w="663" w:type="dxa"/>
            <w:noWrap/>
            <w:vAlign w:val="center"/>
          </w:tcPr>
          <w:p>
            <w:pPr>
              <w:adjustRightInd w:val="0"/>
              <w:snapToGrid w:val="0"/>
              <w:jc w:val="center"/>
              <w:rPr>
                <w:szCs w:val="21"/>
              </w:rPr>
            </w:pPr>
            <w:r>
              <w:rPr>
                <w:szCs w:val="21"/>
              </w:rPr>
              <w:t>0.765</w:t>
            </w:r>
          </w:p>
        </w:tc>
        <w:tc>
          <w:tcPr>
            <w:tcW w:w="663" w:type="dxa"/>
            <w:noWrap/>
            <w:vAlign w:val="center"/>
          </w:tcPr>
          <w:p>
            <w:pPr>
              <w:adjustRightInd w:val="0"/>
              <w:snapToGrid w:val="0"/>
              <w:jc w:val="center"/>
              <w:rPr>
                <w:szCs w:val="21"/>
              </w:rPr>
            </w:pPr>
            <w:r>
              <w:rPr>
                <w:szCs w:val="21"/>
              </w:rPr>
              <w:t>0.122</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8" w:type="dxa"/>
            <w:noWrap/>
            <w:vAlign w:val="center"/>
          </w:tcPr>
          <w:p>
            <w:pPr>
              <w:adjustRightInd w:val="0"/>
              <w:snapToGrid w:val="0"/>
              <w:jc w:val="center"/>
              <w:rPr>
                <w:szCs w:val="21"/>
              </w:rPr>
            </w:pPr>
            <w:r>
              <w:rPr>
                <w:szCs w:val="21"/>
              </w:rPr>
              <w:fldChar w:fldCharType="begin"/>
            </w:r>
            <w:r>
              <w:rPr>
                <w:szCs w:val="21"/>
              </w:rPr>
              <w:instrText xml:space="preserve"> =SUM(LEFT) </w:instrText>
            </w:r>
            <w:r>
              <w:rPr>
                <w:szCs w:val="21"/>
              </w:rPr>
              <w:fldChar w:fldCharType="separate"/>
            </w:r>
            <w:r>
              <w:rPr>
                <w:szCs w:val="21"/>
              </w:rPr>
              <w:t>30.6</w:t>
            </w:r>
            <w:r>
              <w:rPr>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63" w:type="dxa"/>
            <w:noWrap/>
            <w:vAlign w:val="center"/>
          </w:tcPr>
          <w:p>
            <w:pPr>
              <w:adjustRightInd w:val="0"/>
              <w:snapToGrid w:val="0"/>
              <w:jc w:val="center"/>
              <w:rPr>
                <w:szCs w:val="21"/>
              </w:rPr>
            </w:pPr>
            <w:r>
              <w:rPr>
                <w:szCs w:val="21"/>
              </w:rPr>
              <w:t>%</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4.2</w:t>
            </w:r>
          </w:p>
        </w:tc>
        <w:tc>
          <w:tcPr>
            <w:tcW w:w="663" w:type="dxa"/>
            <w:noWrap/>
            <w:vAlign w:val="center"/>
          </w:tcPr>
          <w:p>
            <w:pPr>
              <w:adjustRightInd w:val="0"/>
              <w:snapToGrid w:val="0"/>
              <w:jc w:val="center"/>
              <w:rPr>
                <w:szCs w:val="21"/>
              </w:rPr>
            </w:pPr>
            <w:r>
              <w:rPr>
                <w:szCs w:val="21"/>
              </w:rPr>
              <w:t>10.5</w:t>
            </w:r>
          </w:p>
        </w:tc>
        <w:tc>
          <w:tcPr>
            <w:tcW w:w="663" w:type="dxa"/>
            <w:noWrap/>
            <w:vAlign w:val="center"/>
          </w:tcPr>
          <w:p>
            <w:pPr>
              <w:adjustRightInd w:val="0"/>
              <w:snapToGrid w:val="0"/>
              <w:jc w:val="center"/>
              <w:rPr>
                <w:szCs w:val="21"/>
              </w:rPr>
            </w:pPr>
            <w:r>
              <w:rPr>
                <w:szCs w:val="21"/>
              </w:rPr>
              <w:t>27.1</w:t>
            </w:r>
          </w:p>
        </w:tc>
        <w:tc>
          <w:tcPr>
            <w:tcW w:w="663" w:type="dxa"/>
            <w:noWrap/>
            <w:vAlign w:val="center"/>
          </w:tcPr>
          <w:p>
            <w:pPr>
              <w:adjustRightInd w:val="0"/>
              <w:snapToGrid w:val="0"/>
              <w:jc w:val="center"/>
              <w:rPr>
                <w:szCs w:val="21"/>
              </w:rPr>
            </w:pPr>
            <w:r>
              <w:rPr>
                <w:szCs w:val="21"/>
              </w:rPr>
              <w:t>55.3</w:t>
            </w:r>
          </w:p>
        </w:tc>
        <w:tc>
          <w:tcPr>
            <w:tcW w:w="663" w:type="dxa"/>
            <w:noWrap/>
            <w:vAlign w:val="center"/>
          </w:tcPr>
          <w:p>
            <w:pPr>
              <w:adjustRightInd w:val="0"/>
              <w:snapToGrid w:val="0"/>
              <w:jc w:val="center"/>
              <w:rPr>
                <w:szCs w:val="21"/>
              </w:rPr>
            </w:pPr>
            <w:r>
              <w:rPr>
                <w:szCs w:val="21"/>
              </w:rPr>
              <w:t>2.5</w:t>
            </w:r>
          </w:p>
        </w:tc>
        <w:tc>
          <w:tcPr>
            <w:tcW w:w="663" w:type="dxa"/>
            <w:noWrap/>
            <w:vAlign w:val="center"/>
          </w:tcPr>
          <w:p>
            <w:pPr>
              <w:adjustRightInd w:val="0"/>
              <w:snapToGrid w:val="0"/>
              <w:jc w:val="center"/>
              <w:rPr>
                <w:szCs w:val="21"/>
              </w:rPr>
            </w:pPr>
            <w:r>
              <w:rPr>
                <w:szCs w:val="21"/>
              </w:rPr>
              <w:t>0.4</w:t>
            </w:r>
          </w:p>
        </w:tc>
        <w:tc>
          <w:tcPr>
            <w:tcW w:w="663" w:type="dxa"/>
            <w:noWrap/>
            <w:vAlign w:val="center"/>
          </w:tcPr>
          <w:p>
            <w:pPr>
              <w:adjustRightInd w:val="0"/>
              <w:snapToGrid w:val="0"/>
              <w:jc w:val="center"/>
              <w:rPr>
                <w:szCs w:val="21"/>
              </w:rPr>
            </w:pPr>
            <w:r>
              <w:rPr>
                <w:szCs w:val="21"/>
              </w:rPr>
              <w:t>0</w:t>
            </w:r>
          </w:p>
        </w:tc>
        <w:tc>
          <w:tcPr>
            <w:tcW w:w="663" w:type="dxa"/>
            <w:noWrap/>
            <w:vAlign w:val="center"/>
          </w:tcPr>
          <w:p>
            <w:pPr>
              <w:adjustRightInd w:val="0"/>
              <w:snapToGrid w:val="0"/>
              <w:jc w:val="center"/>
              <w:rPr>
                <w:szCs w:val="21"/>
              </w:rPr>
            </w:pPr>
            <w:r>
              <w:rPr>
                <w:szCs w:val="21"/>
              </w:rPr>
              <w:t>0</w:t>
            </w:r>
          </w:p>
        </w:tc>
        <w:tc>
          <w:tcPr>
            <w:tcW w:w="668" w:type="dxa"/>
            <w:noWrap/>
            <w:vAlign w:val="center"/>
          </w:tcPr>
          <w:p>
            <w:pPr>
              <w:adjustRightInd w:val="0"/>
              <w:snapToGrid w:val="0"/>
              <w:jc w:val="center"/>
              <w:rPr>
                <w:szCs w:val="21"/>
              </w:rPr>
            </w:pPr>
            <w:r>
              <w:rPr>
                <w:szCs w:val="21"/>
              </w:rPr>
              <w:fldChar w:fldCharType="begin"/>
            </w:r>
            <w:r>
              <w:rPr>
                <w:szCs w:val="21"/>
              </w:rPr>
              <w:instrText xml:space="preserve"> =SUM(LEFT) </w:instrText>
            </w:r>
            <w:r>
              <w:rPr>
                <w:szCs w:val="21"/>
              </w:rPr>
              <w:fldChar w:fldCharType="separate"/>
            </w:r>
            <w:r>
              <w:rPr>
                <w:szCs w:val="21"/>
              </w:rPr>
              <w:t>100</w:t>
            </w:r>
            <w:r>
              <w:rPr>
                <w:szCs w:val="21"/>
              </w:rPr>
              <w:fldChar w:fldCharType="end"/>
            </w:r>
          </w:p>
        </w:tc>
      </w:tr>
    </w:tbl>
    <w:p>
      <w:pPr>
        <w:spacing w:before="60"/>
        <w:ind w:firstLine="560"/>
        <w:rPr>
          <w:sz w:val="24"/>
        </w:rPr>
      </w:pPr>
      <w:r>
        <w:rPr>
          <w:sz w:val="24"/>
        </w:rPr>
        <w:t>②库区流域泥沙总量测算</w:t>
      </w:r>
    </w:p>
    <w:p>
      <w:pPr>
        <w:spacing w:before="60"/>
        <w:ind w:firstLine="560"/>
        <w:rPr>
          <w:sz w:val="24"/>
        </w:rPr>
      </w:pPr>
      <w:r>
        <w:rPr>
          <w:sz w:val="24"/>
        </w:rPr>
        <w:t>入库泥沙量包括悬疑质泥沙量和推移质泥沙量。</w:t>
      </w:r>
    </w:p>
    <w:p>
      <w:pPr>
        <w:spacing w:before="60"/>
        <w:ind w:firstLine="560"/>
        <w:rPr>
          <w:sz w:val="24"/>
        </w:rPr>
      </w:pPr>
      <w:r>
        <w:rPr>
          <w:b/>
          <w:bCs/>
          <w:sz w:val="24"/>
        </w:rPr>
        <w:t>悬疑质泥沙量：</w:t>
      </w:r>
      <w:r>
        <w:rPr>
          <w:sz w:val="24"/>
        </w:rPr>
        <w:t>流域年悬疑质输沙模数6950t/km</w:t>
      </w:r>
      <w:r>
        <w:rPr>
          <w:sz w:val="24"/>
          <w:vertAlign w:val="superscript"/>
        </w:rPr>
        <w:t>2</w:t>
      </w:r>
      <w:r>
        <w:rPr>
          <w:sz w:val="24"/>
        </w:rPr>
        <w:t>，则多年平均输沙总量为30.58万t，折合为21.84万m</w:t>
      </w:r>
      <w:r>
        <w:rPr>
          <w:sz w:val="24"/>
          <w:vertAlign w:val="superscript"/>
        </w:rPr>
        <w:t>3</w:t>
      </w:r>
      <w:r>
        <w:rPr>
          <w:sz w:val="24"/>
        </w:rPr>
        <w:t>（泥沙容重取1.4t/m</w:t>
      </w:r>
      <w:r>
        <w:rPr>
          <w:sz w:val="24"/>
          <w:vertAlign w:val="superscript"/>
        </w:rPr>
        <w:t>3</w:t>
      </w:r>
      <w:r>
        <w:rPr>
          <w:sz w:val="24"/>
        </w:rPr>
        <w:t>）。</w:t>
      </w:r>
    </w:p>
    <w:p>
      <w:pPr>
        <w:spacing w:before="60"/>
        <w:ind w:firstLine="510" w:firstLineChars="200"/>
        <w:rPr>
          <w:sz w:val="24"/>
        </w:rPr>
      </w:pPr>
      <w:r>
        <w:rPr>
          <w:b/>
          <w:bCs/>
          <w:sz w:val="24"/>
        </w:rPr>
        <w:t>推移质泥沙量：</w:t>
      </w:r>
      <w:r>
        <w:rPr>
          <w:sz w:val="24"/>
        </w:rPr>
        <w:t>因我区无推移质实测资料，故按推移质输沙量与悬疑质输沙量之间的比例关系进行估算，可用下式计算：</w:t>
      </w:r>
    </w:p>
    <w:p>
      <w:pPr>
        <w:spacing w:before="60"/>
        <w:ind w:firstLine="510" w:firstLineChars="200"/>
        <w:rPr>
          <w:sz w:val="24"/>
        </w:rPr>
      </w:pPr>
      <w:r>
        <w:rPr>
          <w:sz w:val="24"/>
        </w:rPr>
        <w:t>Wb=βWa</w:t>
      </w:r>
    </w:p>
    <w:p>
      <w:pPr>
        <w:spacing w:before="60"/>
        <w:ind w:firstLine="510" w:firstLineChars="200"/>
        <w:rPr>
          <w:sz w:val="24"/>
        </w:rPr>
      </w:pPr>
      <w:r>
        <w:rPr>
          <w:sz w:val="24"/>
        </w:rPr>
        <w:t>式中：Wb─多年平均推移质年输沙量，万t；</w:t>
      </w:r>
    </w:p>
    <w:p>
      <w:pPr>
        <w:spacing w:before="60"/>
        <w:ind w:firstLine="510" w:firstLineChars="200"/>
        <w:rPr>
          <w:sz w:val="24"/>
        </w:rPr>
      </w:pPr>
      <w:r>
        <w:rPr>
          <w:sz w:val="24"/>
        </w:rPr>
        <w:t>Wa─多年平均悬疑质年输沙量，万t；</w:t>
      </w:r>
    </w:p>
    <w:p>
      <w:pPr>
        <w:spacing w:before="60"/>
        <w:ind w:firstLine="510" w:firstLineChars="200"/>
        <w:rPr>
          <w:sz w:val="24"/>
        </w:rPr>
      </w:pPr>
      <w:r>
        <w:rPr>
          <w:sz w:val="24"/>
        </w:rPr>
        <w:t>β ─推移质输沙量与悬疑质输沙量的比值。</w:t>
      </w:r>
    </w:p>
    <w:p>
      <w:pPr>
        <w:spacing w:before="60"/>
        <w:ind w:firstLine="560"/>
        <w:rPr>
          <w:sz w:val="24"/>
        </w:rPr>
      </w:pPr>
      <w:r>
        <w:rPr>
          <w:sz w:val="24"/>
        </w:rPr>
        <w:t>根据《宁夏水文手册》（2020），在一般情况下β可参考下列数值：贺兰山东麓地区河流β=0.15～0.20，黄土丘陵地区河流β=0.05～0.10。</w:t>
      </w:r>
    </w:p>
    <w:p>
      <w:pPr>
        <w:spacing w:before="60"/>
        <w:ind w:firstLine="510" w:firstLineChars="200"/>
        <w:rPr>
          <w:sz w:val="24"/>
        </w:rPr>
      </w:pPr>
      <w:r>
        <w:rPr>
          <w:sz w:val="24"/>
        </w:rPr>
        <w:t>雅石沟水库位于黄土丘陵区，结合本区泥沙实际，输沙量基本为悬疑质输沙量，推移质输水量很小，几乎可以忽略不计。</w:t>
      </w:r>
    </w:p>
    <w:p>
      <w:pPr>
        <w:spacing w:before="60"/>
        <w:ind w:firstLine="510" w:firstLineChars="200"/>
        <w:jc w:val="left"/>
        <w:rPr>
          <w:sz w:val="24"/>
          <w:lang w:bidi="zh-CN"/>
        </w:rPr>
      </w:pPr>
      <w:r>
        <w:rPr>
          <w:b/>
          <w:bCs/>
          <w:sz w:val="24"/>
          <w:lang w:bidi="zh-CN"/>
        </w:rPr>
        <w:t>库区流域泥沙总量：</w:t>
      </w:r>
      <w:r>
        <w:rPr>
          <w:sz w:val="24"/>
          <w:lang w:bidi="zh-CN"/>
        </w:rPr>
        <w:t>通过上述计算，雅石沟水库年均入库泥沙总量为21.84</w:t>
      </w:r>
      <w:r>
        <w:rPr>
          <w:sz w:val="24"/>
          <w:lang w:val="zh-CN" w:bidi="zh-CN"/>
        </w:rPr>
        <w:t>万m</w:t>
      </w:r>
      <w:r>
        <w:rPr>
          <w:sz w:val="24"/>
          <w:vertAlign w:val="superscript"/>
          <w:lang w:val="zh-CN" w:bidi="zh-CN"/>
        </w:rPr>
        <w:t>3</w:t>
      </w:r>
      <w:r>
        <w:rPr>
          <w:sz w:val="24"/>
          <w:lang w:val="zh-CN" w:bidi="zh-CN"/>
        </w:rPr>
        <w:t>。</w:t>
      </w:r>
    </w:p>
    <w:p>
      <w:pPr>
        <w:spacing w:before="60"/>
        <w:ind w:firstLine="560"/>
        <w:rPr>
          <w:sz w:val="24"/>
        </w:rPr>
      </w:pPr>
      <w:r>
        <w:rPr>
          <w:sz w:val="24"/>
        </w:rPr>
        <w:t>③水库实际淤积情况分析</w:t>
      </w:r>
    </w:p>
    <w:p>
      <w:pPr>
        <w:spacing w:before="60"/>
        <w:ind w:firstLine="510" w:firstLineChars="200"/>
        <w:rPr>
          <w:sz w:val="24"/>
        </w:rPr>
      </w:pPr>
      <w:r>
        <w:rPr>
          <w:sz w:val="24"/>
        </w:rPr>
        <w:t>雅石沟水库自1979年建成至今，在28年的运行中共计淤积库容593.0万m</w:t>
      </w:r>
      <w:r>
        <w:rPr>
          <w:sz w:val="24"/>
          <w:vertAlign w:val="superscript"/>
        </w:rPr>
        <w:t>3</w:t>
      </w:r>
      <w:r>
        <w:rPr>
          <w:sz w:val="24"/>
        </w:rPr>
        <w:t>，多年平均淤积量21.18万m</w:t>
      </w:r>
      <w:r>
        <w:rPr>
          <w:sz w:val="24"/>
          <w:vertAlign w:val="superscript"/>
        </w:rPr>
        <w:t>3</w:t>
      </w:r>
      <w:r>
        <w:rPr>
          <w:sz w:val="24"/>
        </w:rPr>
        <w:t>。各时段淤积测量资料见下表5-4。</w:t>
      </w:r>
    </w:p>
    <w:p>
      <w:pPr>
        <w:adjustRightInd w:val="0"/>
        <w:snapToGrid w:val="0"/>
        <w:jc w:val="center"/>
        <w:rPr>
          <w:rFonts w:eastAsia="黑体"/>
          <w:bCs/>
          <w:sz w:val="24"/>
        </w:rPr>
      </w:pPr>
      <w:r>
        <w:rPr>
          <w:rFonts w:eastAsia="黑体"/>
          <w:bCs/>
          <w:sz w:val="24"/>
        </w:rPr>
        <w:t>表5-4  雅石沟水库各时段淤积情况表  单位：万m</w:t>
      </w:r>
      <w:r>
        <w:rPr>
          <w:rFonts w:eastAsia="黑体"/>
          <w:bCs/>
          <w:sz w:val="24"/>
          <w:vertAlign w:val="superscript"/>
        </w:rPr>
        <w:t>3</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4"/>
        <w:gridCol w:w="2503"/>
        <w:gridCol w:w="1586"/>
        <w:gridCol w:w="1260"/>
        <w:gridCol w:w="19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4" w:type="dxa"/>
            <w:tcBorders>
              <w:bottom w:val="single" w:color="auto" w:sz="4" w:space="0"/>
            </w:tcBorders>
            <w:noWrap/>
            <w:vAlign w:val="center"/>
          </w:tcPr>
          <w:p>
            <w:pPr>
              <w:adjustRightInd w:val="0"/>
              <w:snapToGrid w:val="0"/>
              <w:jc w:val="center"/>
              <w:rPr>
                <w:szCs w:val="21"/>
              </w:rPr>
            </w:pPr>
            <w:r>
              <w:rPr>
                <w:szCs w:val="21"/>
              </w:rPr>
              <w:t>编号</w:t>
            </w:r>
          </w:p>
        </w:tc>
        <w:tc>
          <w:tcPr>
            <w:tcW w:w="2503" w:type="dxa"/>
            <w:tcBorders>
              <w:bottom w:val="single" w:color="auto" w:sz="4" w:space="0"/>
            </w:tcBorders>
            <w:noWrap/>
            <w:vAlign w:val="center"/>
          </w:tcPr>
          <w:p>
            <w:pPr>
              <w:adjustRightInd w:val="0"/>
              <w:snapToGrid w:val="0"/>
              <w:jc w:val="center"/>
              <w:rPr>
                <w:szCs w:val="21"/>
              </w:rPr>
            </w:pPr>
            <w:r>
              <w:rPr>
                <w:szCs w:val="21"/>
              </w:rPr>
              <w:t>时     段</w:t>
            </w:r>
          </w:p>
        </w:tc>
        <w:tc>
          <w:tcPr>
            <w:tcW w:w="1586" w:type="dxa"/>
            <w:tcBorders>
              <w:bottom w:val="single" w:color="auto" w:sz="4" w:space="0"/>
            </w:tcBorders>
            <w:noWrap/>
            <w:vAlign w:val="center"/>
          </w:tcPr>
          <w:p>
            <w:pPr>
              <w:adjustRightInd w:val="0"/>
              <w:snapToGrid w:val="0"/>
              <w:jc w:val="center"/>
              <w:rPr>
                <w:szCs w:val="21"/>
              </w:rPr>
            </w:pPr>
            <w:r>
              <w:rPr>
                <w:szCs w:val="21"/>
              </w:rPr>
              <w:t>淤积量</w:t>
            </w:r>
          </w:p>
        </w:tc>
        <w:tc>
          <w:tcPr>
            <w:tcW w:w="1260" w:type="dxa"/>
            <w:tcBorders>
              <w:bottom w:val="single" w:color="auto" w:sz="4" w:space="0"/>
            </w:tcBorders>
            <w:noWrap/>
            <w:vAlign w:val="center"/>
          </w:tcPr>
          <w:p>
            <w:pPr>
              <w:adjustRightInd w:val="0"/>
              <w:snapToGrid w:val="0"/>
              <w:jc w:val="center"/>
              <w:rPr>
                <w:szCs w:val="21"/>
              </w:rPr>
            </w:pPr>
            <w:r>
              <w:rPr>
                <w:szCs w:val="21"/>
              </w:rPr>
              <w:t>年份</w:t>
            </w:r>
          </w:p>
        </w:tc>
        <w:tc>
          <w:tcPr>
            <w:tcW w:w="1914" w:type="dxa"/>
            <w:tcBorders>
              <w:bottom w:val="single" w:color="auto" w:sz="4" w:space="0"/>
            </w:tcBorders>
            <w:noWrap/>
            <w:vAlign w:val="center"/>
          </w:tcPr>
          <w:p>
            <w:pPr>
              <w:adjustRightInd w:val="0"/>
              <w:snapToGrid w:val="0"/>
              <w:jc w:val="center"/>
              <w:rPr>
                <w:szCs w:val="21"/>
              </w:rPr>
            </w:pPr>
            <w:r>
              <w:rPr>
                <w:szCs w:val="21"/>
              </w:rPr>
              <w:t>平均淤积量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4" w:type="dxa"/>
            <w:tcBorders>
              <w:top w:val="single" w:color="auto" w:sz="4" w:space="0"/>
            </w:tcBorders>
            <w:noWrap/>
            <w:vAlign w:val="center"/>
          </w:tcPr>
          <w:p>
            <w:pPr>
              <w:adjustRightInd w:val="0"/>
              <w:snapToGrid w:val="0"/>
              <w:jc w:val="center"/>
              <w:rPr>
                <w:szCs w:val="21"/>
              </w:rPr>
            </w:pPr>
            <w:r>
              <w:rPr>
                <w:szCs w:val="21"/>
              </w:rPr>
              <w:t>1</w:t>
            </w:r>
          </w:p>
        </w:tc>
        <w:tc>
          <w:tcPr>
            <w:tcW w:w="2503" w:type="dxa"/>
            <w:tcBorders>
              <w:top w:val="single" w:color="auto" w:sz="4" w:space="0"/>
            </w:tcBorders>
            <w:noWrap/>
            <w:vAlign w:val="center"/>
          </w:tcPr>
          <w:p>
            <w:pPr>
              <w:adjustRightInd w:val="0"/>
              <w:snapToGrid w:val="0"/>
              <w:jc w:val="center"/>
              <w:rPr>
                <w:szCs w:val="21"/>
              </w:rPr>
            </w:pPr>
            <w:r>
              <w:rPr>
                <w:szCs w:val="21"/>
              </w:rPr>
              <w:t>1979.12～1988.6</w:t>
            </w:r>
          </w:p>
        </w:tc>
        <w:tc>
          <w:tcPr>
            <w:tcW w:w="1586" w:type="dxa"/>
            <w:tcBorders>
              <w:top w:val="single" w:color="auto" w:sz="4" w:space="0"/>
            </w:tcBorders>
            <w:noWrap/>
            <w:vAlign w:val="center"/>
          </w:tcPr>
          <w:p>
            <w:pPr>
              <w:adjustRightInd w:val="0"/>
              <w:snapToGrid w:val="0"/>
              <w:jc w:val="center"/>
              <w:rPr>
                <w:szCs w:val="21"/>
              </w:rPr>
            </w:pPr>
            <w:r>
              <w:rPr>
                <w:szCs w:val="21"/>
              </w:rPr>
              <w:t>190</w:t>
            </w:r>
          </w:p>
        </w:tc>
        <w:tc>
          <w:tcPr>
            <w:tcW w:w="1260" w:type="dxa"/>
            <w:tcBorders>
              <w:top w:val="single" w:color="auto" w:sz="4" w:space="0"/>
            </w:tcBorders>
            <w:noWrap/>
            <w:vAlign w:val="center"/>
          </w:tcPr>
          <w:p>
            <w:pPr>
              <w:adjustRightInd w:val="0"/>
              <w:snapToGrid w:val="0"/>
              <w:jc w:val="center"/>
              <w:rPr>
                <w:szCs w:val="21"/>
              </w:rPr>
            </w:pPr>
            <w:r>
              <w:rPr>
                <w:szCs w:val="21"/>
              </w:rPr>
              <w:t>8</w:t>
            </w:r>
          </w:p>
        </w:tc>
        <w:tc>
          <w:tcPr>
            <w:tcW w:w="1914" w:type="dxa"/>
            <w:tcBorders>
              <w:top w:val="single" w:color="auto" w:sz="4" w:space="0"/>
            </w:tcBorders>
            <w:noWrap/>
            <w:vAlign w:val="center"/>
          </w:tcPr>
          <w:p>
            <w:pPr>
              <w:adjustRightInd w:val="0"/>
              <w:snapToGrid w:val="0"/>
              <w:jc w:val="center"/>
              <w:rPr>
                <w:szCs w:val="21"/>
              </w:rPr>
            </w:pPr>
            <w:r>
              <w:rPr>
                <w:szCs w:val="21"/>
              </w:rPr>
              <w:t>23.75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4" w:type="dxa"/>
            <w:noWrap/>
            <w:vAlign w:val="center"/>
          </w:tcPr>
          <w:p>
            <w:pPr>
              <w:adjustRightInd w:val="0"/>
              <w:snapToGrid w:val="0"/>
              <w:jc w:val="center"/>
              <w:rPr>
                <w:szCs w:val="21"/>
              </w:rPr>
            </w:pPr>
            <w:r>
              <w:rPr>
                <w:szCs w:val="21"/>
              </w:rPr>
              <w:t>2</w:t>
            </w:r>
          </w:p>
        </w:tc>
        <w:tc>
          <w:tcPr>
            <w:tcW w:w="2503" w:type="dxa"/>
            <w:noWrap/>
            <w:vAlign w:val="center"/>
          </w:tcPr>
          <w:p>
            <w:pPr>
              <w:adjustRightInd w:val="0"/>
              <w:snapToGrid w:val="0"/>
              <w:jc w:val="center"/>
              <w:rPr>
                <w:szCs w:val="21"/>
              </w:rPr>
            </w:pPr>
            <w:r>
              <w:rPr>
                <w:szCs w:val="21"/>
              </w:rPr>
              <w:t>1988.6～2007.8</w:t>
            </w:r>
          </w:p>
        </w:tc>
        <w:tc>
          <w:tcPr>
            <w:tcW w:w="1586" w:type="dxa"/>
            <w:noWrap/>
            <w:vAlign w:val="center"/>
          </w:tcPr>
          <w:p>
            <w:pPr>
              <w:adjustRightInd w:val="0"/>
              <w:snapToGrid w:val="0"/>
              <w:jc w:val="center"/>
              <w:rPr>
                <w:szCs w:val="21"/>
              </w:rPr>
            </w:pPr>
            <w:r>
              <w:rPr>
                <w:szCs w:val="21"/>
              </w:rPr>
              <w:t>403</w:t>
            </w:r>
          </w:p>
        </w:tc>
        <w:tc>
          <w:tcPr>
            <w:tcW w:w="1260" w:type="dxa"/>
            <w:noWrap/>
            <w:vAlign w:val="center"/>
          </w:tcPr>
          <w:p>
            <w:pPr>
              <w:adjustRightInd w:val="0"/>
              <w:snapToGrid w:val="0"/>
              <w:jc w:val="center"/>
              <w:rPr>
                <w:szCs w:val="21"/>
              </w:rPr>
            </w:pPr>
            <w:r>
              <w:rPr>
                <w:szCs w:val="21"/>
              </w:rPr>
              <w:t>20</w:t>
            </w:r>
          </w:p>
        </w:tc>
        <w:tc>
          <w:tcPr>
            <w:tcW w:w="1914" w:type="dxa"/>
            <w:noWrap/>
            <w:vAlign w:val="center"/>
          </w:tcPr>
          <w:p>
            <w:pPr>
              <w:adjustRightInd w:val="0"/>
              <w:snapToGrid w:val="0"/>
              <w:jc w:val="center"/>
              <w:rPr>
                <w:szCs w:val="21"/>
              </w:rPr>
            </w:pPr>
            <w:r>
              <w:rPr>
                <w:szCs w:val="21"/>
              </w:rPr>
              <w:t>20.15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24" w:type="dxa"/>
            <w:noWrap/>
            <w:vAlign w:val="center"/>
          </w:tcPr>
          <w:p>
            <w:pPr>
              <w:adjustRightInd w:val="0"/>
              <w:snapToGrid w:val="0"/>
              <w:jc w:val="center"/>
              <w:rPr>
                <w:szCs w:val="21"/>
              </w:rPr>
            </w:pPr>
            <w:r>
              <w:rPr>
                <w:szCs w:val="21"/>
              </w:rPr>
              <w:t>3</w:t>
            </w:r>
          </w:p>
        </w:tc>
        <w:tc>
          <w:tcPr>
            <w:tcW w:w="2503" w:type="dxa"/>
            <w:noWrap/>
            <w:vAlign w:val="center"/>
          </w:tcPr>
          <w:p>
            <w:pPr>
              <w:adjustRightInd w:val="0"/>
              <w:snapToGrid w:val="0"/>
              <w:jc w:val="center"/>
              <w:rPr>
                <w:szCs w:val="21"/>
              </w:rPr>
            </w:pPr>
            <w:r>
              <w:rPr>
                <w:szCs w:val="21"/>
              </w:rPr>
              <w:t>1979.12～2007.8</w:t>
            </w:r>
          </w:p>
        </w:tc>
        <w:tc>
          <w:tcPr>
            <w:tcW w:w="1586" w:type="dxa"/>
            <w:noWrap/>
            <w:vAlign w:val="center"/>
          </w:tcPr>
          <w:p>
            <w:pPr>
              <w:adjustRightInd w:val="0"/>
              <w:snapToGrid w:val="0"/>
              <w:jc w:val="center"/>
              <w:rPr>
                <w:szCs w:val="21"/>
              </w:rPr>
            </w:pPr>
            <w:r>
              <w:rPr>
                <w:szCs w:val="21"/>
              </w:rPr>
              <w:t>593</w:t>
            </w:r>
          </w:p>
        </w:tc>
        <w:tc>
          <w:tcPr>
            <w:tcW w:w="1260" w:type="dxa"/>
            <w:noWrap/>
            <w:vAlign w:val="center"/>
          </w:tcPr>
          <w:p>
            <w:pPr>
              <w:adjustRightInd w:val="0"/>
              <w:snapToGrid w:val="0"/>
              <w:jc w:val="center"/>
              <w:rPr>
                <w:szCs w:val="21"/>
              </w:rPr>
            </w:pPr>
            <w:r>
              <w:rPr>
                <w:szCs w:val="21"/>
              </w:rPr>
              <w:t>28</w:t>
            </w:r>
          </w:p>
        </w:tc>
        <w:tc>
          <w:tcPr>
            <w:tcW w:w="1914" w:type="dxa"/>
            <w:noWrap/>
            <w:vAlign w:val="center"/>
          </w:tcPr>
          <w:p>
            <w:pPr>
              <w:adjustRightInd w:val="0"/>
              <w:snapToGrid w:val="0"/>
              <w:jc w:val="center"/>
              <w:rPr>
                <w:szCs w:val="21"/>
              </w:rPr>
            </w:pPr>
            <w:r>
              <w:rPr>
                <w:szCs w:val="21"/>
              </w:rPr>
              <w:t>21.18</w:t>
            </w:r>
          </w:p>
        </w:tc>
      </w:tr>
    </w:tbl>
    <w:p>
      <w:pPr>
        <w:spacing w:before="60"/>
        <w:ind w:firstLine="510" w:firstLineChars="200"/>
        <w:jc w:val="left"/>
        <w:rPr>
          <w:sz w:val="24"/>
          <w:lang w:bidi="zh-CN"/>
        </w:rPr>
      </w:pPr>
      <w:r>
        <w:rPr>
          <w:sz w:val="24"/>
          <w:lang w:bidi="zh-CN"/>
        </w:rPr>
        <w:t>④08年至22年淤积量分析</w:t>
      </w:r>
    </w:p>
    <w:p>
      <w:pPr>
        <w:spacing w:before="60"/>
        <w:ind w:firstLine="510" w:firstLineChars="200"/>
        <w:jc w:val="left"/>
        <w:rPr>
          <w:sz w:val="24"/>
          <w:lang w:bidi="zh-CN"/>
        </w:rPr>
      </w:pPr>
      <w:r>
        <w:rPr>
          <w:sz w:val="24"/>
          <w:lang w:bidi="zh-CN"/>
        </w:rPr>
        <w:t>由于库区属于黄土丘陵地貌单元山区，周边及上游地区植被不发育，平时河床中有少量地表水，洪水季节入库洪水携带大量泥沙，因此洪水入库时将产生大量的淤积。</w:t>
      </w:r>
      <w:r>
        <w:rPr>
          <w:sz w:val="24"/>
          <w:lang w:val="zh-CN" w:bidi="zh-CN"/>
        </w:rPr>
        <w:t>根据多年实测淤积资料分析（</w:t>
      </w:r>
      <w:r>
        <w:rPr>
          <w:sz w:val="24"/>
          <w:lang w:bidi="zh-CN"/>
        </w:rPr>
        <w:t>详见表2.4-3</w:t>
      </w:r>
      <w:r>
        <w:rPr>
          <w:sz w:val="24"/>
          <w:lang w:val="zh-CN" w:bidi="zh-CN"/>
        </w:rPr>
        <w:t>），</w:t>
      </w:r>
      <w:r>
        <w:rPr>
          <w:sz w:val="24"/>
          <w:lang w:bidi="zh-CN"/>
        </w:rPr>
        <w:t>通过测算，水库</w:t>
      </w:r>
      <w:r>
        <w:rPr>
          <w:sz w:val="24"/>
          <w:lang w:val="zh-CN" w:bidi="zh-CN"/>
        </w:rPr>
        <w:t>实际多年平均淤积量</w:t>
      </w:r>
      <w:r>
        <w:rPr>
          <w:sz w:val="24"/>
          <w:lang w:bidi="zh-CN"/>
        </w:rPr>
        <w:t>约为</w:t>
      </w:r>
      <w:r>
        <w:rPr>
          <w:sz w:val="24"/>
          <w:lang w:val="zh-CN" w:bidi="zh-CN"/>
        </w:rPr>
        <w:t>21.18万m</w:t>
      </w:r>
      <w:r>
        <w:rPr>
          <w:sz w:val="24"/>
          <w:vertAlign w:val="superscript"/>
          <w:lang w:val="zh-CN" w:bidi="zh-CN"/>
        </w:rPr>
        <w:t>3</w:t>
      </w:r>
      <w:r>
        <w:rPr>
          <w:sz w:val="24"/>
          <w:lang w:val="zh-CN" w:bidi="zh-CN"/>
        </w:rPr>
        <w:t>，</w:t>
      </w:r>
      <w:r>
        <w:rPr>
          <w:sz w:val="24"/>
          <w:lang w:bidi="zh-CN"/>
        </w:rPr>
        <w:t>约为按照流域内输沙模数特征估算库区流域年均泥沙总量21.84</w:t>
      </w:r>
      <w:r>
        <w:rPr>
          <w:sz w:val="24"/>
          <w:lang w:val="zh-CN" w:bidi="zh-CN"/>
        </w:rPr>
        <w:t>万m</w:t>
      </w:r>
      <w:r>
        <w:rPr>
          <w:sz w:val="24"/>
          <w:vertAlign w:val="superscript"/>
          <w:lang w:val="zh-CN" w:bidi="zh-CN"/>
        </w:rPr>
        <w:t>3</w:t>
      </w:r>
      <w:r>
        <w:rPr>
          <w:sz w:val="24"/>
          <w:lang w:bidi="zh-CN"/>
        </w:rPr>
        <w:t>的97%。由于本次实测淤积库容比之前偏小，淤积量按照之前平均每年淤积量进行推测。</w:t>
      </w:r>
    </w:p>
    <w:p>
      <w:pPr>
        <w:spacing w:before="60"/>
        <w:ind w:firstLine="510" w:firstLineChars="200"/>
        <w:jc w:val="left"/>
        <w:rPr>
          <w:sz w:val="24"/>
          <w:lang w:val="zh-CN" w:bidi="zh-CN"/>
        </w:rPr>
      </w:pPr>
      <w:r>
        <w:rPr>
          <w:sz w:val="24"/>
          <w:lang w:bidi="zh-CN"/>
        </w:rPr>
        <w:t>2008年—2022年，雅石沟水库流域未发生明显洪水过程，流域输沙有大水携大沙，小水携小沙的特征，通过复核，实际淤积量较少。由于实测库容曲线未能如实反馈水库的淤积情况，雅石沟</w:t>
      </w:r>
      <w:r>
        <w:rPr>
          <w:sz w:val="24"/>
          <w:lang w:val="zh-CN" w:bidi="zh-CN"/>
        </w:rPr>
        <w:t>水库08年至22年</w:t>
      </w:r>
      <w:r>
        <w:rPr>
          <w:sz w:val="24"/>
          <w:lang w:bidi="zh-CN"/>
        </w:rPr>
        <w:t>淤积</w:t>
      </w:r>
      <w:r>
        <w:rPr>
          <w:sz w:val="24"/>
          <w:lang w:val="zh-CN" w:bidi="zh-CN"/>
        </w:rPr>
        <w:t>量按</w:t>
      </w:r>
      <w:r>
        <w:rPr>
          <w:sz w:val="24"/>
          <w:lang w:bidi="zh-CN"/>
        </w:rPr>
        <w:t>测算</w:t>
      </w:r>
      <w:r>
        <w:rPr>
          <w:sz w:val="24"/>
          <w:lang w:val="zh-CN" w:bidi="zh-CN"/>
        </w:rPr>
        <w:t>年均淤积量的</w:t>
      </w:r>
      <w:r>
        <w:rPr>
          <w:sz w:val="24"/>
          <w:lang w:bidi="zh-CN"/>
        </w:rPr>
        <w:t>50</w:t>
      </w:r>
      <w:r>
        <w:rPr>
          <w:sz w:val="24"/>
          <w:lang w:val="zh-CN" w:bidi="zh-CN"/>
        </w:rPr>
        <w:t>％计算，水库淤积总量为：</w:t>
      </w:r>
      <w:r>
        <w:rPr>
          <w:sz w:val="24"/>
          <w:lang w:bidi="zh-CN"/>
        </w:rPr>
        <w:t>21.18×14×0.5=148.26</w:t>
      </w:r>
      <w:r>
        <w:rPr>
          <w:sz w:val="24"/>
          <w:lang w:val="zh-CN" w:bidi="zh-CN"/>
        </w:rPr>
        <w:t>万m</w:t>
      </w:r>
      <w:r>
        <w:rPr>
          <w:sz w:val="24"/>
          <w:vertAlign w:val="superscript"/>
          <w:lang w:val="zh-CN" w:bidi="zh-CN"/>
        </w:rPr>
        <w:t>3</w:t>
      </w:r>
      <w:r>
        <w:rPr>
          <w:sz w:val="24"/>
          <w:lang w:val="zh-CN" w:bidi="zh-CN"/>
        </w:rPr>
        <w:t>，设计取整，按150万m</w:t>
      </w:r>
      <w:r>
        <w:rPr>
          <w:sz w:val="24"/>
          <w:vertAlign w:val="superscript"/>
          <w:lang w:val="zh-CN" w:bidi="zh-CN"/>
        </w:rPr>
        <w:t>3</w:t>
      </w:r>
      <w:r>
        <w:rPr>
          <w:sz w:val="24"/>
          <w:lang w:val="zh-CN" w:bidi="zh-CN"/>
        </w:rPr>
        <w:t>考虑。</w:t>
      </w:r>
    </w:p>
    <w:p>
      <w:pPr>
        <w:spacing w:before="60"/>
        <w:ind w:firstLine="510" w:firstLineChars="200"/>
        <w:jc w:val="left"/>
        <w:rPr>
          <w:sz w:val="24"/>
          <w:lang w:bidi="zh-CN"/>
        </w:rPr>
      </w:pPr>
      <w:r>
        <w:rPr>
          <w:sz w:val="24"/>
          <w:lang w:bidi="zh-CN"/>
        </w:rPr>
        <w:t>④设计淤积量分析</w:t>
      </w:r>
    </w:p>
    <w:p>
      <w:pPr>
        <w:spacing w:before="60"/>
        <w:ind w:firstLine="510" w:firstLineChars="200"/>
        <w:rPr>
          <w:sz w:val="24"/>
        </w:rPr>
      </w:pPr>
      <w:r>
        <w:rPr>
          <w:sz w:val="24"/>
        </w:rPr>
        <w:t>本次在复核原实测淤积情况的基础上，考虑到流域内治理程度提高，拦沙效果相对明显，土体输沙模数较之前减少，本次设计淤积量按前期（1979—2008年）实际年平均淤积量21.18万m</w:t>
      </w:r>
      <w:r>
        <w:rPr>
          <w:sz w:val="24"/>
          <w:vertAlign w:val="superscript"/>
        </w:rPr>
        <w:t>3</w:t>
      </w:r>
      <w:r>
        <w:rPr>
          <w:sz w:val="24"/>
        </w:rPr>
        <w:t>的80%进行折减计算，折减后的年平均淤积量为16.94万m</w:t>
      </w:r>
      <w:r>
        <w:rPr>
          <w:sz w:val="24"/>
          <w:vertAlign w:val="superscript"/>
        </w:rPr>
        <w:t>3</w:t>
      </w:r>
      <w:r>
        <w:rPr>
          <w:sz w:val="24"/>
        </w:rPr>
        <w:t>。</w:t>
      </w:r>
    </w:p>
    <w:p>
      <w:pPr>
        <w:ind w:firstLine="510" w:firstLineChars="200"/>
      </w:pPr>
      <w:r>
        <w:rPr>
          <w:sz w:val="24"/>
        </w:rPr>
        <w:t>（6）设计洪水</w:t>
      </w:r>
      <w:bookmarkStart w:id="33" w:name="_Toc18334"/>
      <w:bookmarkStart w:id="34" w:name="_Toc405821827"/>
    </w:p>
    <w:bookmarkEnd w:id="33"/>
    <w:bookmarkEnd w:id="34"/>
    <w:p>
      <w:pPr>
        <w:ind w:firstLine="510" w:firstLineChars="200"/>
        <w:rPr>
          <w:bCs/>
          <w:sz w:val="24"/>
        </w:rPr>
      </w:pPr>
      <w:r>
        <w:rPr>
          <w:bCs/>
          <w:sz w:val="24"/>
        </w:rPr>
        <w:t>本次除险加固雅石沟水库设计洪水标准50年一遇时洪峰流量和洪水总量分别为343m</w:t>
      </w:r>
      <w:r>
        <w:rPr>
          <w:bCs/>
          <w:sz w:val="24"/>
          <w:vertAlign w:val="superscript"/>
        </w:rPr>
        <w:t>3</w:t>
      </w:r>
      <w:r>
        <w:rPr>
          <w:bCs/>
          <w:sz w:val="24"/>
        </w:rPr>
        <w:t>/s和165万m</w:t>
      </w:r>
      <w:r>
        <w:rPr>
          <w:bCs/>
          <w:sz w:val="24"/>
          <w:vertAlign w:val="superscript"/>
        </w:rPr>
        <w:t>3</w:t>
      </w:r>
      <w:r>
        <w:rPr>
          <w:bCs/>
          <w:sz w:val="24"/>
        </w:rPr>
        <w:t>；校核洪水标准1000年一遇时洪峰流量和洪水总量分别为709m</w:t>
      </w:r>
      <w:r>
        <w:rPr>
          <w:bCs/>
          <w:sz w:val="24"/>
          <w:vertAlign w:val="superscript"/>
        </w:rPr>
        <w:t>3</w:t>
      </w:r>
      <w:r>
        <w:rPr>
          <w:bCs/>
          <w:sz w:val="24"/>
        </w:rPr>
        <w:t>/s和341万m</w:t>
      </w:r>
      <w:r>
        <w:rPr>
          <w:bCs/>
          <w:sz w:val="24"/>
          <w:vertAlign w:val="superscript"/>
        </w:rPr>
        <w:t>3</w:t>
      </w:r>
      <w:r>
        <w:rPr>
          <w:bCs/>
          <w:sz w:val="24"/>
        </w:rPr>
        <w:t>。不同频率设计洪水过程线详见表5-5。</w:t>
      </w:r>
    </w:p>
    <w:p>
      <w:pPr>
        <w:adjustRightInd w:val="0"/>
        <w:snapToGrid w:val="0"/>
        <w:jc w:val="center"/>
      </w:pPr>
      <w:r>
        <w:rPr>
          <w:rFonts w:eastAsia="黑体"/>
          <w:sz w:val="24"/>
        </w:rPr>
        <w:t>表5-5  雅石沟水库本次复核与原设计洪水成果比较表</w:t>
      </w:r>
    </w:p>
    <w:tbl>
      <w:tblPr>
        <w:tblStyle w:val="28"/>
        <w:tblW w:w="4999"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941"/>
        <w:gridCol w:w="825"/>
        <w:gridCol w:w="727"/>
        <w:gridCol w:w="727"/>
        <w:gridCol w:w="727"/>
        <w:gridCol w:w="728"/>
        <w:gridCol w:w="728"/>
        <w:gridCol w:w="728"/>
        <w:gridCol w:w="732"/>
        <w:gridCol w:w="142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89" w:type="pct"/>
            <w:gridSpan w:val="2"/>
            <w:tcBorders>
              <w:bottom w:val="single" w:color="000000" w:sz="4" w:space="0"/>
              <w:right w:val="single" w:color="000000" w:sz="4" w:space="0"/>
            </w:tcBorders>
            <w:noWrap/>
            <w:vAlign w:val="center"/>
          </w:tcPr>
          <w:p>
            <w:pPr>
              <w:adjustRightInd w:val="0"/>
              <w:snapToGrid w:val="0"/>
              <w:jc w:val="center"/>
              <w:rPr>
                <w:szCs w:val="21"/>
              </w:rPr>
            </w:pPr>
            <w:r>
              <w:rPr>
                <w:kern w:val="0"/>
                <w:szCs w:val="21"/>
              </w:rPr>
              <w:t>频率P(%)</w:t>
            </w:r>
          </w:p>
        </w:tc>
        <w:tc>
          <w:tcPr>
            <w:tcW w:w="391" w:type="pct"/>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20</w:t>
            </w:r>
          </w:p>
        </w:tc>
        <w:tc>
          <w:tcPr>
            <w:tcW w:w="391" w:type="pct"/>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10</w:t>
            </w:r>
          </w:p>
        </w:tc>
        <w:tc>
          <w:tcPr>
            <w:tcW w:w="391" w:type="pct"/>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w:t>
            </w:r>
          </w:p>
        </w:tc>
        <w:tc>
          <w:tcPr>
            <w:tcW w:w="391" w:type="pct"/>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3.33</w:t>
            </w:r>
          </w:p>
        </w:tc>
        <w:tc>
          <w:tcPr>
            <w:tcW w:w="391" w:type="pct"/>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w:t>
            </w:r>
          </w:p>
        </w:tc>
        <w:tc>
          <w:tcPr>
            <w:tcW w:w="391" w:type="pct"/>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0.2</w:t>
            </w:r>
          </w:p>
        </w:tc>
        <w:tc>
          <w:tcPr>
            <w:tcW w:w="393" w:type="pct"/>
            <w:tcBorders>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0.1</w:t>
            </w:r>
          </w:p>
        </w:tc>
        <w:tc>
          <w:tcPr>
            <w:tcW w:w="765" w:type="pct"/>
            <w:tcBorders>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备注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89" w:type="pct"/>
            <w:gridSpan w:val="2"/>
            <w:vMerge w:val="restart"/>
            <w:tcBorders>
              <w:top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洪峰流量(m</w:t>
            </w:r>
            <w:r>
              <w:rPr>
                <w:rStyle w:val="89"/>
                <w:rFonts w:hint="default" w:ascii="Times New Roman" w:hAnsi="Times New Roman" w:cs="Times New Roman"/>
                <w:color w:val="auto"/>
                <w:sz w:val="21"/>
                <w:szCs w:val="21"/>
                <w:vertAlign w:val="superscript"/>
              </w:rPr>
              <w:t>3</w:t>
            </w:r>
            <w:r>
              <w:rPr>
                <w:kern w:val="0"/>
                <w:szCs w:val="21"/>
              </w:rPr>
              <w:t>/s)</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101</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163</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228</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270</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315</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592</w:t>
            </w:r>
          </w:p>
        </w:tc>
        <w:tc>
          <w:tcPr>
            <w:tcW w:w="393"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670</w:t>
            </w:r>
          </w:p>
        </w:tc>
        <w:tc>
          <w:tcPr>
            <w:tcW w:w="765"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采用《宁夏暴雨洪水图集》2019参数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89" w:type="pct"/>
            <w:gridSpan w:val="2"/>
            <w:vMerge w:val="continue"/>
            <w:tcBorders>
              <w:bottom w:val="single" w:color="000000" w:sz="4" w:space="0"/>
              <w:right w:val="single" w:color="000000" w:sz="4" w:space="0"/>
            </w:tcBorders>
            <w:noWrap/>
            <w:vAlign w:val="center"/>
          </w:tcPr>
          <w:p>
            <w:pPr>
              <w:adjustRightInd w:val="0"/>
              <w:snapToGrid w:val="0"/>
              <w:jc w:val="center"/>
              <w:rPr>
                <w:szCs w:val="21"/>
              </w:rPr>
            </w:pP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97</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167</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236</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285</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343</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605</w:t>
            </w:r>
          </w:p>
        </w:tc>
        <w:tc>
          <w:tcPr>
            <w:tcW w:w="39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709</w:t>
            </w:r>
          </w:p>
        </w:tc>
        <w:tc>
          <w:tcPr>
            <w:tcW w:w="765"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点雨量Cv值略有调整后</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89" w:type="pct"/>
            <w:gridSpan w:val="2"/>
            <w:vMerge w:val="restart"/>
            <w:tcBorders>
              <w:top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洪水总量(万m</w:t>
            </w:r>
            <w:r>
              <w:rPr>
                <w:rStyle w:val="89"/>
                <w:rFonts w:hint="default" w:ascii="Times New Roman" w:hAnsi="Times New Roman" w:cs="Times New Roman"/>
                <w:color w:val="auto"/>
                <w:sz w:val="21"/>
                <w:szCs w:val="21"/>
                <w:vertAlign w:val="superscript"/>
              </w:rPr>
              <w:t>3</w:t>
            </w:r>
            <w:r>
              <w:rPr>
                <w:kern w:val="0"/>
                <w:szCs w:val="21"/>
              </w:rPr>
              <w:t>)</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51.3</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78.6</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107</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127</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147</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257</w:t>
            </w:r>
          </w:p>
        </w:tc>
        <w:tc>
          <w:tcPr>
            <w:tcW w:w="39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291</w:t>
            </w:r>
          </w:p>
        </w:tc>
        <w:tc>
          <w:tcPr>
            <w:tcW w:w="765"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采用《宁夏暴雨洪水图集》2019参数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489" w:type="pct"/>
            <w:gridSpan w:val="2"/>
            <w:vMerge w:val="continue"/>
            <w:tcBorders>
              <w:bottom w:val="single" w:color="000000" w:sz="4" w:space="0"/>
              <w:right w:val="single" w:color="000000" w:sz="4" w:space="0"/>
            </w:tcBorders>
            <w:noWrap/>
            <w:vAlign w:val="center"/>
          </w:tcPr>
          <w:p>
            <w:pPr>
              <w:adjustRightInd w:val="0"/>
              <w:snapToGrid w:val="0"/>
              <w:jc w:val="center"/>
              <w:rPr>
                <w:szCs w:val="21"/>
              </w:rPr>
            </w:pP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50.8</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81.4</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115</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137</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165</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295</w:t>
            </w:r>
          </w:p>
        </w:tc>
        <w:tc>
          <w:tcPr>
            <w:tcW w:w="393"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341</w:t>
            </w:r>
          </w:p>
        </w:tc>
        <w:tc>
          <w:tcPr>
            <w:tcW w:w="765"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点雨量Cv值略有调整后</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45" w:type="pct"/>
            <w:vMerge w:val="restart"/>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本次复核（点雨量Cv值略有调整后结果）与原除险加固初设对比偏差</w:t>
            </w:r>
          </w:p>
        </w:tc>
        <w:tc>
          <w:tcPr>
            <w:tcW w:w="444"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洪峰流量</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adjustRightInd w:val="0"/>
              <w:snapToGrid w:val="0"/>
              <w:jc w:val="center"/>
              <w:rPr>
                <w:szCs w:val="21"/>
              </w:rPr>
            </w:pP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-2.3%</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-2.3%</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-0.3%</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-1.5%</w:t>
            </w:r>
          </w:p>
        </w:tc>
        <w:tc>
          <w:tcPr>
            <w:tcW w:w="391"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-0.1%</w:t>
            </w:r>
          </w:p>
        </w:tc>
        <w:tc>
          <w:tcPr>
            <w:tcW w:w="393" w:type="pct"/>
            <w:tcBorders>
              <w:top w:val="single" w:color="000000" w:sz="4" w:space="0"/>
              <w:left w:val="single" w:color="000000" w:sz="4" w:space="0"/>
              <w:bottom w:val="single" w:color="000000" w:sz="4" w:space="0"/>
              <w:right w:val="single" w:color="000000" w:sz="4" w:space="0"/>
            </w:tcBorders>
            <w:noWrap/>
            <w:vAlign w:val="center"/>
          </w:tcPr>
          <w:p>
            <w:pPr>
              <w:adjustRightInd w:val="0"/>
              <w:snapToGrid w:val="0"/>
              <w:jc w:val="center"/>
              <w:rPr>
                <w:szCs w:val="21"/>
              </w:rPr>
            </w:pPr>
          </w:p>
        </w:tc>
        <w:tc>
          <w:tcPr>
            <w:tcW w:w="765" w:type="pct"/>
            <w:tcBorders>
              <w:top w:val="single" w:color="000000" w:sz="4" w:space="0"/>
              <w:left w:val="single" w:color="000000" w:sz="4" w:space="0"/>
              <w:bottom w:val="single" w:color="000000" w:sz="4" w:space="0"/>
            </w:tcBorders>
            <w:noWrap/>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045" w:type="pct"/>
            <w:vMerge w:val="continue"/>
            <w:tcBorders>
              <w:top w:val="single" w:color="000000" w:sz="4" w:space="0"/>
              <w:right w:val="single" w:color="000000" w:sz="4" w:space="0"/>
            </w:tcBorders>
            <w:noWrap/>
            <w:vAlign w:val="center"/>
          </w:tcPr>
          <w:p>
            <w:pPr>
              <w:adjustRightInd w:val="0"/>
              <w:snapToGrid w:val="0"/>
              <w:jc w:val="center"/>
              <w:rPr>
                <w:szCs w:val="21"/>
              </w:rPr>
            </w:pPr>
          </w:p>
        </w:tc>
        <w:tc>
          <w:tcPr>
            <w:tcW w:w="444"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洪水总量</w:t>
            </w:r>
          </w:p>
        </w:tc>
        <w:tc>
          <w:tcPr>
            <w:tcW w:w="391" w:type="pct"/>
            <w:tcBorders>
              <w:top w:val="single" w:color="000000" w:sz="4" w:space="0"/>
              <w:left w:val="single" w:color="000000" w:sz="4" w:space="0"/>
              <w:right w:val="single" w:color="000000" w:sz="4" w:space="0"/>
            </w:tcBorders>
            <w:noWrap/>
            <w:vAlign w:val="center"/>
          </w:tcPr>
          <w:p>
            <w:pPr>
              <w:adjustRightInd w:val="0"/>
              <w:snapToGrid w:val="0"/>
              <w:jc w:val="center"/>
              <w:rPr>
                <w:szCs w:val="21"/>
              </w:rPr>
            </w:pP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-2.8%</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-2.7%</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-1.9%</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-3.1%</w:t>
            </w:r>
          </w:p>
        </w:tc>
        <w:tc>
          <w:tcPr>
            <w:tcW w:w="391"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-0.4%</w:t>
            </w:r>
          </w:p>
        </w:tc>
        <w:tc>
          <w:tcPr>
            <w:tcW w:w="393" w:type="pct"/>
            <w:tcBorders>
              <w:top w:val="single" w:color="000000" w:sz="4" w:space="0"/>
              <w:left w:val="single" w:color="000000" w:sz="4" w:space="0"/>
              <w:right w:val="single" w:color="000000" w:sz="4" w:space="0"/>
            </w:tcBorders>
            <w:noWrap/>
            <w:vAlign w:val="center"/>
          </w:tcPr>
          <w:p>
            <w:pPr>
              <w:adjustRightInd w:val="0"/>
              <w:snapToGrid w:val="0"/>
              <w:jc w:val="center"/>
              <w:rPr>
                <w:szCs w:val="21"/>
              </w:rPr>
            </w:pPr>
          </w:p>
        </w:tc>
        <w:tc>
          <w:tcPr>
            <w:tcW w:w="765" w:type="pct"/>
            <w:tcBorders>
              <w:top w:val="single" w:color="000000" w:sz="4" w:space="0"/>
              <w:left w:val="single" w:color="000000" w:sz="4" w:space="0"/>
            </w:tcBorders>
            <w:noWrap/>
            <w:vAlign w:val="center"/>
          </w:tcPr>
          <w:p>
            <w:pPr>
              <w:adjustRightInd w:val="0"/>
              <w:snapToGrid w:val="0"/>
              <w:jc w:val="center"/>
              <w:rPr>
                <w:szCs w:val="21"/>
              </w:rPr>
            </w:pPr>
          </w:p>
        </w:tc>
      </w:tr>
    </w:tbl>
    <w:p>
      <w:pPr>
        <w:pStyle w:val="9"/>
        <w:rPr>
          <w:b/>
          <w:bCs/>
          <w:sz w:val="24"/>
          <w:szCs w:val="24"/>
        </w:rPr>
      </w:pPr>
      <w:r>
        <w:rPr>
          <w:b/>
          <w:bCs/>
          <w:sz w:val="24"/>
          <w:szCs w:val="24"/>
        </w:rPr>
        <w:t>注：表中偏差负值表示本次复核成果比2008 年除险加固初设成果小。</w:t>
      </w:r>
    </w:p>
    <w:p>
      <w:pPr>
        <w:adjustRightInd w:val="0"/>
        <w:snapToGrid w:val="0"/>
        <w:jc w:val="center"/>
        <w:rPr>
          <w:b/>
          <w:bCs/>
          <w:sz w:val="24"/>
        </w:rPr>
      </w:pPr>
      <w:r>
        <w:rPr>
          <w:rFonts w:eastAsia="黑体"/>
          <w:sz w:val="24"/>
        </w:rPr>
        <w:t>表5-6  雅石沟水库设计洪水过程线表  单位：m</w:t>
      </w:r>
      <w:r>
        <w:rPr>
          <w:rFonts w:eastAsia="黑体"/>
          <w:sz w:val="24"/>
          <w:vertAlign w:val="superscript"/>
        </w:rPr>
        <w:t>3</w:t>
      </w:r>
      <w:r>
        <w:rPr>
          <w:rFonts w:eastAsia="黑体"/>
          <w:sz w:val="24"/>
        </w:rPr>
        <w:t>/s</w:t>
      </w:r>
    </w:p>
    <w:tbl>
      <w:tblPr>
        <w:tblStyle w:val="28"/>
        <w:tblW w:w="4996"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697"/>
        <w:gridCol w:w="714"/>
        <w:gridCol w:w="714"/>
        <w:gridCol w:w="715"/>
        <w:gridCol w:w="715"/>
        <w:gridCol w:w="715"/>
        <w:gridCol w:w="715"/>
        <w:gridCol w:w="715"/>
        <w:gridCol w:w="715"/>
        <w:gridCol w:w="715"/>
        <w:gridCol w:w="715"/>
        <w:gridCol w:w="715"/>
        <w:gridCol w:w="72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6" w:type="pct"/>
            <w:vMerge w:val="restart"/>
            <w:tcBorders>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P(%)</w:t>
            </w:r>
          </w:p>
        </w:tc>
        <w:tc>
          <w:tcPr>
            <w:tcW w:w="4623" w:type="pct"/>
            <w:gridSpan w:val="12"/>
            <w:tcBorders>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时  段  序  号Δt=0.5(h)</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6" w:type="pct"/>
            <w:vMerge w:val="continue"/>
            <w:tcBorders>
              <w:top w:val="single" w:color="000000" w:sz="8" w:space="0"/>
              <w:bottom w:val="single" w:color="000000" w:sz="4" w:space="0"/>
              <w:right w:val="single" w:color="000000" w:sz="4" w:space="0"/>
            </w:tcBorders>
            <w:noWrap/>
            <w:vAlign w:val="center"/>
          </w:tcPr>
          <w:p>
            <w:pPr>
              <w:adjustRightInd w:val="0"/>
              <w:snapToGrid w:val="0"/>
              <w:jc w:val="center"/>
              <w:rPr>
                <w:szCs w:val="21"/>
              </w:rPr>
            </w:pP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6</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adjustRightInd w:val="0"/>
              <w:snapToGrid w:val="0"/>
              <w:jc w:val="center"/>
              <w:rPr>
                <w:szCs w:val="21"/>
              </w:rPr>
            </w:pPr>
            <w:r>
              <w:rPr>
                <w:szCs w:val="21"/>
              </w:rPr>
              <w:t>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8</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9</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10</w:t>
            </w:r>
          </w:p>
        </w:tc>
        <w:tc>
          <w:tcPr>
            <w:tcW w:w="386"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11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6" w:type="pct"/>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56.8</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96.7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59.3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28.1</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12.3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5.2</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2.1</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0.9</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0.1</w:t>
            </w:r>
          </w:p>
        </w:tc>
        <w:tc>
          <w:tcPr>
            <w:tcW w:w="386"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6" w:type="pct"/>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96.7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167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104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48.8</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21.0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8.6</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0.2</w:t>
            </w:r>
          </w:p>
        </w:tc>
        <w:tc>
          <w:tcPr>
            <w:tcW w:w="386"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6" w:type="pct"/>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3.33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167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285</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174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79.9</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33.9</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13.7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2.1</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0.3</w:t>
            </w:r>
          </w:p>
        </w:tc>
        <w:tc>
          <w:tcPr>
            <w:tcW w:w="386"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376" w:type="pct"/>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200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343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209</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96</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40.7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16.4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6.4</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2.5</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1.2</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0.4</w:t>
            </w:r>
          </w:p>
        </w:tc>
        <w:tc>
          <w:tcPr>
            <w:tcW w:w="386"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6" w:type="pct"/>
            <w:tcBorders>
              <w:top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0.2</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351</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605</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378</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177</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76.2</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31.1</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12.3</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4.9</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2.5</w:t>
            </w:r>
          </w:p>
        </w:tc>
        <w:tc>
          <w:tcPr>
            <w:tcW w:w="385" w:type="pc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0.8</w:t>
            </w:r>
          </w:p>
        </w:tc>
        <w:tc>
          <w:tcPr>
            <w:tcW w:w="386" w:type="pct"/>
            <w:tcBorders>
              <w:top w:val="single" w:color="000000" w:sz="4" w:space="0"/>
              <w:left w:val="single" w:color="000000" w:sz="4" w:space="0"/>
              <w:bottom w:val="single" w:color="000000" w:sz="4" w:space="0"/>
            </w:tcBorders>
            <w:noWrap/>
            <w:vAlign w:val="center"/>
          </w:tcPr>
          <w:p>
            <w:pPr>
              <w:widowControl/>
              <w:adjustRightInd w:val="0"/>
              <w:snapToGrid w:val="0"/>
              <w:jc w:val="center"/>
              <w:textAlignment w:val="center"/>
              <w:rPr>
                <w:szCs w:val="21"/>
              </w:rPr>
            </w:pPr>
            <w:r>
              <w:rPr>
                <w:kern w:val="0"/>
                <w:szCs w:val="21"/>
              </w:rPr>
              <w:t>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76" w:type="pct"/>
            <w:tcBorders>
              <w:top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0.1</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0.0</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415</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709</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433</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199</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84.3</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34.0</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13.3</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5.2</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2.6</w:t>
            </w:r>
          </w:p>
        </w:tc>
        <w:tc>
          <w:tcPr>
            <w:tcW w:w="385" w:type="pct"/>
            <w:tcBorders>
              <w:top w:val="single" w:color="000000" w:sz="4" w:space="0"/>
              <w:left w:val="single" w:color="000000" w:sz="4" w:space="0"/>
              <w:right w:val="single" w:color="000000" w:sz="4" w:space="0"/>
            </w:tcBorders>
            <w:noWrap/>
            <w:vAlign w:val="center"/>
          </w:tcPr>
          <w:p>
            <w:pPr>
              <w:widowControl/>
              <w:adjustRightInd w:val="0"/>
              <w:snapToGrid w:val="0"/>
              <w:jc w:val="center"/>
              <w:textAlignment w:val="center"/>
              <w:rPr>
                <w:szCs w:val="21"/>
              </w:rPr>
            </w:pPr>
            <w:r>
              <w:rPr>
                <w:kern w:val="0"/>
                <w:szCs w:val="21"/>
              </w:rPr>
              <w:t>0.9</w:t>
            </w:r>
          </w:p>
        </w:tc>
        <w:tc>
          <w:tcPr>
            <w:tcW w:w="386" w:type="pct"/>
            <w:tcBorders>
              <w:top w:val="single" w:color="000000" w:sz="4" w:space="0"/>
              <w:left w:val="single" w:color="000000" w:sz="4" w:space="0"/>
            </w:tcBorders>
            <w:noWrap/>
            <w:vAlign w:val="center"/>
          </w:tcPr>
          <w:p>
            <w:pPr>
              <w:widowControl/>
              <w:adjustRightInd w:val="0"/>
              <w:snapToGrid w:val="0"/>
              <w:jc w:val="center"/>
              <w:textAlignment w:val="center"/>
              <w:rPr>
                <w:szCs w:val="21"/>
              </w:rPr>
            </w:pPr>
            <w:r>
              <w:rPr>
                <w:kern w:val="0"/>
                <w:szCs w:val="21"/>
              </w:rPr>
              <w:t>0.0</w:t>
            </w:r>
          </w:p>
        </w:tc>
      </w:tr>
    </w:tbl>
    <w:p>
      <w:pPr>
        <w:pStyle w:val="3"/>
        <w:numPr>
          <w:ilvl w:val="1"/>
          <w:numId w:val="0"/>
        </w:numPr>
      </w:pPr>
      <w:r>
        <w:t>5.3地表水环境功能区划</w:t>
      </w:r>
    </w:p>
    <w:p>
      <w:pPr>
        <w:pStyle w:val="22"/>
        <w:spacing w:line="240" w:lineRule="auto"/>
        <w:ind w:left="0" w:leftChars="0" w:firstLine="550" w:firstLineChars="200"/>
      </w:pPr>
      <w:r>
        <w:t>水库执行《地表水环境质量标准》(G63838-2002)Ⅲ类水域标准要求。</w:t>
      </w:r>
    </w:p>
    <w:p>
      <w:pPr>
        <w:pStyle w:val="3"/>
        <w:numPr>
          <w:ilvl w:val="1"/>
          <w:numId w:val="0"/>
        </w:numPr>
      </w:pPr>
      <w:r>
        <w:t>5.4水环境质量现状调查</w:t>
      </w:r>
    </w:p>
    <w:p>
      <w:pPr>
        <w:spacing w:before="240" w:after="60"/>
        <w:rPr>
          <w:b/>
          <w:bCs/>
          <w:sz w:val="24"/>
        </w:rPr>
      </w:pPr>
      <w:r>
        <w:rPr>
          <w:rFonts w:eastAsia="黑体"/>
          <w:sz w:val="24"/>
        </w:rPr>
        <w:t>5.4.1雅石沟水库环境质量现状</w:t>
      </w:r>
    </w:p>
    <w:p>
      <w:pPr>
        <w:pStyle w:val="22"/>
        <w:numPr>
          <w:ilvl w:val="0"/>
          <w:numId w:val="11"/>
        </w:numPr>
        <w:spacing w:line="240" w:lineRule="auto"/>
        <w:ind w:leftChars="0" w:firstLine="550"/>
      </w:pPr>
      <w:r>
        <w:t>监测断面</w:t>
      </w:r>
    </w:p>
    <w:p>
      <w:pPr>
        <w:ind w:firstLine="510" w:firstLineChars="200"/>
        <w:rPr>
          <w:sz w:val="24"/>
        </w:rPr>
      </w:pPr>
      <w:r>
        <w:rPr>
          <w:sz w:val="24"/>
        </w:rPr>
        <w:t>2025年3月20日—3月21日对雅石沟水库地表水现状进行检测，根据《环境影响评价技术导则-地表水环境》(HJ2.3-2018)和《地表水和污水监测技术规范》(HJ/T91-2002)要求，设置了3个监测断面，具体见下表：</w:t>
      </w:r>
    </w:p>
    <w:p>
      <w:pPr>
        <w:adjustRightInd w:val="0"/>
        <w:snapToGrid w:val="0"/>
        <w:jc w:val="center"/>
        <w:rPr>
          <w:rFonts w:eastAsia="黑体"/>
          <w:sz w:val="24"/>
        </w:rPr>
      </w:pPr>
      <w:r>
        <w:rPr>
          <w:rFonts w:eastAsia="黑体"/>
          <w:sz w:val="24"/>
        </w:rPr>
        <w:t>表5-7  地表水监测断面</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tcBorders>
              <w:tl2br w:val="nil"/>
              <w:tr2bl w:val="nil"/>
            </w:tcBorders>
            <w:noWrap/>
            <w:vAlign w:val="center"/>
          </w:tcPr>
          <w:p>
            <w:pPr>
              <w:adjustRightInd w:val="0"/>
              <w:snapToGrid w:val="0"/>
              <w:jc w:val="center"/>
              <w:rPr>
                <w:b/>
                <w:bCs/>
              </w:rPr>
            </w:pPr>
            <w:r>
              <w:rPr>
                <w:b/>
                <w:bCs/>
              </w:rPr>
              <w:t>断面序号</w:t>
            </w:r>
          </w:p>
        </w:tc>
        <w:tc>
          <w:tcPr>
            <w:tcW w:w="4644" w:type="dxa"/>
            <w:tcBorders>
              <w:tl2br w:val="nil"/>
              <w:tr2bl w:val="nil"/>
            </w:tcBorders>
            <w:noWrap/>
            <w:vAlign w:val="center"/>
          </w:tcPr>
          <w:p>
            <w:pPr>
              <w:adjustRightInd w:val="0"/>
              <w:snapToGrid w:val="0"/>
              <w:jc w:val="center"/>
              <w:rPr>
                <w:b/>
                <w:bCs/>
              </w:rPr>
            </w:pPr>
            <w:r>
              <w:rPr>
                <w:b/>
                <w:bCs/>
              </w:rPr>
              <w:t>断面位置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tcBorders>
              <w:tl2br w:val="nil"/>
              <w:tr2bl w:val="nil"/>
            </w:tcBorders>
            <w:noWrap/>
            <w:vAlign w:val="center"/>
          </w:tcPr>
          <w:p>
            <w:pPr>
              <w:adjustRightInd w:val="0"/>
              <w:snapToGrid w:val="0"/>
              <w:jc w:val="center"/>
            </w:pPr>
            <w:r>
              <w:t>1</w:t>
            </w:r>
          </w:p>
        </w:tc>
        <w:tc>
          <w:tcPr>
            <w:tcW w:w="4644" w:type="dxa"/>
            <w:tcBorders>
              <w:tl2br w:val="nil"/>
              <w:tr2bl w:val="nil"/>
            </w:tcBorders>
            <w:noWrap/>
            <w:vAlign w:val="center"/>
          </w:tcPr>
          <w:p>
            <w:pPr>
              <w:adjustRightInd w:val="0"/>
              <w:snapToGrid w:val="0"/>
              <w:jc w:val="center"/>
            </w:pPr>
            <w:r>
              <w:t>水库进水口1#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tcBorders>
              <w:tl2br w:val="nil"/>
              <w:tr2bl w:val="nil"/>
            </w:tcBorders>
            <w:noWrap/>
            <w:vAlign w:val="center"/>
          </w:tcPr>
          <w:p>
            <w:pPr>
              <w:adjustRightInd w:val="0"/>
              <w:snapToGrid w:val="0"/>
              <w:jc w:val="center"/>
            </w:pPr>
            <w:r>
              <w:t>2</w:t>
            </w:r>
          </w:p>
        </w:tc>
        <w:tc>
          <w:tcPr>
            <w:tcW w:w="4644" w:type="dxa"/>
            <w:tcBorders>
              <w:tl2br w:val="nil"/>
              <w:tr2bl w:val="nil"/>
            </w:tcBorders>
            <w:noWrap/>
            <w:vAlign w:val="center"/>
          </w:tcPr>
          <w:p>
            <w:pPr>
              <w:adjustRightInd w:val="0"/>
              <w:snapToGrid w:val="0"/>
              <w:jc w:val="center"/>
            </w:pPr>
            <w:r>
              <w:t>库区2#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43" w:type="dxa"/>
            <w:tcBorders>
              <w:tl2br w:val="nil"/>
              <w:tr2bl w:val="nil"/>
            </w:tcBorders>
            <w:noWrap/>
            <w:vAlign w:val="center"/>
          </w:tcPr>
          <w:p>
            <w:pPr>
              <w:adjustRightInd w:val="0"/>
              <w:snapToGrid w:val="0"/>
              <w:jc w:val="center"/>
            </w:pPr>
            <w:r>
              <w:t>3</w:t>
            </w:r>
          </w:p>
        </w:tc>
        <w:tc>
          <w:tcPr>
            <w:tcW w:w="4644" w:type="dxa"/>
            <w:tcBorders>
              <w:tl2br w:val="nil"/>
              <w:tr2bl w:val="nil"/>
            </w:tcBorders>
            <w:noWrap/>
            <w:vAlign w:val="center"/>
          </w:tcPr>
          <w:p>
            <w:pPr>
              <w:adjustRightInd w:val="0"/>
              <w:snapToGrid w:val="0"/>
              <w:jc w:val="center"/>
            </w:pPr>
            <w:r>
              <w:t>水库泄水口3#</w:t>
            </w:r>
          </w:p>
        </w:tc>
      </w:tr>
    </w:tbl>
    <w:p>
      <w:pPr>
        <w:ind w:firstLine="510" w:firstLineChars="200"/>
        <w:rPr>
          <w:sz w:val="24"/>
        </w:rPr>
      </w:pPr>
      <w:r>
        <w:rPr>
          <w:sz w:val="24"/>
        </w:rPr>
        <w:t>（2）监测项目</w:t>
      </w:r>
    </w:p>
    <w:p>
      <w:pPr>
        <w:ind w:firstLine="510" w:firstLineChars="200"/>
        <w:rPr>
          <w:sz w:val="24"/>
        </w:rPr>
      </w:pPr>
      <w:r>
        <w:rPr>
          <w:sz w:val="24"/>
        </w:rPr>
        <w:t>pH值、透明度、溶解氧、高锰酸盐指数、氨氮、化学需氧量、五日生化需氧量、石油类、悬浮物、总氮、总磷、叶绿素a、水温、阴离子表面活性剂、氯化物、氟化物、硫化物、全盐量、总铅、总镉、六价铬、总汞、总砷、镍、锌、粪大肠菌群数、蛔虫卵数、进出水口流速。</w:t>
      </w:r>
    </w:p>
    <w:p>
      <w:pPr>
        <w:ind w:firstLine="510" w:firstLineChars="200"/>
        <w:rPr>
          <w:kern w:val="0"/>
          <w:sz w:val="24"/>
        </w:rPr>
      </w:pPr>
      <w:r>
        <w:rPr>
          <w:kern w:val="0"/>
          <w:sz w:val="24"/>
        </w:rPr>
        <w:t>（3）监测时间</w:t>
      </w:r>
    </w:p>
    <w:p>
      <w:pPr>
        <w:pStyle w:val="22"/>
        <w:spacing w:line="240" w:lineRule="auto"/>
        <w:ind w:left="0" w:leftChars="0" w:firstLine="550" w:firstLineChars="200"/>
      </w:pPr>
      <w:r>
        <w:t>连续监测2天。</w:t>
      </w:r>
    </w:p>
    <w:p>
      <w:pPr>
        <w:ind w:left="450"/>
        <w:rPr>
          <w:sz w:val="24"/>
        </w:rPr>
      </w:pPr>
      <w:r>
        <w:rPr>
          <w:sz w:val="24"/>
        </w:rPr>
        <w:t>（4）监测结果及评价结果表</w:t>
      </w:r>
    </w:p>
    <w:p>
      <w:pPr>
        <w:adjustRightInd w:val="0"/>
        <w:snapToGrid w:val="0"/>
        <w:jc w:val="center"/>
        <w:rPr>
          <w:rFonts w:eastAsia="黑体"/>
          <w:sz w:val="24"/>
        </w:rPr>
      </w:pPr>
    </w:p>
    <w:p>
      <w:pPr>
        <w:adjustRightInd w:val="0"/>
        <w:snapToGrid w:val="0"/>
        <w:jc w:val="center"/>
        <w:rPr>
          <w:rFonts w:eastAsia="黑体"/>
          <w:sz w:val="24"/>
        </w:rPr>
      </w:pPr>
    </w:p>
    <w:p>
      <w:pPr>
        <w:adjustRightInd w:val="0"/>
        <w:snapToGrid w:val="0"/>
        <w:jc w:val="center"/>
        <w:rPr>
          <w:rFonts w:eastAsia="黑体"/>
          <w:sz w:val="24"/>
        </w:rPr>
      </w:pPr>
      <w:r>
        <w:rPr>
          <w:rFonts w:eastAsia="黑体"/>
          <w:sz w:val="24"/>
        </w:rPr>
        <w:t>表5-8  地表水环境质量监测结果  （单位：mg/L）</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537"/>
        <w:gridCol w:w="866"/>
        <w:gridCol w:w="852"/>
        <w:gridCol w:w="881"/>
        <w:gridCol w:w="847"/>
        <w:gridCol w:w="870"/>
        <w:gridCol w:w="852"/>
        <w:gridCol w:w="541"/>
        <w:gridCol w:w="627"/>
        <w:gridCol w:w="627"/>
        <w:gridCol w:w="6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vMerge w:val="restart"/>
            <w:noWrap/>
            <w:vAlign w:val="center"/>
          </w:tcPr>
          <w:p>
            <w:pPr>
              <w:adjustRightInd w:val="0"/>
              <w:snapToGrid w:val="0"/>
              <w:jc w:val="center"/>
              <w:rPr>
                <w:b/>
                <w:bCs/>
                <w:szCs w:val="21"/>
              </w:rPr>
            </w:pPr>
            <w:r>
              <w:rPr>
                <w:b/>
                <w:bCs/>
                <w:szCs w:val="21"/>
              </w:rPr>
              <w:t>检测</w:t>
            </w:r>
          </w:p>
          <w:p>
            <w:pPr>
              <w:adjustRightInd w:val="0"/>
              <w:snapToGrid w:val="0"/>
              <w:jc w:val="center"/>
              <w:rPr>
                <w:b/>
                <w:bCs/>
                <w:szCs w:val="21"/>
              </w:rPr>
            </w:pPr>
            <w:r>
              <w:rPr>
                <w:b/>
                <w:bCs/>
                <w:szCs w:val="21"/>
              </w:rPr>
              <w:t>因子</w:t>
            </w:r>
          </w:p>
        </w:tc>
        <w:tc>
          <w:tcPr>
            <w:tcW w:w="1992" w:type="dxa"/>
            <w:gridSpan w:val="2"/>
            <w:noWrap/>
            <w:vAlign w:val="center"/>
          </w:tcPr>
          <w:p>
            <w:pPr>
              <w:adjustRightInd w:val="0"/>
              <w:snapToGrid w:val="0"/>
              <w:jc w:val="center"/>
              <w:rPr>
                <w:b/>
                <w:bCs/>
                <w:szCs w:val="21"/>
              </w:rPr>
            </w:pPr>
            <w:r>
              <w:rPr>
                <w:b/>
                <w:bCs/>
                <w:szCs w:val="21"/>
              </w:rPr>
              <w:t>检测结果</w:t>
            </w:r>
          </w:p>
          <w:p>
            <w:pPr>
              <w:adjustRightInd w:val="0"/>
              <w:snapToGrid w:val="0"/>
              <w:jc w:val="center"/>
              <w:rPr>
                <w:b/>
                <w:bCs/>
                <w:szCs w:val="21"/>
              </w:rPr>
            </w:pPr>
            <w:r>
              <w:rPr>
                <w:b/>
                <w:bCs/>
                <w:szCs w:val="21"/>
              </w:rPr>
              <w:t>（水库进水口）</w:t>
            </w:r>
          </w:p>
        </w:tc>
        <w:tc>
          <w:tcPr>
            <w:tcW w:w="2004" w:type="dxa"/>
            <w:gridSpan w:val="2"/>
            <w:noWrap/>
            <w:vAlign w:val="center"/>
          </w:tcPr>
          <w:p>
            <w:pPr>
              <w:adjustRightInd w:val="0"/>
              <w:snapToGrid w:val="0"/>
              <w:jc w:val="center"/>
              <w:rPr>
                <w:b/>
                <w:bCs/>
                <w:szCs w:val="21"/>
              </w:rPr>
            </w:pPr>
            <w:r>
              <w:rPr>
                <w:b/>
                <w:bCs/>
                <w:szCs w:val="21"/>
              </w:rPr>
              <w:t>检测结果</w:t>
            </w:r>
          </w:p>
          <w:p>
            <w:pPr>
              <w:adjustRightInd w:val="0"/>
              <w:snapToGrid w:val="0"/>
              <w:jc w:val="center"/>
              <w:rPr>
                <w:b/>
                <w:bCs/>
                <w:szCs w:val="21"/>
              </w:rPr>
            </w:pPr>
            <w:r>
              <w:rPr>
                <w:b/>
                <w:bCs/>
                <w:szCs w:val="21"/>
              </w:rPr>
              <w:t>（库区）</w:t>
            </w:r>
          </w:p>
        </w:tc>
        <w:tc>
          <w:tcPr>
            <w:tcW w:w="1996" w:type="dxa"/>
            <w:gridSpan w:val="2"/>
            <w:noWrap/>
            <w:vAlign w:val="center"/>
          </w:tcPr>
          <w:p>
            <w:pPr>
              <w:adjustRightInd w:val="0"/>
              <w:snapToGrid w:val="0"/>
              <w:jc w:val="center"/>
              <w:rPr>
                <w:b/>
                <w:bCs/>
                <w:szCs w:val="21"/>
              </w:rPr>
            </w:pPr>
            <w:r>
              <w:rPr>
                <w:b/>
                <w:bCs/>
                <w:szCs w:val="21"/>
              </w:rPr>
              <w:t>检测结果</w:t>
            </w:r>
          </w:p>
          <w:p>
            <w:pPr>
              <w:adjustRightInd w:val="0"/>
              <w:snapToGrid w:val="0"/>
              <w:jc w:val="center"/>
              <w:rPr>
                <w:b/>
                <w:bCs/>
                <w:szCs w:val="21"/>
              </w:rPr>
            </w:pPr>
            <w:r>
              <w:rPr>
                <w:b/>
                <w:bCs/>
                <w:szCs w:val="21"/>
              </w:rPr>
              <w:t>（水库泄水口）</w:t>
            </w:r>
          </w:p>
        </w:tc>
        <w:tc>
          <w:tcPr>
            <w:tcW w:w="622" w:type="dxa"/>
            <w:vMerge w:val="restart"/>
            <w:noWrap/>
            <w:vAlign w:val="center"/>
          </w:tcPr>
          <w:p>
            <w:pPr>
              <w:adjustRightInd w:val="0"/>
              <w:snapToGrid w:val="0"/>
              <w:jc w:val="center"/>
              <w:rPr>
                <w:b/>
                <w:bCs/>
                <w:szCs w:val="21"/>
              </w:rPr>
            </w:pPr>
            <w:r>
              <w:rPr>
                <w:b/>
                <w:bCs/>
                <w:szCs w:val="21"/>
              </w:rPr>
              <w:t>标准限值</w:t>
            </w:r>
          </w:p>
        </w:tc>
        <w:tc>
          <w:tcPr>
            <w:tcW w:w="723" w:type="dxa"/>
            <w:vMerge w:val="restart"/>
            <w:noWrap/>
            <w:vAlign w:val="center"/>
          </w:tcPr>
          <w:p>
            <w:pPr>
              <w:adjustRightInd w:val="0"/>
              <w:snapToGrid w:val="0"/>
              <w:jc w:val="center"/>
              <w:rPr>
                <w:b/>
                <w:bCs/>
                <w:szCs w:val="21"/>
              </w:rPr>
            </w:pPr>
            <w:r>
              <w:rPr>
                <w:b/>
                <w:bCs/>
                <w:szCs w:val="21"/>
              </w:rPr>
              <w:t>平均值</w:t>
            </w:r>
          </w:p>
        </w:tc>
        <w:tc>
          <w:tcPr>
            <w:tcW w:w="723" w:type="dxa"/>
            <w:vMerge w:val="restart"/>
            <w:noWrap/>
            <w:vAlign w:val="center"/>
          </w:tcPr>
          <w:p>
            <w:pPr>
              <w:adjustRightInd w:val="0"/>
              <w:snapToGrid w:val="0"/>
              <w:jc w:val="center"/>
              <w:rPr>
                <w:b/>
                <w:bCs/>
                <w:szCs w:val="21"/>
              </w:rPr>
            </w:pPr>
            <w:r>
              <w:rPr>
                <w:b/>
                <w:bCs/>
                <w:szCs w:val="21"/>
              </w:rPr>
              <w:t>水质指数</w:t>
            </w:r>
          </w:p>
        </w:tc>
        <w:tc>
          <w:tcPr>
            <w:tcW w:w="723" w:type="dxa"/>
            <w:vMerge w:val="restart"/>
            <w:noWrap/>
            <w:vAlign w:val="center"/>
          </w:tcPr>
          <w:p>
            <w:pPr>
              <w:adjustRightInd w:val="0"/>
              <w:snapToGrid w:val="0"/>
              <w:jc w:val="center"/>
              <w:rPr>
                <w:b/>
                <w:bCs/>
                <w:szCs w:val="21"/>
              </w:rPr>
            </w:pPr>
            <w:r>
              <w:rPr>
                <w:b/>
                <w:bCs/>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vMerge w:val="continue"/>
            <w:noWrap/>
            <w:vAlign w:val="center"/>
          </w:tcPr>
          <w:p>
            <w:pPr>
              <w:adjustRightInd w:val="0"/>
              <w:snapToGrid w:val="0"/>
              <w:jc w:val="center"/>
              <w:rPr>
                <w:b/>
                <w:bCs/>
                <w:szCs w:val="21"/>
              </w:rPr>
            </w:pPr>
          </w:p>
        </w:tc>
        <w:tc>
          <w:tcPr>
            <w:tcW w:w="1004" w:type="dxa"/>
            <w:noWrap/>
            <w:vAlign w:val="center"/>
          </w:tcPr>
          <w:p>
            <w:pPr>
              <w:adjustRightInd w:val="0"/>
              <w:snapToGrid w:val="0"/>
              <w:jc w:val="center"/>
              <w:rPr>
                <w:b/>
                <w:bCs/>
                <w:szCs w:val="21"/>
              </w:rPr>
            </w:pPr>
            <w:r>
              <w:rPr>
                <w:b/>
                <w:bCs/>
                <w:szCs w:val="21"/>
              </w:rPr>
              <w:t>3月20日</w:t>
            </w:r>
          </w:p>
        </w:tc>
        <w:tc>
          <w:tcPr>
            <w:tcW w:w="988" w:type="dxa"/>
            <w:noWrap/>
            <w:vAlign w:val="center"/>
          </w:tcPr>
          <w:p>
            <w:pPr>
              <w:adjustRightInd w:val="0"/>
              <w:snapToGrid w:val="0"/>
              <w:jc w:val="center"/>
              <w:rPr>
                <w:b/>
                <w:bCs/>
                <w:szCs w:val="21"/>
              </w:rPr>
            </w:pPr>
            <w:r>
              <w:rPr>
                <w:b/>
                <w:bCs/>
                <w:szCs w:val="21"/>
              </w:rPr>
              <w:t>3月21日</w:t>
            </w:r>
          </w:p>
        </w:tc>
        <w:tc>
          <w:tcPr>
            <w:tcW w:w="1022" w:type="dxa"/>
            <w:noWrap/>
            <w:vAlign w:val="center"/>
          </w:tcPr>
          <w:p>
            <w:pPr>
              <w:adjustRightInd w:val="0"/>
              <w:snapToGrid w:val="0"/>
              <w:jc w:val="center"/>
              <w:rPr>
                <w:b/>
                <w:bCs/>
                <w:szCs w:val="21"/>
              </w:rPr>
            </w:pPr>
            <w:r>
              <w:rPr>
                <w:b/>
                <w:bCs/>
                <w:szCs w:val="21"/>
              </w:rPr>
              <w:t>3月20日</w:t>
            </w:r>
          </w:p>
        </w:tc>
        <w:tc>
          <w:tcPr>
            <w:tcW w:w="982" w:type="dxa"/>
            <w:noWrap/>
            <w:vAlign w:val="center"/>
          </w:tcPr>
          <w:p>
            <w:pPr>
              <w:adjustRightInd w:val="0"/>
              <w:snapToGrid w:val="0"/>
              <w:jc w:val="center"/>
              <w:rPr>
                <w:b/>
                <w:bCs/>
                <w:szCs w:val="21"/>
              </w:rPr>
            </w:pPr>
            <w:r>
              <w:rPr>
                <w:b/>
                <w:bCs/>
                <w:szCs w:val="21"/>
              </w:rPr>
              <w:t>3月21日</w:t>
            </w:r>
          </w:p>
        </w:tc>
        <w:tc>
          <w:tcPr>
            <w:tcW w:w="1009" w:type="dxa"/>
            <w:noWrap/>
            <w:vAlign w:val="center"/>
          </w:tcPr>
          <w:p>
            <w:pPr>
              <w:adjustRightInd w:val="0"/>
              <w:snapToGrid w:val="0"/>
              <w:jc w:val="center"/>
              <w:rPr>
                <w:b/>
                <w:bCs/>
                <w:szCs w:val="21"/>
              </w:rPr>
            </w:pPr>
            <w:r>
              <w:rPr>
                <w:b/>
                <w:bCs/>
                <w:szCs w:val="21"/>
              </w:rPr>
              <w:t>3月20日</w:t>
            </w:r>
          </w:p>
        </w:tc>
        <w:tc>
          <w:tcPr>
            <w:tcW w:w="987" w:type="dxa"/>
            <w:noWrap/>
            <w:vAlign w:val="center"/>
          </w:tcPr>
          <w:p>
            <w:pPr>
              <w:adjustRightInd w:val="0"/>
              <w:snapToGrid w:val="0"/>
              <w:jc w:val="center"/>
              <w:rPr>
                <w:b/>
                <w:bCs/>
                <w:szCs w:val="21"/>
              </w:rPr>
            </w:pPr>
            <w:r>
              <w:rPr>
                <w:b/>
                <w:bCs/>
                <w:szCs w:val="21"/>
              </w:rPr>
              <w:t>3月21日</w:t>
            </w:r>
          </w:p>
        </w:tc>
        <w:tc>
          <w:tcPr>
            <w:tcW w:w="622" w:type="dxa"/>
            <w:vMerge w:val="continue"/>
            <w:noWrap/>
            <w:vAlign w:val="center"/>
          </w:tcPr>
          <w:p>
            <w:pPr>
              <w:adjustRightInd w:val="0"/>
              <w:snapToGrid w:val="0"/>
              <w:jc w:val="center"/>
              <w:rPr>
                <w:szCs w:val="21"/>
              </w:rPr>
            </w:pPr>
          </w:p>
        </w:tc>
        <w:tc>
          <w:tcPr>
            <w:tcW w:w="723" w:type="dxa"/>
            <w:vMerge w:val="continue"/>
            <w:noWrap/>
            <w:vAlign w:val="center"/>
          </w:tcPr>
          <w:p>
            <w:pPr>
              <w:adjustRightInd w:val="0"/>
              <w:snapToGrid w:val="0"/>
              <w:jc w:val="center"/>
              <w:rPr>
                <w:szCs w:val="21"/>
              </w:rPr>
            </w:pPr>
          </w:p>
        </w:tc>
        <w:tc>
          <w:tcPr>
            <w:tcW w:w="723" w:type="dxa"/>
            <w:vMerge w:val="continue"/>
            <w:noWrap/>
            <w:vAlign w:val="center"/>
          </w:tcPr>
          <w:p>
            <w:pPr>
              <w:adjustRightInd w:val="0"/>
              <w:snapToGrid w:val="0"/>
              <w:jc w:val="center"/>
              <w:rPr>
                <w:szCs w:val="21"/>
              </w:rPr>
            </w:pPr>
          </w:p>
        </w:tc>
        <w:tc>
          <w:tcPr>
            <w:tcW w:w="723" w:type="dxa"/>
            <w:vMerge w:val="continue"/>
            <w:noWrap/>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widowControl/>
              <w:adjustRightInd w:val="0"/>
              <w:snapToGrid w:val="0"/>
              <w:jc w:val="center"/>
              <w:rPr>
                <w:szCs w:val="21"/>
              </w:rPr>
            </w:pPr>
            <w:r>
              <w:rPr>
                <w:szCs w:val="21"/>
              </w:rPr>
              <w:t>样品性状</w:t>
            </w:r>
          </w:p>
        </w:tc>
        <w:tc>
          <w:tcPr>
            <w:tcW w:w="1004" w:type="dxa"/>
            <w:noWrap/>
            <w:vAlign w:val="center"/>
          </w:tcPr>
          <w:p>
            <w:pPr>
              <w:widowControl/>
              <w:adjustRightInd w:val="0"/>
              <w:snapToGrid w:val="0"/>
              <w:jc w:val="center"/>
              <w:rPr>
                <w:szCs w:val="21"/>
              </w:rPr>
            </w:pPr>
            <w:r>
              <w:rPr>
                <w:szCs w:val="21"/>
              </w:rPr>
              <w:t>透明，无异味</w:t>
            </w:r>
          </w:p>
        </w:tc>
        <w:tc>
          <w:tcPr>
            <w:tcW w:w="988" w:type="dxa"/>
            <w:noWrap/>
            <w:vAlign w:val="center"/>
          </w:tcPr>
          <w:p>
            <w:pPr>
              <w:widowControl/>
              <w:adjustRightInd w:val="0"/>
              <w:snapToGrid w:val="0"/>
              <w:jc w:val="center"/>
              <w:rPr>
                <w:szCs w:val="21"/>
              </w:rPr>
            </w:pPr>
            <w:r>
              <w:rPr>
                <w:szCs w:val="21"/>
              </w:rPr>
              <w:t>透明，无异味</w:t>
            </w:r>
          </w:p>
        </w:tc>
        <w:tc>
          <w:tcPr>
            <w:tcW w:w="1022" w:type="dxa"/>
            <w:noWrap/>
            <w:vAlign w:val="center"/>
          </w:tcPr>
          <w:p>
            <w:pPr>
              <w:widowControl/>
              <w:adjustRightInd w:val="0"/>
              <w:snapToGrid w:val="0"/>
              <w:jc w:val="center"/>
              <w:rPr>
                <w:szCs w:val="21"/>
              </w:rPr>
            </w:pPr>
            <w:r>
              <w:rPr>
                <w:szCs w:val="21"/>
              </w:rPr>
              <w:t>透明，无异味</w:t>
            </w:r>
          </w:p>
        </w:tc>
        <w:tc>
          <w:tcPr>
            <w:tcW w:w="982" w:type="dxa"/>
            <w:noWrap/>
            <w:vAlign w:val="center"/>
          </w:tcPr>
          <w:p>
            <w:pPr>
              <w:widowControl/>
              <w:adjustRightInd w:val="0"/>
              <w:snapToGrid w:val="0"/>
              <w:jc w:val="center"/>
              <w:rPr>
                <w:szCs w:val="21"/>
              </w:rPr>
            </w:pPr>
            <w:r>
              <w:rPr>
                <w:szCs w:val="21"/>
              </w:rPr>
              <w:t>透明，无异味</w:t>
            </w:r>
          </w:p>
        </w:tc>
        <w:tc>
          <w:tcPr>
            <w:tcW w:w="1009" w:type="dxa"/>
            <w:noWrap/>
            <w:vAlign w:val="center"/>
          </w:tcPr>
          <w:p>
            <w:pPr>
              <w:widowControl/>
              <w:adjustRightInd w:val="0"/>
              <w:snapToGrid w:val="0"/>
              <w:jc w:val="center"/>
              <w:rPr>
                <w:szCs w:val="21"/>
              </w:rPr>
            </w:pPr>
            <w:r>
              <w:rPr>
                <w:szCs w:val="21"/>
              </w:rPr>
              <w:t>透明，无异味</w:t>
            </w:r>
          </w:p>
        </w:tc>
        <w:tc>
          <w:tcPr>
            <w:tcW w:w="987" w:type="dxa"/>
            <w:noWrap/>
            <w:vAlign w:val="center"/>
          </w:tcPr>
          <w:p>
            <w:pPr>
              <w:widowControl/>
              <w:adjustRightInd w:val="0"/>
              <w:snapToGrid w:val="0"/>
              <w:jc w:val="center"/>
              <w:rPr>
                <w:szCs w:val="21"/>
              </w:rPr>
            </w:pPr>
            <w:r>
              <w:rPr>
                <w:szCs w:val="21"/>
              </w:rPr>
              <w:t>透明，无异味</w:t>
            </w:r>
          </w:p>
        </w:tc>
        <w:tc>
          <w:tcPr>
            <w:tcW w:w="622" w:type="dxa"/>
            <w:noWrap/>
            <w:vAlign w:val="center"/>
          </w:tcPr>
          <w:p>
            <w:pPr>
              <w:widowControl/>
              <w:adjustRightInd w:val="0"/>
              <w:snapToGrid w:val="0"/>
              <w:jc w:val="center"/>
              <w:rPr>
                <w:szCs w:val="21"/>
              </w:rPr>
            </w:pPr>
            <w:r>
              <w:rPr>
                <w:szCs w:val="21"/>
              </w:rPr>
              <w:t>/</w:t>
            </w:r>
          </w:p>
        </w:tc>
        <w:tc>
          <w:tcPr>
            <w:tcW w:w="723" w:type="dxa"/>
            <w:noWrap/>
            <w:vAlign w:val="center"/>
          </w:tcPr>
          <w:p>
            <w:pPr>
              <w:widowControl/>
              <w:adjustRightInd w:val="0"/>
              <w:snapToGrid w:val="0"/>
              <w:jc w:val="center"/>
              <w:rPr>
                <w:szCs w:val="21"/>
              </w:rPr>
            </w:pPr>
          </w:p>
        </w:tc>
        <w:tc>
          <w:tcPr>
            <w:tcW w:w="723" w:type="dxa"/>
            <w:noWrap/>
            <w:vAlign w:val="center"/>
          </w:tcPr>
          <w:p>
            <w:pPr>
              <w:widowControl/>
              <w:adjustRightInd w:val="0"/>
              <w:snapToGrid w:val="0"/>
              <w:jc w:val="center"/>
              <w:rPr>
                <w:szCs w:val="21"/>
              </w:rPr>
            </w:pPr>
          </w:p>
        </w:tc>
        <w:tc>
          <w:tcPr>
            <w:tcW w:w="723" w:type="dxa"/>
            <w:noWrap/>
            <w:vAlign w:val="center"/>
          </w:tcPr>
          <w:p>
            <w:pPr>
              <w:widowControl/>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水温（℃）</w:t>
            </w:r>
          </w:p>
        </w:tc>
        <w:tc>
          <w:tcPr>
            <w:tcW w:w="1004" w:type="dxa"/>
            <w:noWrap/>
            <w:vAlign w:val="center"/>
          </w:tcPr>
          <w:p>
            <w:pPr>
              <w:autoSpaceDE w:val="0"/>
              <w:autoSpaceDN w:val="0"/>
              <w:snapToGrid w:val="0"/>
              <w:jc w:val="center"/>
              <w:rPr>
                <w:szCs w:val="21"/>
              </w:rPr>
            </w:pPr>
            <w:r>
              <w:rPr>
                <w:szCs w:val="28"/>
              </w:rPr>
              <w:t>7.8</w:t>
            </w:r>
          </w:p>
        </w:tc>
        <w:tc>
          <w:tcPr>
            <w:tcW w:w="988" w:type="dxa"/>
            <w:noWrap/>
            <w:vAlign w:val="center"/>
          </w:tcPr>
          <w:p>
            <w:pPr>
              <w:autoSpaceDE w:val="0"/>
              <w:autoSpaceDN w:val="0"/>
              <w:snapToGrid w:val="0"/>
              <w:jc w:val="center"/>
              <w:rPr>
                <w:szCs w:val="21"/>
              </w:rPr>
            </w:pPr>
            <w:r>
              <w:rPr>
                <w:szCs w:val="28"/>
              </w:rPr>
              <w:t>9.2</w:t>
            </w:r>
          </w:p>
        </w:tc>
        <w:tc>
          <w:tcPr>
            <w:tcW w:w="1022" w:type="dxa"/>
            <w:noWrap/>
            <w:vAlign w:val="center"/>
          </w:tcPr>
          <w:p>
            <w:pPr>
              <w:autoSpaceDE w:val="0"/>
              <w:autoSpaceDN w:val="0"/>
              <w:snapToGrid w:val="0"/>
              <w:jc w:val="center"/>
              <w:rPr>
                <w:szCs w:val="21"/>
              </w:rPr>
            </w:pPr>
            <w:r>
              <w:rPr>
                <w:szCs w:val="28"/>
              </w:rPr>
              <w:t>9</w:t>
            </w:r>
          </w:p>
        </w:tc>
        <w:tc>
          <w:tcPr>
            <w:tcW w:w="982" w:type="dxa"/>
            <w:noWrap/>
            <w:vAlign w:val="center"/>
          </w:tcPr>
          <w:p>
            <w:pPr>
              <w:autoSpaceDE w:val="0"/>
              <w:autoSpaceDN w:val="0"/>
              <w:snapToGrid w:val="0"/>
              <w:jc w:val="center"/>
              <w:rPr>
                <w:szCs w:val="21"/>
              </w:rPr>
            </w:pPr>
            <w:r>
              <w:rPr>
                <w:szCs w:val="28"/>
              </w:rPr>
              <w:t>7</w:t>
            </w:r>
          </w:p>
        </w:tc>
        <w:tc>
          <w:tcPr>
            <w:tcW w:w="1009" w:type="dxa"/>
            <w:noWrap/>
            <w:vAlign w:val="center"/>
          </w:tcPr>
          <w:p>
            <w:pPr>
              <w:autoSpaceDE w:val="0"/>
              <w:autoSpaceDN w:val="0"/>
              <w:snapToGrid w:val="0"/>
              <w:jc w:val="center"/>
              <w:rPr>
                <w:szCs w:val="21"/>
              </w:rPr>
            </w:pPr>
            <w:r>
              <w:rPr>
                <w:szCs w:val="28"/>
              </w:rPr>
              <w:t>9</w:t>
            </w:r>
          </w:p>
        </w:tc>
        <w:tc>
          <w:tcPr>
            <w:tcW w:w="987" w:type="dxa"/>
            <w:noWrap/>
            <w:vAlign w:val="center"/>
          </w:tcPr>
          <w:p>
            <w:pPr>
              <w:autoSpaceDE w:val="0"/>
              <w:autoSpaceDN w:val="0"/>
              <w:snapToGrid w:val="0"/>
              <w:jc w:val="center"/>
              <w:rPr>
                <w:szCs w:val="21"/>
              </w:rPr>
            </w:pPr>
            <w:r>
              <w:rPr>
                <w:szCs w:val="28"/>
              </w:rPr>
              <w:t>6</w:t>
            </w:r>
          </w:p>
        </w:tc>
        <w:tc>
          <w:tcPr>
            <w:tcW w:w="622" w:type="dxa"/>
            <w:noWrap/>
            <w:vAlign w:val="center"/>
          </w:tcPr>
          <w:p>
            <w:pPr>
              <w:autoSpaceDE w:val="0"/>
              <w:autoSpaceDN w:val="0"/>
              <w:snapToGrid w:val="0"/>
              <w:jc w:val="center"/>
              <w:rPr>
                <w:szCs w:val="21"/>
              </w:rPr>
            </w:pPr>
            <w:r>
              <w:rPr>
                <w:szCs w:val="28"/>
              </w:rPr>
              <w:t>-</w:t>
            </w:r>
          </w:p>
        </w:tc>
        <w:tc>
          <w:tcPr>
            <w:tcW w:w="723" w:type="dxa"/>
            <w:noWrap/>
            <w:vAlign w:val="center"/>
          </w:tcPr>
          <w:p>
            <w:pPr>
              <w:widowControl/>
              <w:adjustRightInd w:val="0"/>
              <w:snapToGrid w:val="0"/>
              <w:jc w:val="center"/>
              <w:textAlignment w:val="center"/>
              <w:rPr>
                <w:szCs w:val="21"/>
              </w:rPr>
            </w:pPr>
            <w:r>
              <w:rPr>
                <w:kern w:val="0"/>
                <w:szCs w:val="21"/>
              </w:rPr>
              <w:t xml:space="preserve">8.00 </w:t>
            </w:r>
          </w:p>
        </w:tc>
        <w:tc>
          <w:tcPr>
            <w:tcW w:w="723" w:type="dxa"/>
            <w:noWrap/>
            <w:vAlign w:val="center"/>
          </w:tcPr>
          <w:p>
            <w:pPr>
              <w:widowControl/>
              <w:adjustRightInd w:val="0"/>
              <w:snapToGrid w:val="0"/>
              <w:jc w:val="center"/>
              <w:rPr>
                <w:szCs w:val="21"/>
              </w:rPr>
            </w:pPr>
          </w:p>
        </w:tc>
        <w:tc>
          <w:tcPr>
            <w:tcW w:w="723" w:type="dxa"/>
            <w:noWrap/>
            <w:vAlign w:val="center"/>
          </w:tcPr>
          <w:p>
            <w:pPr>
              <w:widowControl/>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pH值（无量纲）</w:t>
            </w:r>
          </w:p>
        </w:tc>
        <w:tc>
          <w:tcPr>
            <w:tcW w:w="1004" w:type="dxa"/>
            <w:noWrap/>
            <w:vAlign w:val="center"/>
          </w:tcPr>
          <w:p>
            <w:pPr>
              <w:autoSpaceDE w:val="0"/>
              <w:autoSpaceDN w:val="0"/>
              <w:snapToGrid w:val="0"/>
              <w:jc w:val="center"/>
              <w:rPr>
                <w:szCs w:val="21"/>
              </w:rPr>
            </w:pPr>
            <w:r>
              <w:rPr>
                <w:szCs w:val="28"/>
              </w:rPr>
              <w:t>8.91</w:t>
            </w:r>
          </w:p>
        </w:tc>
        <w:tc>
          <w:tcPr>
            <w:tcW w:w="988" w:type="dxa"/>
            <w:noWrap/>
            <w:vAlign w:val="center"/>
          </w:tcPr>
          <w:p>
            <w:pPr>
              <w:autoSpaceDE w:val="0"/>
              <w:autoSpaceDN w:val="0"/>
              <w:snapToGrid w:val="0"/>
              <w:jc w:val="center"/>
              <w:rPr>
                <w:szCs w:val="21"/>
              </w:rPr>
            </w:pPr>
            <w:r>
              <w:rPr>
                <w:szCs w:val="28"/>
              </w:rPr>
              <w:t>8.90</w:t>
            </w:r>
          </w:p>
        </w:tc>
        <w:tc>
          <w:tcPr>
            <w:tcW w:w="1022" w:type="dxa"/>
            <w:noWrap/>
            <w:vAlign w:val="center"/>
          </w:tcPr>
          <w:p>
            <w:pPr>
              <w:autoSpaceDE w:val="0"/>
              <w:autoSpaceDN w:val="0"/>
              <w:snapToGrid w:val="0"/>
              <w:jc w:val="center"/>
              <w:rPr>
                <w:szCs w:val="21"/>
              </w:rPr>
            </w:pPr>
            <w:r>
              <w:rPr>
                <w:szCs w:val="28"/>
              </w:rPr>
              <w:t>8.91</w:t>
            </w:r>
          </w:p>
        </w:tc>
        <w:tc>
          <w:tcPr>
            <w:tcW w:w="982" w:type="dxa"/>
            <w:noWrap/>
            <w:vAlign w:val="center"/>
          </w:tcPr>
          <w:p>
            <w:pPr>
              <w:autoSpaceDE w:val="0"/>
              <w:autoSpaceDN w:val="0"/>
              <w:snapToGrid w:val="0"/>
              <w:jc w:val="center"/>
              <w:rPr>
                <w:szCs w:val="21"/>
              </w:rPr>
            </w:pPr>
            <w:r>
              <w:rPr>
                <w:szCs w:val="28"/>
              </w:rPr>
              <w:t>8.76</w:t>
            </w:r>
          </w:p>
        </w:tc>
        <w:tc>
          <w:tcPr>
            <w:tcW w:w="1009" w:type="dxa"/>
            <w:noWrap/>
            <w:vAlign w:val="center"/>
          </w:tcPr>
          <w:p>
            <w:pPr>
              <w:autoSpaceDE w:val="0"/>
              <w:autoSpaceDN w:val="0"/>
              <w:snapToGrid w:val="0"/>
              <w:jc w:val="center"/>
              <w:rPr>
                <w:szCs w:val="21"/>
              </w:rPr>
            </w:pPr>
            <w:r>
              <w:rPr>
                <w:szCs w:val="28"/>
              </w:rPr>
              <w:t>8.98</w:t>
            </w:r>
          </w:p>
        </w:tc>
        <w:tc>
          <w:tcPr>
            <w:tcW w:w="987" w:type="dxa"/>
            <w:noWrap/>
            <w:vAlign w:val="center"/>
          </w:tcPr>
          <w:p>
            <w:pPr>
              <w:autoSpaceDE w:val="0"/>
              <w:autoSpaceDN w:val="0"/>
              <w:snapToGrid w:val="0"/>
              <w:jc w:val="center"/>
              <w:rPr>
                <w:szCs w:val="21"/>
              </w:rPr>
            </w:pPr>
            <w:r>
              <w:rPr>
                <w:szCs w:val="28"/>
              </w:rPr>
              <w:t>8.90</w:t>
            </w:r>
          </w:p>
        </w:tc>
        <w:tc>
          <w:tcPr>
            <w:tcW w:w="622" w:type="dxa"/>
            <w:noWrap/>
            <w:vAlign w:val="center"/>
          </w:tcPr>
          <w:p>
            <w:pPr>
              <w:autoSpaceDE w:val="0"/>
              <w:autoSpaceDN w:val="0"/>
              <w:snapToGrid w:val="0"/>
              <w:jc w:val="center"/>
              <w:rPr>
                <w:szCs w:val="21"/>
              </w:rPr>
            </w:pPr>
            <w:r>
              <w:rPr>
                <w:szCs w:val="28"/>
              </w:rPr>
              <w:t>6-9</w:t>
            </w:r>
          </w:p>
        </w:tc>
        <w:tc>
          <w:tcPr>
            <w:tcW w:w="723" w:type="dxa"/>
            <w:noWrap/>
            <w:vAlign w:val="center"/>
          </w:tcPr>
          <w:p>
            <w:pPr>
              <w:widowControl/>
              <w:adjustRightInd w:val="0"/>
              <w:snapToGrid w:val="0"/>
              <w:jc w:val="center"/>
              <w:textAlignment w:val="center"/>
              <w:rPr>
                <w:szCs w:val="21"/>
              </w:rPr>
            </w:pPr>
            <w:r>
              <w:rPr>
                <w:kern w:val="0"/>
                <w:szCs w:val="21"/>
              </w:rPr>
              <w:t xml:space="preserve">8.89 </w:t>
            </w:r>
          </w:p>
        </w:tc>
        <w:tc>
          <w:tcPr>
            <w:tcW w:w="723" w:type="dxa"/>
            <w:noWrap/>
            <w:vAlign w:val="center"/>
          </w:tcPr>
          <w:p>
            <w:pPr>
              <w:widowControl/>
              <w:adjustRightInd w:val="0"/>
              <w:snapToGrid w:val="0"/>
              <w:jc w:val="center"/>
              <w:rPr>
                <w:szCs w:val="21"/>
              </w:rPr>
            </w:pPr>
            <w:r>
              <w:rPr>
                <w:rFonts w:hint="eastAsia"/>
              </w:rPr>
              <w:t>0.95</w:t>
            </w:r>
          </w:p>
        </w:tc>
        <w:tc>
          <w:tcPr>
            <w:tcW w:w="723" w:type="dxa"/>
            <w:noWrap/>
            <w:vAlign w:val="center"/>
          </w:tcPr>
          <w:p>
            <w:pPr>
              <w:widowControl/>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溶解氧</w:t>
            </w:r>
          </w:p>
        </w:tc>
        <w:tc>
          <w:tcPr>
            <w:tcW w:w="1004" w:type="dxa"/>
            <w:noWrap/>
            <w:vAlign w:val="center"/>
          </w:tcPr>
          <w:p>
            <w:pPr>
              <w:autoSpaceDE w:val="0"/>
              <w:autoSpaceDN w:val="0"/>
              <w:snapToGrid w:val="0"/>
              <w:jc w:val="center"/>
              <w:rPr>
                <w:szCs w:val="21"/>
              </w:rPr>
            </w:pPr>
            <w:r>
              <w:rPr>
                <w:szCs w:val="28"/>
              </w:rPr>
              <w:t>5.64</w:t>
            </w:r>
          </w:p>
        </w:tc>
        <w:tc>
          <w:tcPr>
            <w:tcW w:w="988" w:type="dxa"/>
            <w:noWrap/>
            <w:vAlign w:val="center"/>
          </w:tcPr>
          <w:p>
            <w:pPr>
              <w:autoSpaceDE w:val="0"/>
              <w:autoSpaceDN w:val="0"/>
              <w:snapToGrid w:val="0"/>
              <w:jc w:val="center"/>
              <w:rPr>
                <w:szCs w:val="21"/>
              </w:rPr>
            </w:pPr>
            <w:r>
              <w:rPr>
                <w:szCs w:val="28"/>
              </w:rPr>
              <w:t>5.24</w:t>
            </w:r>
          </w:p>
        </w:tc>
        <w:tc>
          <w:tcPr>
            <w:tcW w:w="1022" w:type="dxa"/>
            <w:noWrap/>
            <w:vAlign w:val="center"/>
          </w:tcPr>
          <w:p>
            <w:pPr>
              <w:autoSpaceDE w:val="0"/>
              <w:autoSpaceDN w:val="0"/>
              <w:snapToGrid w:val="0"/>
              <w:jc w:val="center"/>
              <w:rPr>
                <w:szCs w:val="21"/>
              </w:rPr>
            </w:pPr>
            <w:r>
              <w:rPr>
                <w:szCs w:val="28"/>
              </w:rPr>
              <w:t>5.64</w:t>
            </w:r>
          </w:p>
        </w:tc>
        <w:tc>
          <w:tcPr>
            <w:tcW w:w="982" w:type="dxa"/>
            <w:noWrap/>
            <w:vAlign w:val="center"/>
          </w:tcPr>
          <w:p>
            <w:pPr>
              <w:autoSpaceDE w:val="0"/>
              <w:autoSpaceDN w:val="0"/>
              <w:snapToGrid w:val="0"/>
              <w:jc w:val="center"/>
              <w:rPr>
                <w:szCs w:val="21"/>
              </w:rPr>
            </w:pPr>
            <w:r>
              <w:rPr>
                <w:szCs w:val="28"/>
              </w:rPr>
              <w:t>5.45</w:t>
            </w:r>
          </w:p>
        </w:tc>
        <w:tc>
          <w:tcPr>
            <w:tcW w:w="1009" w:type="dxa"/>
            <w:noWrap/>
            <w:vAlign w:val="center"/>
          </w:tcPr>
          <w:p>
            <w:pPr>
              <w:autoSpaceDE w:val="0"/>
              <w:autoSpaceDN w:val="0"/>
              <w:snapToGrid w:val="0"/>
              <w:jc w:val="center"/>
              <w:rPr>
                <w:szCs w:val="21"/>
              </w:rPr>
            </w:pPr>
            <w:r>
              <w:rPr>
                <w:szCs w:val="28"/>
              </w:rPr>
              <w:t>5.35</w:t>
            </w:r>
          </w:p>
        </w:tc>
        <w:tc>
          <w:tcPr>
            <w:tcW w:w="987" w:type="dxa"/>
            <w:noWrap/>
            <w:vAlign w:val="center"/>
          </w:tcPr>
          <w:p>
            <w:pPr>
              <w:autoSpaceDE w:val="0"/>
              <w:autoSpaceDN w:val="0"/>
              <w:snapToGrid w:val="0"/>
              <w:jc w:val="center"/>
              <w:rPr>
                <w:szCs w:val="21"/>
              </w:rPr>
            </w:pPr>
            <w:r>
              <w:rPr>
                <w:szCs w:val="28"/>
              </w:rPr>
              <w:t>5.20</w:t>
            </w:r>
          </w:p>
        </w:tc>
        <w:tc>
          <w:tcPr>
            <w:tcW w:w="622" w:type="dxa"/>
            <w:noWrap/>
            <w:vAlign w:val="center"/>
          </w:tcPr>
          <w:p>
            <w:pPr>
              <w:autoSpaceDE w:val="0"/>
              <w:autoSpaceDN w:val="0"/>
              <w:snapToGrid w:val="0"/>
              <w:jc w:val="center"/>
              <w:rPr>
                <w:szCs w:val="21"/>
              </w:rPr>
            </w:pPr>
            <w:r>
              <w:rPr>
                <w:szCs w:val="28"/>
              </w:rPr>
              <w:t>≥5</w:t>
            </w:r>
          </w:p>
        </w:tc>
        <w:tc>
          <w:tcPr>
            <w:tcW w:w="723" w:type="dxa"/>
            <w:noWrap/>
            <w:vAlign w:val="center"/>
          </w:tcPr>
          <w:p>
            <w:pPr>
              <w:widowControl/>
              <w:adjustRightInd w:val="0"/>
              <w:snapToGrid w:val="0"/>
              <w:jc w:val="center"/>
              <w:textAlignment w:val="center"/>
              <w:rPr>
                <w:szCs w:val="21"/>
              </w:rPr>
            </w:pPr>
            <w:r>
              <w:rPr>
                <w:kern w:val="0"/>
                <w:szCs w:val="21"/>
              </w:rPr>
              <w:t xml:space="preserve">5.42 </w:t>
            </w:r>
          </w:p>
        </w:tc>
        <w:tc>
          <w:tcPr>
            <w:tcW w:w="723" w:type="dxa"/>
            <w:noWrap/>
            <w:vAlign w:val="center"/>
          </w:tcPr>
          <w:p>
            <w:pPr>
              <w:widowControl/>
              <w:adjustRightInd w:val="0"/>
              <w:snapToGrid w:val="0"/>
              <w:jc w:val="center"/>
              <w:textAlignment w:val="center"/>
              <w:rPr>
                <w:szCs w:val="21"/>
              </w:rPr>
            </w:pPr>
            <w:r>
              <w:rPr>
                <w:rFonts w:hint="eastAsia"/>
              </w:rPr>
              <w:t>0.94</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高锰酸盐指数</w:t>
            </w:r>
          </w:p>
        </w:tc>
        <w:tc>
          <w:tcPr>
            <w:tcW w:w="1004" w:type="dxa"/>
            <w:noWrap/>
            <w:vAlign w:val="center"/>
          </w:tcPr>
          <w:p>
            <w:pPr>
              <w:autoSpaceDE w:val="0"/>
              <w:autoSpaceDN w:val="0"/>
              <w:snapToGrid w:val="0"/>
              <w:jc w:val="center"/>
              <w:rPr>
                <w:szCs w:val="21"/>
              </w:rPr>
            </w:pPr>
            <w:r>
              <w:rPr>
                <w:szCs w:val="28"/>
              </w:rPr>
              <w:t>5.8</w:t>
            </w:r>
          </w:p>
        </w:tc>
        <w:tc>
          <w:tcPr>
            <w:tcW w:w="988" w:type="dxa"/>
            <w:noWrap/>
            <w:vAlign w:val="center"/>
          </w:tcPr>
          <w:p>
            <w:pPr>
              <w:autoSpaceDE w:val="0"/>
              <w:autoSpaceDN w:val="0"/>
              <w:snapToGrid w:val="0"/>
              <w:jc w:val="center"/>
              <w:rPr>
                <w:szCs w:val="21"/>
              </w:rPr>
            </w:pPr>
            <w:r>
              <w:rPr>
                <w:szCs w:val="28"/>
              </w:rPr>
              <w:t>5.4</w:t>
            </w:r>
          </w:p>
        </w:tc>
        <w:tc>
          <w:tcPr>
            <w:tcW w:w="1022" w:type="dxa"/>
            <w:noWrap/>
            <w:vAlign w:val="center"/>
          </w:tcPr>
          <w:p>
            <w:pPr>
              <w:autoSpaceDE w:val="0"/>
              <w:autoSpaceDN w:val="0"/>
              <w:snapToGrid w:val="0"/>
              <w:jc w:val="center"/>
              <w:rPr>
                <w:szCs w:val="21"/>
              </w:rPr>
            </w:pPr>
            <w:r>
              <w:rPr>
                <w:szCs w:val="28"/>
              </w:rPr>
              <w:t>5.9</w:t>
            </w:r>
          </w:p>
        </w:tc>
        <w:tc>
          <w:tcPr>
            <w:tcW w:w="982" w:type="dxa"/>
            <w:noWrap/>
            <w:vAlign w:val="center"/>
          </w:tcPr>
          <w:p>
            <w:pPr>
              <w:autoSpaceDE w:val="0"/>
              <w:autoSpaceDN w:val="0"/>
              <w:snapToGrid w:val="0"/>
              <w:jc w:val="center"/>
              <w:rPr>
                <w:szCs w:val="21"/>
              </w:rPr>
            </w:pPr>
            <w:r>
              <w:rPr>
                <w:szCs w:val="28"/>
              </w:rPr>
              <w:t>5.8</w:t>
            </w:r>
          </w:p>
        </w:tc>
        <w:tc>
          <w:tcPr>
            <w:tcW w:w="1009" w:type="dxa"/>
            <w:noWrap/>
            <w:vAlign w:val="center"/>
          </w:tcPr>
          <w:p>
            <w:pPr>
              <w:autoSpaceDE w:val="0"/>
              <w:autoSpaceDN w:val="0"/>
              <w:snapToGrid w:val="0"/>
              <w:jc w:val="center"/>
              <w:rPr>
                <w:szCs w:val="21"/>
              </w:rPr>
            </w:pPr>
            <w:r>
              <w:rPr>
                <w:szCs w:val="28"/>
              </w:rPr>
              <w:t>5.7</w:t>
            </w:r>
          </w:p>
        </w:tc>
        <w:tc>
          <w:tcPr>
            <w:tcW w:w="987" w:type="dxa"/>
            <w:noWrap/>
            <w:vAlign w:val="center"/>
          </w:tcPr>
          <w:p>
            <w:pPr>
              <w:autoSpaceDE w:val="0"/>
              <w:autoSpaceDN w:val="0"/>
              <w:snapToGrid w:val="0"/>
              <w:jc w:val="center"/>
              <w:rPr>
                <w:szCs w:val="21"/>
              </w:rPr>
            </w:pPr>
            <w:r>
              <w:rPr>
                <w:szCs w:val="28"/>
              </w:rPr>
              <w:t>5.5</w:t>
            </w:r>
          </w:p>
        </w:tc>
        <w:tc>
          <w:tcPr>
            <w:tcW w:w="622" w:type="dxa"/>
            <w:noWrap/>
            <w:vAlign w:val="center"/>
          </w:tcPr>
          <w:p>
            <w:pPr>
              <w:autoSpaceDE w:val="0"/>
              <w:autoSpaceDN w:val="0"/>
              <w:snapToGrid w:val="0"/>
              <w:jc w:val="center"/>
              <w:rPr>
                <w:szCs w:val="21"/>
              </w:rPr>
            </w:pPr>
            <w:r>
              <w:rPr>
                <w:szCs w:val="28"/>
              </w:rPr>
              <w:t>≤6</w:t>
            </w:r>
          </w:p>
        </w:tc>
        <w:tc>
          <w:tcPr>
            <w:tcW w:w="723" w:type="dxa"/>
            <w:noWrap/>
            <w:vAlign w:val="center"/>
          </w:tcPr>
          <w:p>
            <w:pPr>
              <w:widowControl/>
              <w:adjustRightInd w:val="0"/>
              <w:snapToGrid w:val="0"/>
              <w:jc w:val="center"/>
              <w:textAlignment w:val="center"/>
              <w:rPr>
                <w:szCs w:val="21"/>
              </w:rPr>
            </w:pPr>
            <w:r>
              <w:rPr>
                <w:kern w:val="0"/>
                <w:szCs w:val="21"/>
              </w:rPr>
              <w:t xml:space="preserve">5.68 </w:t>
            </w:r>
          </w:p>
        </w:tc>
        <w:tc>
          <w:tcPr>
            <w:tcW w:w="723" w:type="dxa"/>
            <w:noWrap/>
            <w:vAlign w:val="center"/>
          </w:tcPr>
          <w:p>
            <w:pPr>
              <w:widowControl/>
              <w:adjustRightInd w:val="0"/>
              <w:snapToGrid w:val="0"/>
              <w:jc w:val="center"/>
              <w:textAlignment w:val="center"/>
              <w:rPr>
                <w:szCs w:val="21"/>
              </w:rPr>
            </w:pPr>
            <w:r>
              <w:rPr>
                <w:kern w:val="0"/>
                <w:szCs w:val="21"/>
              </w:rPr>
              <w:t xml:space="preserve">0.95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化学需氧量（COD）</w:t>
            </w:r>
          </w:p>
        </w:tc>
        <w:tc>
          <w:tcPr>
            <w:tcW w:w="1004" w:type="dxa"/>
            <w:noWrap/>
            <w:vAlign w:val="center"/>
          </w:tcPr>
          <w:p>
            <w:pPr>
              <w:autoSpaceDE w:val="0"/>
              <w:autoSpaceDN w:val="0"/>
              <w:snapToGrid w:val="0"/>
              <w:jc w:val="center"/>
              <w:rPr>
                <w:szCs w:val="21"/>
              </w:rPr>
            </w:pPr>
            <w:r>
              <w:rPr>
                <w:szCs w:val="28"/>
              </w:rPr>
              <w:t>30</w:t>
            </w:r>
          </w:p>
        </w:tc>
        <w:tc>
          <w:tcPr>
            <w:tcW w:w="988" w:type="dxa"/>
            <w:noWrap/>
            <w:vAlign w:val="center"/>
          </w:tcPr>
          <w:p>
            <w:pPr>
              <w:autoSpaceDE w:val="0"/>
              <w:autoSpaceDN w:val="0"/>
              <w:snapToGrid w:val="0"/>
              <w:jc w:val="center"/>
              <w:rPr>
                <w:szCs w:val="21"/>
              </w:rPr>
            </w:pPr>
            <w:r>
              <w:rPr>
                <w:szCs w:val="28"/>
              </w:rPr>
              <w:t>32</w:t>
            </w:r>
          </w:p>
        </w:tc>
        <w:tc>
          <w:tcPr>
            <w:tcW w:w="1022" w:type="dxa"/>
            <w:noWrap/>
            <w:vAlign w:val="center"/>
          </w:tcPr>
          <w:p>
            <w:pPr>
              <w:autoSpaceDE w:val="0"/>
              <w:autoSpaceDN w:val="0"/>
              <w:snapToGrid w:val="0"/>
              <w:jc w:val="center"/>
              <w:rPr>
                <w:szCs w:val="21"/>
              </w:rPr>
            </w:pPr>
            <w:r>
              <w:rPr>
                <w:szCs w:val="28"/>
              </w:rPr>
              <w:t>30</w:t>
            </w:r>
          </w:p>
        </w:tc>
        <w:tc>
          <w:tcPr>
            <w:tcW w:w="982" w:type="dxa"/>
            <w:noWrap/>
            <w:vAlign w:val="center"/>
          </w:tcPr>
          <w:p>
            <w:pPr>
              <w:autoSpaceDE w:val="0"/>
              <w:autoSpaceDN w:val="0"/>
              <w:snapToGrid w:val="0"/>
              <w:jc w:val="center"/>
              <w:rPr>
                <w:szCs w:val="21"/>
              </w:rPr>
            </w:pPr>
            <w:r>
              <w:rPr>
                <w:szCs w:val="28"/>
              </w:rPr>
              <w:t>30</w:t>
            </w:r>
          </w:p>
        </w:tc>
        <w:tc>
          <w:tcPr>
            <w:tcW w:w="1009" w:type="dxa"/>
            <w:noWrap/>
            <w:vAlign w:val="center"/>
          </w:tcPr>
          <w:p>
            <w:pPr>
              <w:autoSpaceDE w:val="0"/>
              <w:autoSpaceDN w:val="0"/>
              <w:snapToGrid w:val="0"/>
              <w:jc w:val="center"/>
              <w:rPr>
                <w:szCs w:val="21"/>
              </w:rPr>
            </w:pPr>
            <w:r>
              <w:rPr>
                <w:szCs w:val="28"/>
              </w:rPr>
              <w:t>29</w:t>
            </w:r>
          </w:p>
        </w:tc>
        <w:tc>
          <w:tcPr>
            <w:tcW w:w="987" w:type="dxa"/>
            <w:noWrap/>
            <w:vAlign w:val="center"/>
          </w:tcPr>
          <w:p>
            <w:pPr>
              <w:autoSpaceDE w:val="0"/>
              <w:autoSpaceDN w:val="0"/>
              <w:snapToGrid w:val="0"/>
              <w:jc w:val="center"/>
              <w:rPr>
                <w:szCs w:val="21"/>
              </w:rPr>
            </w:pPr>
            <w:r>
              <w:rPr>
                <w:szCs w:val="28"/>
              </w:rPr>
              <w:t>29</w:t>
            </w:r>
          </w:p>
        </w:tc>
        <w:tc>
          <w:tcPr>
            <w:tcW w:w="622" w:type="dxa"/>
            <w:noWrap/>
            <w:vAlign w:val="center"/>
          </w:tcPr>
          <w:p>
            <w:pPr>
              <w:autoSpaceDE w:val="0"/>
              <w:autoSpaceDN w:val="0"/>
              <w:snapToGrid w:val="0"/>
              <w:jc w:val="center"/>
              <w:rPr>
                <w:szCs w:val="21"/>
              </w:rPr>
            </w:pPr>
            <w:r>
              <w:rPr>
                <w:szCs w:val="28"/>
              </w:rPr>
              <w:t>≤20</w:t>
            </w:r>
          </w:p>
        </w:tc>
        <w:tc>
          <w:tcPr>
            <w:tcW w:w="723" w:type="dxa"/>
            <w:noWrap/>
            <w:vAlign w:val="center"/>
          </w:tcPr>
          <w:p>
            <w:pPr>
              <w:widowControl/>
              <w:adjustRightInd w:val="0"/>
              <w:snapToGrid w:val="0"/>
              <w:jc w:val="center"/>
              <w:textAlignment w:val="center"/>
              <w:rPr>
                <w:szCs w:val="21"/>
              </w:rPr>
            </w:pPr>
            <w:r>
              <w:rPr>
                <w:kern w:val="0"/>
                <w:szCs w:val="21"/>
              </w:rPr>
              <w:t xml:space="preserve">30.00 </w:t>
            </w:r>
          </w:p>
        </w:tc>
        <w:tc>
          <w:tcPr>
            <w:tcW w:w="723" w:type="dxa"/>
            <w:noWrap/>
            <w:vAlign w:val="center"/>
          </w:tcPr>
          <w:p>
            <w:pPr>
              <w:widowControl/>
              <w:adjustRightInd w:val="0"/>
              <w:snapToGrid w:val="0"/>
              <w:jc w:val="center"/>
              <w:textAlignment w:val="center"/>
              <w:rPr>
                <w:szCs w:val="21"/>
              </w:rPr>
            </w:pPr>
            <w:r>
              <w:rPr>
                <w:kern w:val="0"/>
                <w:szCs w:val="21"/>
              </w:rPr>
              <w:t xml:space="preserve">1.50 </w:t>
            </w:r>
          </w:p>
        </w:tc>
        <w:tc>
          <w:tcPr>
            <w:tcW w:w="723" w:type="dxa"/>
            <w:noWrap/>
            <w:vAlign w:val="center"/>
          </w:tcPr>
          <w:p>
            <w:pPr>
              <w:adjustRightInd w:val="0"/>
              <w:snapToGrid w:val="0"/>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五日生化需氧量（BOD</w:t>
            </w:r>
            <w:r>
              <w:rPr>
                <w:szCs w:val="28"/>
                <w:vertAlign w:val="subscript"/>
              </w:rPr>
              <w:t>5</w:t>
            </w:r>
            <w:r>
              <w:rPr>
                <w:szCs w:val="28"/>
              </w:rPr>
              <w:t>）</w:t>
            </w:r>
          </w:p>
        </w:tc>
        <w:tc>
          <w:tcPr>
            <w:tcW w:w="1004" w:type="dxa"/>
            <w:noWrap/>
            <w:vAlign w:val="center"/>
          </w:tcPr>
          <w:p>
            <w:pPr>
              <w:autoSpaceDE w:val="0"/>
              <w:autoSpaceDN w:val="0"/>
              <w:snapToGrid w:val="0"/>
              <w:jc w:val="center"/>
              <w:rPr>
                <w:szCs w:val="21"/>
              </w:rPr>
            </w:pPr>
            <w:r>
              <w:rPr>
                <w:szCs w:val="28"/>
              </w:rPr>
              <w:t>2.6</w:t>
            </w:r>
          </w:p>
        </w:tc>
        <w:tc>
          <w:tcPr>
            <w:tcW w:w="988" w:type="dxa"/>
            <w:noWrap/>
            <w:vAlign w:val="center"/>
          </w:tcPr>
          <w:p>
            <w:pPr>
              <w:autoSpaceDE w:val="0"/>
              <w:autoSpaceDN w:val="0"/>
              <w:snapToGrid w:val="0"/>
              <w:jc w:val="center"/>
              <w:rPr>
                <w:szCs w:val="21"/>
              </w:rPr>
            </w:pPr>
            <w:r>
              <w:rPr>
                <w:szCs w:val="28"/>
              </w:rPr>
              <w:t>2.8</w:t>
            </w:r>
          </w:p>
        </w:tc>
        <w:tc>
          <w:tcPr>
            <w:tcW w:w="1022" w:type="dxa"/>
            <w:noWrap/>
            <w:vAlign w:val="center"/>
          </w:tcPr>
          <w:p>
            <w:pPr>
              <w:autoSpaceDE w:val="0"/>
              <w:autoSpaceDN w:val="0"/>
              <w:snapToGrid w:val="0"/>
              <w:jc w:val="center"/>
              <w:rPr>
                <w:szCs w:val="21"/>
              </w:rPr>
            </w:pPr>
            <w:r>
              <w:rPr>
                <w:szCs w:val="28"/>
              </w:rPr>
              <w:t>3.2</w:t>
            </w:r>
          </w:p>
        </w:tc>
        <w:tc>
          <w:tcPr>
            <w:tcW w:w="982" w:type="dxa"/>
            <w:noWrap/>
            <w:vAlign w:val="center"/>
          </w:tcPr>
          <w:p>
            <w:pPr>
              <w:autoSpaceDE w:val="0"/>
              <w:autoSpaceDN w:val="0"/>
              <w:snapToGrid w:val="0"/>
              <w:jc w:val="center"/>
              <w:rPr>
                <w:szCs w:val="21"/>
              </w:rPr>
            </w:pPr>
            <w:r>
              <w:rPr>
                <w:szCs w:val="28"/>
              </w:rPr>
              <w:t>3.6</w:t>
            </w:r>
          </w:p>
        </w:tc>
        <w:tc>
          <w:tcPr>
            <w:tcW w:w="1009" w:type="dxa"/>
            <w:noWrap/>
            <w:vAlign w:val="center"/>
          </w:tcPr>
          <w:p>
            <w:pPr>
              <w:autoSpaceDE w:val="0"/>
              <w:autoSpaceDN w:val="0"/>
              <w:snapToGrid w:val="0"/>
              <w:jc w:val="center"/>
              <w:rPr>
                <w:szCs w:val="21"/>
              </w:rPr>
            </w:pPr>
            <w:r>
              <w:rPr>
                <w:szCs w:val="28"/>
              </w:rPr>
              <w:t>4.0</w:t>
            </w:r>
          </w:p>
        </w:tc>
        <w:tc>
          <w:tcPr>
            <w:tcW w:w="987" w:type="dxa"/>
            <w:noWrap/>
            <w:vAlign w:val="center"/>
          </w:tcPr>
          <w:p>
            <w:pPr>
              <w:autoSpaceDE w:val="0"/>
              <w:autoSpaceDN w:val="0"/>
              <w:snapToGrid w:val="0"/>
              <w:jc w:val="center"/>
              <w:rPr>
                <w:szCs w:val="21"/>
              </w:rPr>
            </w:pPr>
            <w:r>
              <w:rPr>
                <w:szCs w:val="28"/>
              </w:rPr>
              <w:t>4.3</w:t>
            </w:r>
          </w:p>
        </w:tc>
        <w:tc>
          <w:tcPr>
            <w:tcW w:w="622" w:type="dxa"/>
            <w:noWrap/>
            <w:vAlign w:val="center"/>
          </w:tcPr>
          <w:p>
            <w:pPr>
              <w:autoSpaceDE w:val="0"/>
              <w:autoSpaceDN w:val="0"/>
              <w:snapToGrid w:val="0"/>
              <w:jc w:val="center"/>
              <w:rPr>
                <w:szCs w:val="21"/>
              </w:rPr>
            </w:pPr>
            <w:r>
              <w:rPr>
                <w:szCs w:val="28"/>
              </w:rPr>
              <w:t>≤4</w:t>
            </w:r>
          </w:p>
        </w:tc>
        <w:tc>
          <w:tcPr>
            <w:tcW w:w="723" w:type="dxa"/>
            <w:noWrap/>
            <w:vAlign w:val="center"/>
          </w:tcPr>
          <w:p>
            <w:pPr>
              <w:widowControl/>
              <w:adjustRightInd w:val="0"/>
              <w:snapToGrid w:val="0"/>
              <w:jc w:val="center"/>
              <w:textAlignment w:val="center"/>
              <w:rPr>
                <w:szCs w:val="21"/>
              </w:rPr>
            </w:pPr>
            <w:r>
              <w:rPr>
                <w:kern w:val="0"/>
                <w:szCs w:val="21"/>
              </w:rPr>
              <w:t xml:space="preserve">3.42 </w:t>
            </w:r>
          </w:p>
        </w:tc>
        <w:tc>
          <w:tcPr>
            <w:tcW w:w="723" w:type="dxa"/>
            <w:noWrap/>
            <w:vAlign w:val="center"/>
          </w:tcPr>
          <w:p>
            <w:pPr>
              <w:widowControl/>
              <w:adjustRightInd w:val="0"/>
              <w:snapToGrid w:val="0"/>
              <w:jc w:val="center"/>
              <w:textAlignment w:val="center"/>
              <w:rPr>
                <w:szCs w:val="21"/>
              </w:rPr>
            </w:pPr>
            <w:r>
              <w:rPr>
                <w:kern w:val="0"/>
                <w:szCs w:val="21"/>
              </w:rPr>
              <w:t xml:space="preserve">0.85 </w:t>
            </w:r>
          </w:p>
        </w:tc>
        <w:tc>
          <w:tcPr>
            <w:tcW w:w="723" w:type="dxa"/>
            <w:noWrap/>
            <w:vAlign w:val="center"/>
          </w:tcPr>
          <w:p>
            <w:pPr>
              <w:adjustRightInd w:val="0"/>
              <w:snapToGrid w:val="0"/>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氨氮（NH</w:t>
            </w:r>
            <w:r>
              <w:rPr>
                <w:szCs w:val="28"/>
                <w:vertAlign w:val="subscript"/>
              </w:rPr>
              <w:t>3</w:t>
            </w:r>
            <w:r>
              <w:rPr>
                <w:szCs w:val="28"/>
              </w:rPr>
              <w:t>-N）</w:t>
            </w:r>
          </w:p>
        </w:tc>
        <w:tc>
          <w:tcPr>
            <w:tcW w:w="1004" w:type="dxa"/>
            <w:noWrap/>
            <w:vAlign w:val="center"/>
          </w:tcPr>
          <w:p>
            <w:pPr>
              <w:autoSpaceDE w:val="0"/>
              <w:autoSpaceDN w:val="0"/>
              <w:snapToGrid w:val="0"/>
              <w:jc w:val="center"/>
              <w:rPr>
                <w:szCs w:val="21"/>
              </w:rPr>
            </w:pPr>
            <w:r>
              <w:rPr>
                <w:szCs w:val="28"/>
              </w:rPr>
              <w:t>0.126</w:t>
            </w:r>
          </w:p>
        </w:tc>
        <w:tc>
          <w:tcPr>
            <w:tcW w:w="988" w:type="dxa"/>
            <w:noWrap/>
            <w:vAlign w:val="center"/>
          </w:tcPr>
          <w:p>
            <w:pPr>
              <w:autoSpaceDE w:val="0"/>
              <w:autoSpaceDN w:val="0"/>
              <w:snapToGrid w:val="0"/>
              <w:jc w:val="center"/>
              <w:rPr>
                <w:szCs w:val="21"/>
              </w:rPr>
            </w:pPr>
            <w:r>
              <w:rPr>
                <w:szCs w:val="28"/>
              </w:rPr>
              <w:t>0.229</w:t>
            </w:r>
          </w:p>
        </w:tc>
        <w:tc>
          <w:tcPr>
            <w:tcW w:w="1022" w:type="dxa"/>
            <w:noWrap/>
            <w:vAlign w:val="center"/>
          </w:tcPr>
          <w:p>
            <w:pPr>
              <w:autoSpaceDE w:val="0"/>
              <w:autoSpaceDN w:val="0"/>
              <w:snapToGrid w:val="0"/>
              <w:jc w:val="center"/>
              <w:rPr>
                <w:szCs w:val="21"/>
              </w:rPr>
            </w:pPr>
            <w:r>
              <w:rPr>
                <w:szCs w:val="28"/>
              </w:rPr>
              <w:t>0.136</w:t>
            </w:r>
          </w:p>
        </w:tc>
        <w:tc>
          <w:tcPr>
            <w:tcW w:w="982" w:type="dxa"/>
            <w:noWrap/>
            <w:vAlign w:val="center"/>
          </w:tcPr>
          <w:p>
            <w:pPr>
              <w:autoSpaceDE w:val="0"/>
              <w:autoSpaceDN w:val="0"/>
              <w:snapToGrid w:val="0"/>
              <w:jc w:val="center"/>
              <w:rPr>
                <w:szCs w:val="21"/>
              </w:rPr>
            </w:pPr>
            <w:r>
              <w:rPr>
                <w:szCs w:val="28"/>
              </w:rPr>
              <w:t>0.219</w:t>
            </w:r>
          </w:p>
        </w:tc>
        <w:tc>
          <w:tcPr>
            <w:tcW w:w="1009" w:type="dxa"/>
            <w:noWrap/>
            <w:vAlign w:val="center"/>
          </w:tcPr>
          <w:p>
            <w:pPr>
              <w:autoSpaceDE w:val="0"/>
              <w:autoSpaceDN w:val="0"/>
              <w:snapToGrid w:val="0"/>
              <w:jc w:val="center"/>
              <w:rPr>
                <w:szCs w:val="21"/>
              </w:rPr>
            </w:pPr>
            <w:r>
              <w:rPr>
                <w:szCs w:val="28"/>
              </w:rPr>
              <w:t>0.133</w:t>
            </w:r>
          </w:p>
        </w:tc>
        <w:tc>
          <w:tcPr>
            <w:tcW w:w="987" w:type="dxa"/>
            <w:noWrap/>
            <w:vAlign w:val="center"/>
          </w:tcPr>
          <w:p>
            <w:pPr>
              <w:autoSpaceDE w:val="0"/>
              <w:autoSpaceDN w:val="0"/>
              <w:snapToGrid w:val="0"/>
              <w:jc w:val="center"/>
              <w:rPr>
                <w:szCs w:val="21"/>
              </w:rPr>
            </w:pPr>
            <w:r>
              <w:rPr>
                <w:szCs w:val="28"/>
              </w:rPr>
              <w:t>0.156</w:t>
            </w:r>
          </w:p>
        </w:tc>
        <w:tc>
          <w:tcPr>
            <w:tcW w:w="622" w:type="dxa"/>
            <w:noWrap/>
            <w:vAlign w:val="center"/>
          </w:tcPr>
          <w:p>
            <w:pPr>
              <w:autoSpaceDE w:val="0"/>
              <w:autoSpaceDN w:val="0"/>
              <w:snapToGrid w:val="0"/>
              <w:jc w:val="center"/>
              <w:rPr>
                <w:szCs w:val="21"/>
              </w:rPr>
            </w:pPr>
            <w:r>
              <w:rPr>
                <w:szCs w:val="28"/>
              </w:rPr>
              <w:t>≤1.0</w:t>
            </w:r>
          </w:p>
        </w:tc>
        <w:tc>
          <w:tcPr>
            <w:tcW w:w="723" w:type="dxa"/>
            <w:noWrap/>
            <w:vAlign w:val="center"/>
          </w:tcPr>
          <w:p>
            <w:pPr>
              <w:widowControl/>
              <w:adjustRightInd w:val="0"/>
              <w:snapToGrid w:val="0"/>
              <w:jc w:val="center"/>
              <w:textAlignment w:val="center"/>
              <w:rPr>
                <w:szCs w:val="21"/>
              </w:rPr>
            </w:pPr>
            <w:r>
              <w:rPr>
                <w:kern w:val="0"/>
                <w:szCs w:val="21"/>
              </w:rPr>
              <w:t xml:space="preserve">0.17 </w:t>
            </w:r>
          </w:p>
        </w:tc>
        <w:tc>
          <w:tcPr>
            <w:tcW w:w="723" w:type="dxa"/>
            <w:noWrap/>
            <w:vAlign w:val="center"/>
          </w:tcPr>
          <w:p>
            <w:pPr>
              <w:widowControl/>
              <w:adjustRightInd w:val="0"/>
              <w:snapToGrid w:val="0"/>
              <w:jc w:val="center"/>
              <w:textAlignment w:val="center"/>
              <w:rPr>
                <w:szCs w:val="21"/>
              </w:rPr>
            </w:pPr>
            <w:r>
              <w:rPr>
                <w:kern w:val="0"/>
                <w:szCs w:val="21"/>
              </w:rPr>
              <w:t xml:space="preserve">0.17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总磷（以P计）</w:t>
            </w:r>
          </w:p>
        </w:tc>
        <w:tc>
          <w:tcPr>
            <w:tcW w:w="1004" w:type="dxa"/>
            <w:noWrap/>
            <w:vAlign w:val="center"/>
          </w:tcPr>
          <w:p>
            <w:pPr>
              <w:autoSpaceDE w:val="0"/>
              <w:autoSpaceDN w:val="0"/>
              <w:snapToGrid w:val="0"/>
              <w:jc w:val="center"/>
              <w:rPr>
                <w:szCs w:val="21"/>
              </w:rPr>
            </w:pPr>
            <w:r>
              <w:rPr>
                <w:szCs w:val="28"/>
              </w:rPr>
              <w:t>0.09</w:t>
            </w:r>
          </w:p>
        </w:tc>
        <w:tc>
          <w:tcPr>
            <w:tcW w:w="988" w:type="dxa"/>
            <w:noWrap/>
            <w:vAlign w:val="center"/>
          </w:tcPr>
          <w:p>
            <w:pPr>
              <w:autoSpaceDE w:val="0"/>
              <w:autoSpaceDN w:val="0"/>
              <w:snapToGrid w:val="0"/>
              <w:jc w:val="center"/>
              <w:rPr>
                <w:szCs w:val="21"/>
              </w:rPr>
            </w:pPr>
            <w:r>
              <w:rPr>
                <w:szCs w:val="28"/>
              </w:rPr>
              <w:t>0.10</w:t>
            </w:r>
          </w:p>
        </w:tc>
        <w:tc>
          <w:tcPr>
            <w:tcW w:w="1022" w:type="dxa"/>
            <w:noWrap/>
            <w:vAlign w:val="center"/>
          </w:tcPr>
          <w:p>
            <w:pPr>
              <w:autoSpaceDE w:val="0"/>
              <w:autoSpaceDN w:val="0"/>
              <w:snapToGrid w:val="0"/>
              <w:jc w:val="center"/>
              <w:rPr>
                <w:szCs w:val="21"/>
              </w:rPr>
            </w:pPr>
            <w:r>
              <w:rPr>
                <w:szCs w:val="28"/>
              </w:rPr>
              <w:t>0.08</w:t>
            </w:r>
          </w:p>
        </w:tc>
        <w:tc>
          <w:tcPr>
            <w:tcW w:w="982" w:type="dxa"/>
            <w:noWrap/>
            <w:vAlign w:val="center"/>
          </w:tcPr>
          <w:p>
            <w:pPr>
              <w:autoSpaceDE w:val="0"/>
              <w:autoSpaceDN w:val="0"/>
              <w:snapToGrid w:val="0"/>
              <w:jc w:val="center"/>
              <w:rPr>
                <w:szCs w:val="21"/>
              </w:rPr>
            </w:pPr>
            <w:r>
              <w:rPr>
                <w:szCs w:val="28"/>
              </w:rPr>
              <w:t>0.07</w:t>
            </w:r>
          </w:p>
        </w:tc>
        <w:tc>
          <w:tcPr>
            <w:tcW w:w="1009" w:type="dxa"/>
            <w:noWrap/>
            <w:vAlign w:val="center"/>
          </w:tcPr>
          <w:p>
            <w:pPr>
              <w:autoSpaceDE w:val="0"/>
              <w:autoSpaceDN w:val="0"/>
              <w:snapToGrid w:val="0"/>
              <w:jc w:val="center"/>
              <w:rPr>
                <w:szCs w:val="21"/>
              </w:rPr>
            </w:pPr>
            <w:r>
              <w:rPr>
                <w:szCs w:val="28"/>
              </w:rPr>
              <w:t>0.07</w:t>
            </w:r>
          </w:p>
        </w:tc>
        <w:tc>
          <w:tcPr>
            <w:tcW w:w="987" w:type="dxa"/>
            <w:noWrap/>
            <w:vAlign w:val="center"/>
          </w:tcPr>
          <w:p>
            <w:pPr>
              <w:autoSpaceDE w:val="0"/>
              <w:autoSpaceDN w:val="0"/>
              <w:snapToGrid w:val="0"/>
              <w:jc w:val="center"/>
              <w:rPr>
                <w:szCs w:val="21"/>
              </w:rPr>
            </w:pPr>
            <w:r>
              <w:rPr>
                <w:szCs w:val="28"/>
              </w:rPr>
              <w:t>0.07</w:t>
            </w:r>
          </w:p>
        </w:tc>
        <w:tc>
          <w:tcPr>
            <w:tcW w:w="622" w:type="dxa"/>
            <w:noWrap/>
            <w:vAlign w:val="center"/>
          </w:tcPr>
          <w:p>
            <w:pPr>
              <w:autoSpaceDE w:val="0"/>
              <w:autoSpaceDN w:val="0"/>
              <w:snapToGrid w:val="0"/>
              <w:jc w:val="center"/>
              <w:rPr>
                <w:szCs w:val="21"/>
              </w:rPr>
            </w:pPr>
            <w:r>
              <w:rPr>
                <w:szCs w:val="28"/>
              </w:rPr>
              <w:t>≤0.05（湖、库）</w:t>
            </w:r>
          </w:p>
        </w:tc>
        <w:tc>
          <w:tcPr>
            <w:tcW w:w="723" w:type="dxa"/>
            <w:noWrap/>
            <w:vAlign w:val="center"/>
          </w:tcPr>
          <w:p>
            <w:pPr>
              <w:widowControl/>
              <w:adjustRightInd w:val="0"/>
              <w:snapToGrid w:val="0"/>
              <w:jc w:val="center"/>
              <w:textAlignment w:val="center"/>
              <w:rPr>
                <w:szCs w:val="21"/>
              </w:rPr>
            </w:pPr>
            <w:r>
              <w:rPr>
                <w:kern w:val="0"/>
                <w:szCs w:val="21"/>
              </w:rPr>
              <w:t xml:space="preserve">0.08 </w:t>
            </w:r>
          </w:p>
        </w:tc>
        <w:tc>
          <w:tcPr>
            <w:tcW w:w="723" w:type="dxa"/>
            <w:noWrap/>
            <w:vAlign w:val="center"/>
          </w:tcPr>
          <w:p>
            <w:pPr>
              <w:widowControl/>
              <w:adjustRightInd w:val="0"/>
              <w:snapToGrid w:val="0"/>
              <w:jc w:val="center"/>
              <w:textAlignment w:val="center"/>
              <w:rPr>
                <w:szCs w:val="21"/>
              </w:rPr>
            </w:pPr>
            <w:r>
              <w:rPr>
                <w:kern w:val="0"/>
                <w:szCs w:val="21"/>
              </w:rPr>
              <w:t xml:space="preserve">1.60 </w:t>
            </w:r>
          </w:p>
        </w:tc>
        <w:tc>
          <w:tcPr>
            <w:tcW w:w="723" w:type="dxa"/>
            <w:noWrap/>
            <w:vAlign w:val="center"/>
          </w:tcPr>
          <w:p>
            <w:pPr>
              <w:adjustRightInd w:val="0"/>
              <w:snapToGrid w:val="0"/>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总氮（湖、库，以N计）</w:t>
            </w:r>
          </w:p>
        </w:tc>
        <w:tc>
          <w:tcPr>
            <w:tcW w:w="1004" w:type="dxa"/>
            <w:noWrap/>
            <w:vAlign w:val="center"/>
          </w:tcPr>
          <w:p>
            <w:pPr>
              <w:autoSpaceDE w:val="0"/>
              <w:autoSpaceDN w:val="0"/>
              <w:snapToGrid w:val="0"/>
              <w:jc w:val="center"/>
              <w:rPr>
                <w:szCs w:val="21"/>
              </w:rPr>
            </w:pPr>
            <w:r>
              <w:rPr>
                <w:szCs w:val="28"/>
              </w:rPr>
              <w:t>0.409</w:t>
            </w:r>
          </w:p>
        </w:tc>
        <w:tc>
          <w:tcPr>
            <w:tcW w:w="988" w:type="dxa"/>
            <w:noWrap/>
            <w:vAlign w:val="center"/>
          </w:tcPr>
          <w:p>
            <w:pPr>
              <w:autoSpaceDE w:val="0"/>
              <w:autoSpaceDN w:val="0"/>
              <w:snapToGrid w:val="0"/>
              <w:jc w:val="center"/>
              <w:rPr>
                <w:szCs w:val="21"/>
              </w:rPr>
            </w:pPr>
            <w:r>
              <w:rPr>
                <w:szCs w:val="28"/>
              </w:rPr>
              <w:t>1.30</w:t>
            </w:r>
          </w:p>
        </w:tc>
        <w:tc>
          <w:tcPr>
            <w:tcW w:w="1022" w:type="dxa"/>
            <w:noWrap/>
            <w:vAlign w:val="center"/>
          </w:tcPr>
          <w:p>
            <w:pPr>
              <w:autoSpaceDE w:val="0"/>
              <w:autoSpaceDN w:val="0"/>
              <w:snapToGrid w:val="0"/>
              <w:jc w:val="center"/>
              <w:rPr>
                <w:szCs w:val="21"/>
              </w:rPr>
            </w:pPr>
            <w:r>
              <w:rPr>
                <w:szCs w:val="28"/>
              </w:rPr>
              <w:t>0.159</w:t>
            </w:r>
          </w:p>
        </w:tc>
        <w:tc>
          <w:tcPr>
            <w:tcW w:w="982" w:type="dxa"/>
            <w:noWrap/>
            <w:vAlign w:val="center"/>
          </w:tcPr>
          <w:p>
            <w:pPr>
              <w:autoSpaceDE w:val="0"/>
              <w:autoSpaceDN w:val="0"/>
              <w:snapToGrid w:val="0"/>
              <w:jc w:val="center"/>
              <w:rPr>
                <w:szCs w:val="21"/>
              </w:rPr>
            </w:pPr>
            <w:r>
              <w:rPr>
                <w:szCs w:val="28"/>
              </w:rPr>
              <w:t>0.409</w:t>
            </w:r>
          </w:p>
        </w:tc>
        <w:tc>
          <w:tcPr>
            <w:tcW w:w="1009" w:type="dxa"/>
            <w:noWrap/>
            <w:vAlign w:val="center"/>
          </w:tcPr>
          <w:p>
            <w:pPr>
              <w:autoSpaceDE w:val="0"/>
              <w:autoSpaceDN w:val="0"/>
              <w:snapToGrid w:val="0"/>
              <w:jc w:val="center"/>
              <w:rPr>
                <w:szCs w:val="21"/>
              </w:rPr>
            </w:pPr>
            <w:r>
              <w:rPr>
                <w:szCs w:val="28"/>
              </w:rPr>
              <w:t>0.808</w:t>
            </w:r>
          </w:p>
        </w:tc>
        <w:tc>
          <w:tcPr>
            <w:tcW w:w="987" w:type="dxa"/>
            <w:noWrap/>
            <w:vAlign w:val="center"/>
          </w:tcPr>
          <w:p>
            <w:pPr>
              <w:autoSpaceDE w:val="0"/>
              <w:autoSpaceDN w:val="0"/>
              <w:snapToGrid w:val="0"/>
              <w:jc w:val="center"/>
              <w:rPr>
                <w:szCs w:val="21"/>
              </w:rPr>
            </w:pPr>
            <w:r>
              <w:rPr>
                <w:szCs w:val="28"/>
              </w:rPr>
              <w:t>0.858</w:t>
            </w:r>
          </w:p>
        </w:tc>
        <w:tc>
          <w:tcPr>
            <w:tcW w:w="622" w:type="dxa"/>
            <w:noWrap/>
            <w:vAlign w:val="center"/>
          </w:tcPr>
          <w:p>
            <w:pPr>
              <w:autoSpaceDE w:val="0"/>
              <w:autoSpaceDN w:val="0"/>
              <w:snapToGrid w:val="0"/>
              <w:jc w:val="center"/>
              <w:rPr>
                <w:szCs w:val="21"/>
              </w:rPr>
            </w:pPr>
            <w:r>
              <w:rPr>
                <w:szCs w:val="28"/>
              </w:rPr>
              <w:t>≤1.0</w:t>
            </w:r>
          </w:p>
        </w:tc>
        <w:tc>
          <w:tcPr>
            <w:tcW w:w="723" w:type="dxa"/>
            <w:noWrap/>
            <w:vAlign w:val="center"/>
          </w:tcPr>
          <w:p>
            <w:pPr>
              <w:widowControl/>
              <w:adjustRightInd w:val="0"/>
              <w:snapToGrid w:val="0"/>
              <w:jc w:val="center"/>
              <w:textAlignment w:val="center"/>
              <w:rPr>
                <w:szCs w:val="21"/>
              </w:rPr>
            </w:pPr>
            <w:r>
              <w:rPr>
                <w:kern w:val="0"/>
                <w:szCs w:val="21"/>
              </w:rPr>
              <w:t xml:space="preserve">0.66 </w:t>
            </w:r>
          </w:p>
        </w:tc>
        <w:tc>
          <w:tcPr>
            <w:tcW w:w="723" w:type="dxa"/>
            <w:noWrap/>
            <w:vAlign w:val="center"/>
          </w:tcPr>
          <w:p>
            <w:pPr>
              <w:widowControl/>
              <w:adjustRightInd w:val="0"/>
              <w:snapToGrid w:val="0"/>
              <w:jc w:val="center"/>
              <w:textAlignment w:val="center"/>
              <w:rPr>
                <w:szCs w:val="21"/>
              </w:rPr>
            </w:pPr>
            <w:r>
              <w:rPr>
                <w:kern w:val="0"/>
                <w:szCs w:val="21"/>
              </w:rPr>
              <w:t xml:space="preserve">0.66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锌</w:t>
            </w:r>
          </w:p>
        </w:tc>
        <w:tc>
          <w:tcPr>
            <w:tcW w:w="1004" w:type="dxa"/>
            <w:noWrap/>
            <w:vAlign w:val="center"/>
          </w:tcPr>
          <w:p>
            <w:pPr>
              <w:autoSpaceDE w:val="0"/>
              <w:autoSpaceDN w:val="0"/>
              <w:snapToGrid w:val="0"/>
              <w:jc w:val="center"/>
              <w:rPr>
                <w:szCs w:val="21"/>
              </w:rPr>
            </w:pPr>
            <w:r>
              <w:rPr>
                <w:szCs w:val="28"/>
              </w:rPr>
              <w:t>0.05L</w:t>
            </w:r>
          </w:p>
        </w:tc>
        <w:tc>
          <w:tcPr>
            <w:tcW w:w="988" w:type="dxa"/>
            <w:noWrap/>
            <w:vAlign w:val="center"/>
          </w:tcPr>
          <w:p>
            <w:pPr>
              <w:autoSpaceDE w:val="0"/>
              <w:autoSpaceDN w:val="0"/>
              <w:snapToGrid w:val="0"/>
              <w:jc w:val="center"/>
              <w:rPr>
                <w:szCs w:val="21"/>
              </w:rPr>
            </w:pPr>
            <w:r>
              <w:rPr>
                <w:szCs w:val="28"/>
              </w:rPr>
              <w:t>0.05L</w:t>
            </w:r>
          </w:p>
        </w:tc>
        <w:tc>
          <w:tcPr>
            <w:tcW w:w="1022" w:type="dxa"/>
            <w:noWrap/>
            <w:vAlign w:val="center"/>
          </w:tcPr>
          <w:p>
            <w:pPr>
              <w:autoSpaceDE w:val="0"/>
              <w:autoSpaceDN w:val="0"/>
              <w:snapToGrid w:val="0"/>
              <w:jc w:val="center"/>
              <w:rPr>
                <w:szCs w:val="21"/>
              </w:rPr>
            </w:pPr>
            <w:r>
              <w:rPr>
                <w:szCs w:val="28"/>
              </w:rPr>
              <w:t>0.05L</w:t>
            </w:r>
          </w:p>
        </w:tc>
        <w:tc>
          <w:tcPr>
            <w:tcW w:w="982" w:type="dxa"/>
            <w:noWrap/>
            <w:vAlign w:val="center"/>
          </w:tcPr>
          <w:p>
            <w:pPr>
              <w:autoSpaceDE w:val="0"/>
              <w:autoSpaceDN w:val="0"/>
              <w:snapToGrid w:val="0"/>
              <w:jc w:val="center"/>
              <w:rPr>
                <w:szCs w:val="21"/>
              </w:rPr>
            </w:pPr>
            <w:r>
              <w:rPr>
                <w:szCs w:val="28"/>
              </w:rPr>
              <w:t>0.05L</w:t>
            </w:r>
          </w:p>
        </w:tc>
        <w:tc>
          <w:tcPr>
            <w:tcW w:w="1009" w:type="dxa"/>
            <w:noWrap/>
            <w:vAlign w:val="center"/>
          </w:tcPr>
          <w:p>
            <w:pPr>
              <w:autoSpaceDE w:val="0"/>
              <w:autoSpaceDN w:val="0"/>
              <w:snapToGrid w:val="0"/>
              <w:jc w:val="center"/>
              <w:rPr>
                <w:szCs w:val="21"/>
              </w:rPr>
            </w:pPr>
            <w:r>
              <w:rPr>
                <w:szCs w:val="28"/>
              </w:rPr>
              <w:t>0.05L</w:t>
            </w:r>
          </w:p>
        </w:tc>
        <w:tc>
          <w:tcPr>
            <w:tcW w:w="987" w:type="dxa"/>
            <w:noWrap/>
            <w:vAlign w:val="center"/>
          </w:tcPr>
          <w:p>
            <w:pPr>
              <w:autoSpaceDE w:val="0"/>
              <w:autoSpaceDN w:val="0"/>
              <w:snapToGrid w:val="0"/>
              <w:jc w:val="center"/>
              <w:rPr>
                <w:szCs w:val="21"/>
              </w:rPr>
            </w:pPr>
            <w:r>
              <w:rPr>
                <w:szCs w:val="28"/>
              </w:rPr>
              <w:t>0.05L</w:t>
            </w:r>
          </w:p>
        </w:tc>
        <w:tc>
          <w:tcPr>
            <w:tcW w:w="622" w:type="dxa"/>
            <w:noWrap/>
            <w:vAlign w:val="center"/>
          </w:tcPr>
          <w:p>
            <w:pPr>
              <w:autoSpaceDE w:val="0"/>
              <w:autoSpaceDN w:val="0"/>
              <w:snapToGrid w:val="0"/>
              <w:jc w:val="center"/>
              <w:rPr>
                <w:szCs w:val="21"/>
              </w:rPr>
            </w:pPr>
            <w:r>
              <w:rPr>
                <w:szCs w:val="28"/>
              </w:rPr>
              <w:t>≤1.0</w:t>
            </w:r>
          </w:p>
        </w:tc>
        <w:tc>
          <w:tcPr>
            <w:tcW w:w="723" w:type="dxa"/>
            <w:noWrap/>
            <w:vAlign w:val="center"/>
          </w:tcPr>
          <w:p>
            <w:pPr>
              <w:widowControl/>
              <w:adjustRightInd w:val="0"/>
              <w:snapToGrid w:val="0"/>
              <w:jc w:val="center"/>
              <w:textAlignment w:val="center"/>
              <w:rPr>
                <w:szCs w:val="21"/>
              </w:rPr>
            </w:pPr>
            <w:r>
              <w:rPr>
                <w:kern w:val="0"/>
                <w:szCs w:val="21"/>
              </w:rPr>
              <w:t xml:space="preserve">0.05 </w:t>
            </w:r>
          </w:p>
        </w:tc>
        <w:tc>
          <w:tcPr>
            <w:tcW w:w="723" w:type="dxa"/>
            <w:noWrap/>
            <w:vAlign w:val="center"/>
          </w:tcPr>
          <w:p>
            <w:pPr>
              <w:widowControl/>
              <w:adjustRightInd w:val="0"/>
              <w:snapToGrid w:val="0"/>
              <w:jc w:val="center"/>
              <w:textAlignment w:val="center"/>
              <w:rPr>
                <w:szCs w:val="21"/>
              </w:rPr>
            </w:pPr>
            <w:r>
              <w:rPr>
                <w:kern w:val="0"/>
                <w:szCs w:val="21"/>
              </w:rPr>
              <w:t xml:space="preserve">0.05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氟化物（以F</w:t>
            </w:r>
            <w:r>
              <w:rPr>
                <w:szCs w:val="28"/>
                <w:vertAlign w:val="superscript"/>
              </w:rPr>
              <w:t>-</w:t>
            </w:r>
            <w:r>
              <w:rPr>
                <w:szCs w:val="28"/>
              </w:rPr>
              <w:t>计）</w:t>
            </w:r>
          </w:p>
        </w:tc>
        <w:tc>
          <w:tcPr>
            <w:tcW w:w="1004" w:type="dxa"/>
            <w:noWrap/>
            <w:vAlign w:val="center"/>
          </w:tcPr>
          <w:p>
            <w:pPr>
              <w:autoSpaceDE w:val="0"/>
              <w:autoSpaceDN w:val="0"/>
              <w:snapToGrid w:val="0"/>
              <w:jc w:val="center"/>
              <w:rPr>
                <w:szCs w:val="21"/>
              </w:rPr>
            </w:pPr>
            <w:r>
              <w:rPr>
                <w:szCs w:val="28"/>
              </w:rPr>
              <w:t>1.40</w:t>
            </w:r>
          </w:p>
        </w:tc>
        <w:tc>
          <w:tcPr>
            <w:tcW w:w="988" w:type="dxa"/>
            <w:noWrap/>
            <w:vAlign w:val="center"/>
          </w:tcPr>
          <w:p>
            <w:pPr>
              <w:autoSpaceDE w:val="0"/>
              <w:autoSpaceDN w:val="0"/>
              <w:snapToGrid w:val="0"/>
              <w:jc w:val="center"/>
              <w:rPr>
                <w:szCs w:val="21"/>
              </w:rPr>
            </w:pPr>
            <w:r>
              <w:rPr>
                <w:szCs w:val="28"/>
              </w:rPr>
              <w:t>1.72</w:t>
            </w:r>
          </w:p>
        </w:tc>
        <w:tc>
          <w:tcPr>
            <w:tcW w:w="1022" w:type="dxa"/>
            <w:noWrap/>
            <w:vAlign w:val="center"/>
          </w:tcPr>
          <w:p>
            <w:pPr>
              <w:autoSpaceDE w:val="0"/>
              <w:autoSpaceDN w:val="0"/>
              <w:snapToGrid w:val="0"/>
              <w:jc w:val="center"/>
              <w:rPr>
                <w:szCs w:val="21"/>
              </w:rPr>
            </w:pPr>
            <w:r>
              <w:rPr>
                <w:szCs w:val="28"/>
              </w:rPr>
              <w:t>1.27</w:t>
            </w:r>
          </w:p>
        </w:tc>
        <w:tc>
          <w:tcPr>
            <w:tcW w:w="982" w:type="dxa"/>
            <w:noWrap/>
            <w:vAlign w:val="center"/>
          </w:tcPr>
          <w:p>
            <w:pPr>
              <w:autoSpaceDE w:val="0"/>
              <w:autoSpaceDN w:val="0"/>
              <w:snapToGrid w:val="0"/>
              <w:jc w:val="center"/>
              <w:rPr>
                <w:szCs w:val="21"/>
              </w:rPr>
            </w:pPr>
            <w:r>
              <w:rPr>
                <w:szCs w:val="28"/>
              </w:rPr>
              <w:t>1.84</w:t>
            </w:r>
          </w:p>
        </w:tc>
        <w:tc>
          <w:tcPr>
            <w:tcW w:w="1009" w:type="dxa"/>
            <w:noWrap/>
            <w:vAlign w:val="center"/>
          </w:tcPr>
          <w:p>
            <w:pPr>
              <w:autoSpaceDE w:val="0"/>
              <w:autoSpaceDN w:val="0"/>
              <w:snapToGrid w:val="0"/>
              <w:jc w:val="center"/>
              <w:rPr>
                <w:szCs w:val="21"/>
              </w:rPr>
            </w:pPr>
            <w:r>
              <w:rPr>
                <w:szCs w:val="28"/>
              </w:rPr>
              <w:t>1.09</w:t>
            </w:r>
          </w:p>
        </w:tc>
        <w:tc>
          <w:tcPr>
            <w:tcW w:w="987" w:type="dxa"/>
            <w:noWrap/>
            <w:vAlign w:val="center"/>
          </w:tcPr>
          <w:p>
            <w:pPr>
              <w:autoSpaceDE w:val="0"/>
              <w:autoSpaceDN w:val="0"/>
              <w:snapToGrid w:val="0"/>
              <w:jc w:val="center"/>
              <w:rPr>
                <w:szCs w:val="21"/>
              </w:rPr>
            </w:pPr>
            <w:r>
              <w:rPr>
                <w:szCs w:val="28"/>
              </w:rPr>
              <w:t>1.97</w:t>
            </w:r>
          </w:p>
        </w:tc>
        <w:tc>
          <w:tcPr>
            <w:tcW w:w="622" w:type="dxa"/>
            <w:noWrap/>
            <w:vAlign w:val="center"/>
          </w:tcPr>
          <w:p>
            <w:pPr>
              <w:autoSpaceDE w:val="0"/>
              <w:autoSpaceDN w:val="0"/>
              <w:snapToGrid w:val="0"/>
              <w:jc w:val="center"/>
              <w:rPr>
                <w:szCs w:val="21"/>
              </w:rPr>
            </w:pPr>
            <w:r>
              <w:rPr>
                <w:szCs w:val="28"/>
              </w:rPr>
              <w:t>≤1.0</w:t>
            </w:r>
          </w:p>
        </w:tc>
        <w:tc>
          <w:tcPr>
            <w:tcW w:w="723" w:type="dxa"/>
            <w:noWrap/>
            <w:vAlign w:val="center"/>
          </w:tcPr>
          <w:p>
            <w:pPr>
              <w:widowControl/>
              <w:adjustRightInd w:val="0"/>
              <w:snapToGrid w:val="0"/>
              <w:jc w:val="center"/>
              <w:textAlignment w:val="center"/>
              <w:rPr>
                <w:szCs w:val="21"/>
              </w:rPr>
            </w:pPr>
            <w:r>
              <w:rPr>
                <w:kern w:val="0"/>
                <w:szCs w:val="21"/>
              </w:rPr>
              <w:t xml:space="preserve">1.55 </w:t>
            </w:r>
          </w:p>
        </w:tc>
        <w:tc>
          <w:tcPr>
            <w:tcW w:w="723" w:type="dxa"/>
            <w:noWrap/>
            <w:vAlign w:val="center"/>
          </w:tcPr>
          <w:p>
            <w:pPr>
              <w:widowControl/>
              <w:adjustRightInd w:val="0"/>
              <w:snapToGrid w:val="0"/>
              <w:jc w:val="center"/>
              <w:textAlignment w:val="center"/>
              <w:rPr>
                <w:szCs w:val="21"/>
              </w:rPr>
            </w:pPr>
            <w:r>
              <w:rPr>
                <w:kern w:val="0"/>
                <w:szCs w:val="21"/>
              </w:rPr>
              <w:t xml:space="preserve">1.55 </w:t>
            </w:r>
          </w:p>
        </w:tc>
        <w:tc>
          <w:tcPr>
            <w:tcW w:w="723" w:type="dxa"/>
            <w:noWrap/>
            <w:vAlign w:val="center"/>
          </w:tcPr>
          <w:p>
            <w:pPr>
              <w:adjustRightInd w:val="0"/>
              <w:snapToGrid w:val="0"/>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砷</w:t>
            </w:r>
          </w:p>
        </w:tc>
        <w:tc>
          <w:tcPr>
            <w:tcW w:w="1004" w:type="dxa"/>
            <w:noWrap/>
            <w:vAlign w:val="center"/>
          </w:tcPr>
          <w:p>
            <w:pPr>
              <w:autoSpaceDE w:val="0"/>
              <w:autoSpaceDN w:val="0"/>
              <w:snapToGrid w:val="0"/>
              <w:jc w:val="center"/>
              <w:rPr>
                <w:szCs w:val="21"/>
              </w:rPr>
            </w:pPr>
            <w:r>
              <w:rPr>
                <w:szCs w:val="28"/>
              </w:rPr>
              <w:t>0.0013</w:t>
            </w:r>
          </w:p>
        </w:tc>
        <w:tc>
          <w:tcPr>
            <w:tcW w:w="988" w:type="dxa"/>
            <w:noWrap/>
            <w:vAlign w:val="center"/>
          </w:tcPr>
          <w:p>
            <w:pPr>
              <w:autoSpaceDE w:val="0"/>
              <w:autoSpaceDN w:val="0"/>
              <w:snapToGrid w:val="0"/>
              <w:jc w:val="center"/>
              <w:rPr>
                <w:szCs w:val="21"/>
              </w:rPr>
            </w:pPr>
            <w:r>
              <w:rPr>
                <w:szCs w:val="28"/>
              </w:rPr>
              <w:t>0.0014</w:t>
            </w:r>
          </w:p>
        </w:tc>
        <w:tc>
          <w:tcPr>
            <w:tcW w:w="1022" w:type="dxa"/>
            <w:noWrap/>
            <w:vAlign w:val="center"/>
          </w:tcPr>
          <w:p>
            <w:pPr>
              <w:autoSpaceDE w:val="0"/>
              <w:autoSpaceDN w:val="0"/>
              <w:snapToGrid w:val="0"/>
              <w:jc w:val="center"/>
              <w:rPr>
                <w:szCs w:val="21"/>
              </w:rPr>
            </w:pPr>
            <w:r>
              <w:rPr>
                <w:szCs w:val="28"/>
              </w:rPr>
              <w:t>0.0014</w:t>
            </w:r>
          </w:p>
        </w:tc>
        <w:tc>
          <w:tcPr>
            <w:tcW w:w="982" w:type="dxa"/>
            <w:noWrap/>
            <w:vAlign w:val="center"/>
          </w:tcPr>
          <w:p>
            <w:pPr>
              <w:autoSpaceDE w:val="0"/>
              <w:autoSpaceDN w:val="0"/>
              <w:snapToGrid w:val="0"/>
              <w:jc w:val="center"/>
              <w:rPr>
                <w:szCs w:val="21"/>
              </w:rPr>
            </w:pPr>
            <w:r>
              <w:rPr>
                <w:szCs w:val="28"/>
              </w:rPr>
              <w:t>0.0013</w:t>
            </w:r>
          </w:p>
        </w:tc>
        <w:tc>
          <w:tcPr>
            <w:tcW w:w="1009" w:type="dxa"/>
            <w:noWrap/>
            <w:vAlign w:val="center"/>
          </w:tcPr>
          <w:p>
            <w:pPr>
              <w:autoSpaceDE w:val="0"/>
              <w:autoSpaceDN w:val="0"/>
              <w:snapToGrid w:val="0"/>
              <w:jc w:val="center"/>
              <w:rPr>
                <w:szCs w:val="21"/>
              </w:rPr>
            </w:pPr>
            <w:r>
              <w:rPr>
                <w:szCs w:val="28"/>
              </w:rPr>
              <w:t>0.0011</w:t>
            </w:r>
          </w:p>
        </w:tc>
        <w:tc>
          <w:tcPr>
            <w:tcW w:w="987" w:type="dxa"/>
            <w:noWrap/>
            <w:vAlign w:val="center"/>
          </w:tcPr>
          <w:p>
            <w:pPr>
              <w:autoSpaceDE w:val="0"/>
              <w:autoSpaceDN w:val="0"/>
              <w:snapToGrid w:val="0"/>
              <w:jc w:val="center"/>
              <w:rPr>
                <w:szCs w:val="21"/>
              </w:rPr>
            </w:pPr>
            <w:r>
              <w:rPr>
                <w:szCs w:val="28"/>
              </w:rPr>
              <w:t>0.0017</w:t>
            </w:r>
          </w:p>
        </w:tc>
        <w:tc>
          <w:tcPr>
            <w:tcW w:w="622" w:type="dxa"/>
            <w:noWrap/>
            <w:vAlign w:val="center"/>
          </w:tcPr>
          <w:p>
            <w:pPr>
              <w:autoSpaceDE w:val="0"/>
              <w:autoSpaceDN w:val="0"/>
              <w:snapToGrid w:val="0"/>
              <w:jc w:val="center"/>
              <w:rPr>
                <w:szCs w:val="21"/>
              </w:rPr>
            </w:pPr>
            <w:r>
              <w:rPr>
                <w:szCs w:val="28"/>
              </w:rPr>
              <w:t>≤0.05</w:t>
            </w:r>
          </w:p>
        </w:tc>
        <w:tc>
          <w:tcPr>
            <w:tcW w:w="723" w:type="dxa"/>
            <w:noWrap/>
            <w:vAlign w:val="center"/>
          </w:tcPr>
          <w:p>
            <w:pPr>
              <w:widowControl/>
              <w:adjustRightInd w:val="0"/>
              <w:snapToGrid w:val="0"/>
              <w:jc w:val="center"/>
              <w:textAlignment w:val="center"/>
              <w:rPr>
                <w:szCs w:val="21"/>
              </w:rPr>
            </w:pPr>
            <w:r>
              <w:rPr>
                <w:kern w:val="0"/>
                <w:szCs w:val="21"/>
              </w:rPr>
              <w:t xml:space="preserve">0.00 </w:t>
            </w:r>
          </w:p>
        </w:tc>
        <w:tc>
          <w:tcPr>
            <w:tcW w:w="723" w:type="dxa"/>
            <w:noWrap/>
            <w:vAlign w:val="center"/>
          </w:tcPr>
          <w:p>
            <w:pPr>
              <w:widowControl/>
              <w:adjustRightInd w:val="0"/>
              <w:snapToGrid w:val="0"/>
              <w:jc w:val="center"/>
              <w:textAlignment w:val="center"/>
              <w:rPr>
                <w:szCs w:val="21"/>
              </w:rPr>
            </w:pPr>
            <w:r>
              <w:rPr>
                <w:kern w:val="0"/>
                <w:szCs w:val="21"/>
              </w:rPr>
              <w:t xml:space="preserve">0.03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汞</w:t>
            </w:r>
          </w:p>
        </w:tc>
        <w:tc>
          <w:tcPr>
            <w:tcW w:w="1004" w:type="dxa"/>
            <w:noWrap/>
            <w:vAlign w:val="center"/>
          </w:tcPr>
          <w:p>
            <w:pPr>
              <w:autoSpaceDE w:val="0"/>
              <w:autoSpaceDN w:val="0"/>
              <w:snapToGrid w:val="0"/>
              <w:jc w:val="center"/>
              <w:rPr>
                <w:szCs w:val="21"/>
              </w:rPr>
            </w:pPr>
            <w:r>
              <w:rPr>
                <w:szCs w:val="28"/>
              </w:rPr>
              <w:t>0.00004L</w:t>
            </w:r>
          </w:p>
        </w:tc>
        <w:tc>
          <w:tcPr>
            <w:tcW w:w="988" w:type="dxa"/>
            <w:noWrap/>
            <w:vAlign w:val="center"/>
          </w:tcPr>
          <w:p>
            <w:pPr>
              <w:autoSpaceDE w:val="0"/>
              <w:autoSpaceDN w:val="0"/>
              <w:snapToGrid w:val="0"/>
              <w:jc w:val="center"/>
              <w:rPr>
                <w:szCs w:val="21"/>
              </w:rPr>
            </w:pPr>
            <w:r>
              <w:rPr>
                <w:szCs w:val="28"/>
              </w:rPr>
              <w:t>0.00004L</w:t>
            </w:r>
          </w:p>
        </w:tc>
        <w:tc>
          <w:tcPr>
            <w:tcW w:w="1022" w:type="dxa"/>
            <w:noWrap/>
            <w:vAlign w:val="center"/>
          </w:tcPr>
          <w:p>
            <w:pPr>
              <w:autoSpaceDE w:val="0"/>
              <w:autoSpaceDN w:val="0"/>
              <w:snapToGrid w:val="0"/>
              <w:jc w:val="center"/>
              <w:rPr>
                <w:szCs w:val="21"/>
              </w:rPr>
            </w:pPr>
            <w:r>
              <w:rPr>
                <w:szCs w:val="28"/>
              </w:rPr>
              <w:t>0.00004L</w:t>
            </w:r>
          </w:p>
        </w:tc>
        <w:tc>
          <w:tcPr>
            <w:tcW w:w="982" w:type="dxa"/>
            <w:noWrap/>
            <w:vAlign w:val="center"/>
          </w:tcPr>
          <w:p>
            <w:pPr>
              <w:autoSpaceDE w:val="0"/>
              <w:autoSpaceDN w:val="0"/>
              <w:snapToGrid w:val="0"/>
              <w:jc w:val="center"/>
              <w:rPr>
                <w:szCs w:val="21"/>
              </w:rPr>
            </w:pPr>
            <w:r>
              <w:rPr>
                <w:szCs w:val="28"/>
              </w:rPr>
              <w:t>0.00004L</w:t>
            </w:r>
          </w:p>
        </w:tc>
        <w:tc>
          <w:tcPr>
            <w:tcW w:w="1009" w:type="dxa"/>
            <w:noWrap/>
            <w:vAlign w:val="center"/>
          </w:tcPr>
          <w:p>
            <w:pPr>
              <w:autoSpaceDE w:val="0"/>
              <w:autoSpaceDN w:val="0"/>
              <w:snapToGrid w:val="0"/>
              <w:jc w:val="center"/>
              <w:rPr>
                <w:szCs w:val="21"/>
              </w:rPr>
            </w:pPr>
            <w:r>
              <w:rPr>
                <w:szCs w:val="28"/>
              </w:rPr>
              <w:t>0.00004L</w:t>
            </w:r>
          </w:p>
        </w:tc>
        <w:tc>
          <w:tcPr>
            <w:tcW w:w="987" w:type="dxa"/>
            <w:noWrap/>
            <w:vAlign w:val="center"/>
          </w:tcPr>
          <w:p>
            <w:pPr>
              <w:autoSpaceDE w:val="0"/>
              <w:autoSpaceDN w:val="0"/>
              <w:snapToGrid w:val="0"/>
              <w:jc w:val="center"/>
              <w:rPr>
                <w:szCs w:val="21"/>
              </w:rPr>
            </w:pPr>
            <w:r>
              <w:rPr>
                <w:szCs w:val="28"/>
              </w:rPr>
              <w:t>0.00004L</w:t>
            </w:r>
          </w:p>
        </w:tc>
        <w:tc>
          <w:tcPr>
            <w:tcW w:w="622" w:type="dxa"/>
            <w:noWrap/>
            <w:vAlign w:val="center"/>
          </w:tcPr>
          <w:p>
            <w:pPr>
              <w:autoSpaceDE w:val="0"/>
              <w:autoSpaceDN w:val="0"/>
              <w:snapToGrid w:val="0"/>
              <w:jc w:val="center"/>
              <w:rPr>
                <w:szCs w:val="21"/>
              </w:rPr>
            </w:pPr>
            <w:r>
              <w:rPr>
                <w:szCs w:val="28"/>
              </w:rPr>
              <w:t>≤0.0001</w:t>
            </w:r>
          </w:p>
        </w:tc>
        <w:tc>
          <w:tcPr>
            <w:tcW w:w="723" w:type="dxa"/>
            <w:noWrap/>
            <w:vAlign w:val="center"/>
          </w:tcPr>
          <w:p>
            <w:pPr>
              <w:widowControl/>
              <w:adjustRightInd w:val="0"/>
              <w:snapToGrid w:val="0"/>
              <w:jc w:val="center"/>
              <w:textAlignment w:val="center"/>
              <w:rPr>
                <w:szCs w:val="21"/>
              </w:rPr>
            </w:pPr>
            <w:r>
              <w:rPr>
                <w:kern w:val="0"/>
                <w:szCs w:val="21"/>
              </w:rPr>
              <w:t xml:space="preserve">0.00 </w:t>
            </w:r>
          </w:p>
        </w:tc>
        <w:tc>
          <w:tcPr>
            <w:tcW w:w="723" w:type="dxa"/>
            <w:noWrap/>
            <w:vAlign w:val="center"/>
          </w:tcPr>
          <w:p>
            <w:pPr>
              <w:widowControl/>
              <w:adjustRightInd w:val="0"/>
              <w:snapToGrid w:val="0"/>
              <w:jc w:val="center"/>
              <w:textAlignment w:val="center"/>
              <w:rPr>
                <w:szCs w:val="21"/>
              </w:rPr>
            </w:pPr>
            <w:r>
              <w:rPr>
                <w:kern w:val="0"/>
                <w:szCs w:val="21"/>
              </w:rPr>
              <w:t xml:space="preserve">0.40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镉</w:t>
            </w:r>
          </w:p>
        </w:tc>
        <w:tc>
          <w:tcPr>
            <w:tcW w:w="1004" w:type="dxa"/>
            <w:noWrap/>
            <w:vAlign w:val="center"/>
          </w:tcPr>
          <w:p>
            <w:pPr>
              <w:autoSpaceDE w:val="0"/>
              <w:autoSpaceDN w:val="0"/>
              <w:snapToGrid w:val="0"/>
              <w:jc w:val="center"/>
              <w:rPr>
                <w:szCs w:val="21"/>
              </w:rPr>
            </w:pPr>
            <w:r>
              <w:rPr>
                <w:szCs w:val="28"/>
              </w:rPr>
              <w:t>0.0001</w:t>
            </w:r>
          </w:p>
        </w:tc>
        <w:tc>
          <w:tcPr>
            <w:tcW w:w="988" w:type="dxa"/>
            <w:noWrap/>
            <w:vAlign w:val="center"/>
          </w:tcPr>
          <w:p>
            <w:pPr>
              <w:autoSpaceDE w:val="0"/>
              <w:autoSpaceDN w:val="0"/>
              <w:snapToGrid w:val="0"/>
              <w:jc w:val="center"/>
              <w:rPr>
                <w:szCs w:val="21"/>
              </w:rPr>
            </w:pPr>
            <w:r>
              <w:rPr>
                <w:szCs w:val="28"/>
              </w:rPr>
              <w:t>0.0004</w:t>
            </w:r>
          </w:p>
        </w:tc>
        <w:tc>
          <w:tcPr>
            <w:tcW w:w="1022" w:type="dxa"/>
            <w:noWrap/>
            <w:vAlign w:val="center"/>
          </w:tcPr>
          <w:p>
            <w:pPr>
              <w:autoSpaceDE w:val="0"/>
              <w:autoSpaceDN w:val="0"/>
              <w:snapToGrid w:val="0"/>
              <w:jc w:val="center"/>
              <w:rPr>
                <w:szCs w:val="21"/>
              </w:rPr>
            </w:pPr>
            <w:r>
              <w:rPr>
                <w:szCs w:val="28"/>
              </w:rPr>
              <w:t>0.0001L</w:t>
            </w:r>
          </w:p>
        </w:tc>
        <w:tc>
          <w:tcPr>
            <w:tcW w:w="982" w:type="dxa"/>
            <w:noWrap/>
            <w:vAlign w:val="center"/>
          </w:tcPr>
          <w:p>
            <w:pPr>
              <w:autoSpaceDE w:val="0"/>
              <w:autoSpaceDN w:val="0"/>
              <w:snapToGrid w:val="0"/>
              <w:jc w:val="center"/>
              <w:rPr>
                <w:szCs w:val="21"/>
              </w:rPr>
            </w:pPr>
            <w:r>
              <w:rPr>
                <w:szCs w:val="28"/>
              </w:rPr>
              <w:t>0.0001L</w:t>
            </w:r>
          </w:p>
        </w:tc>
        <w:tc>
          <w:tcPr>
            <w:tcW w:w="1009" w:type="dxa"/>
            <w:noWrap/>
            <w:vAlign w:val="center"/>
          </w:tcPr>
          <w:p>
            <w:pPr>
              <w:autoSpaceDE w:val="0"/>
              <w:autoSpaceDN w:val="0"/>
              <w:snapToGrid w:val="0"/>
              <w:jc w:val="center"/>
              <w:rPr>
                <w:szCs w:val="21"/>
              </w:rPr>
            </w:pPr>
            <w:r>
              <w:rPr>
                <w:szCs w:val="28"/>
              </w:rPr>
              <w:t>0.0001</w:t>
            </w:r>
          </w:p>
        </w:tc>
        <w:tc>
          <w:tcPr>
            <w:tcW w:w="987" w:type="dxa"/>
            <w:noWrap/>
            <w:vAlign w:val="center"/>
          </w:tcPr>
          <w:p>
            <w:pPr>
              <w:autoSpaceDE w:val="0"/>
              <w:autoSpaceDN w:val="0"/>
              <w:snapToGrid w:val="0"/>
              <w:jc w:val="center"/>
              <w:rPr>
                <w:szCs w:val="21"/>
              </w:rPr>
            </w:pPr>
            <w:r>
              <w:rPr>
                <w:szCs w:val="28"/>
              </w:rPr>
              <w:t>0.0002</w:t>
            </w:r>
          </w:p>
        </w:tc>
        <w:tc>
          <w:tcPr>
            <w:tcW w:w="622" w:type="dxa"/>
            <w:noWrap/>
            <w:vAlign w:val="center"/>
          </w:tcPr>
          <w:p>
            <w:pPr>
              <w:autoSpaceDE w:val="0"/>
              <w:autoSpaceDN w:val="0"/>
              <w:snapToGrid w:val="0"/>
              <w:jc w:val="center"/>
              <w:rPr>
                <w:szCs w:val="21"/>
              </w:rPr>
            </w:pPr>
            <w:r>
              <w:rPr>
                <w:szCs w:val="28"/>
              </w:rPr>
              <w:t>≤0.005</w:t>
            </w:r>
          </w:p>
        </w:tc>
        <w:tc>
          <w:tcPr>
            <w:tcW w:w="723" w:type="dxa"/>
            <w:noWrap/>
            <w:vAlign w:val="center"/>
          </w:tcPr>
          <w:p>
            <w:pPr>
              <w:widowControl/>
              <w:adjustRightInd w:val="0"/>
              <w:snapToGrid w:val="0"/>
              <w:jc w:val="center"/>
              <w:textAlignment w:val="center"/>
              <w:rPr>
                <w:szCs w:val="21"/>
              </w:rPr>
            </w:pPr>
            <w:r>
              <w:rPr>
                <w:kern w:val="0"/>
                <w:szCs w:val="21"/>
              </w:rPr>
              <w:t xml:space="preserve">0.00 </w:t>
            </w:r>
          </w:p>
        </w:tc>
        <w:tc>
          <w:tcPr>
            <w:tcW w:w="723" w:type="dxa"/>
            <w:noWrap/>
            <w:vAlign w:val="center"/>
          </w:tcPr>
          <w:p>
            <w:pPr>
              <w:widowControl/>
              <w:adjustRightInd w:val="0"/>
              <w:snapToGrid w:val="0"/>
              <w:jc w:val="center"/>
              <w:textAlignment w:val="center"/>
              <w:rPr>
                <w:szCs w:val="21"/>
              </w:rPr>
            </w:pPr>
            <w:r>
              <w:rPr>
                <w:kern w:val="0"/>
                <w:szCs w:val="21"/>
              </w:rPr>
              <w:t xml:space="preserve">0.03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铬（六价）</w:t>
            </w:r>
          </w:p>
        </w:tc>
        <w:tc>
          <w:tcPr>
            <w:tcW w:w="1004" w:type="dxa"/>
            <w:noWrap/>
            <w:vAlign w:val="center"/>
          </w:tcPr>
          <w:p>
            <w:pPr>
              <w:autoSpaceDE w:val="0"/>
              <w:autoSpaceDN w:val="0"/>
              <w:snapToGrid w:val="0"/>
              <w:jc w:val="center"/>
              <w:rPr>
                <w:szCs w:val="21"/>
              </w:rPr>
            </w:pPr>
            <w:r>
              <w:rPr>
                <w:szCs w:val="28"/>
              </w:rPr>
              <w:t>0.004L</w:t>
            </w:r>
          </w:p>
        </w:tc>
        <w:tc>
          <w:tcPr>
            <w:tcW w:w="988" w:type="dxa"/>
            <w:noWrap/>
            <w:vAlign w:val="center"/>
          </w:tcPr>
          <w:p>
            <w:pPr>
              <w:autoSpaceDE w:val="0"/>
              <w:autoSpaceDN w:val="0"/>
              <w:snapToGrid w:val="0"/>
              <w:jc w:val="center"/>
              <w:rPr>
                <w:szCs w:val="21"/>
              </w:rPr>
            </w:pPr>
            <w:r>
              <w:rPr>
                <w:szCs w:val="28"/>
              </w:rPr>
              <w:t>0.004</w:t>
            </w:r>
          </w:p>
        </w:tc>
        <w:tc>
          <w:tcPr>
            <w:tcW w:w="1022" w:type="dxa"/>
            <w:noWrap/>
            <w:vAlign w:val="center"/>
          </w:tcPr>
          <w:p>
            <w:pPr>
              <w:autoSpaceDE w:val="0"/>
              <w:autoSpaceDN w:val="0"/>
              <w:snapToGrid w:val="0"/>
              <w:jc w:val="center"/>
              <w:rPr>
                <w:szCs w:val="21"/>
              </w:rPr>
            </w:pPr>
            <w:r>
              <w:rPr>
                <w:szCs w:val="28"/>
              </w:rPr>
              <w:t>0.004L</w:t>
            </w:r>
          </w:p>
        </w:tc>
        <w:tc>
          <w:tcPr>
            <w:tcW w:w="982" w:type="dxa"/>
            <w:noWrap/>
            <w:vAlign w:val="center"/>
          </w:tcPr>
          <w:p>
            <w:pPr>
              <w:autoSpaceDE w:val="0"/>
              <w:autoSpaceDN w:val="0"/>
              <w:snapToGrid w:val="0"/>
              <w:jc w:val="center"/>
              <w:rPr>
                <w:szCs w:val="21"/>
              </w:rPr>
            </w:pPr>
            <w:r>
              <w:rPr>
                <w:szCs w:val="28"/>
              </w:rPr>
              <w:t>0.004L</w:t>
            </w:r>
          </w:p>
        </w:tc>
        <w:tc>
          <w:tcPr>
            <w:tcW w:w="1009" w:type="dxa"/>
            <w:noWrap/>
            <w:vAlign w:val="center"/>
          </w:tcPr>
          <w:p>
            <w:pPr>
              <w:autoSpaceDE w:val="0"/>
              <w:autoSpaceDN w:val="0"/>
              <w:snapToGrid w:val="0"/>
              <w:jc w:val="center"/>
              <w:rPr>
                <w:szCs w:val="21"/>
              </w:rPr>
            </w:pPr>
            <w:r>
              <w:rPr>
                <w:szCs w:val="28"/>
              </w:rPr>
              <w:t>0.004L</w:t>
            </w:r>
          </w:p>
        </w:tc>
        <w:tc>
          <w:tcPr>
            <w:tcW w:w="987" w:type="dxa"/>
            <w:noWrap/>
            <w:vAlign w:val="center"/>
          </w:tcPr>
          <w:p>
            <w:pPr>
              <w:autoSpaceDE w:val="0"/>
              <w:autoSpaceDN w:val="0"/>
              <w:snapToGrid w:val="0"/>
              <w:jc w:val="center"/>
              <w:rPr>
                <w:szCs w:val="21"/>
              </w:rPr>
            </w:pPr>
            <w:r>
              <w:rPr>
                <w:szCs w:val="28"/>
              </w:rPr>
              <w:t>0.004L</w:t>
            </w:r>
          </w:p>
        </w:tc>
        <w:tc>
          <w:tcPr>
            <w:tcW w:w="622" w:type="dxa"/>
            <w:noWrap/>
            <w:vAlign w:val="center"/>
          </w:tcPr>
          <w:p>
            <w:pPr>
              <w:autoSpaceDE w:val="0"/>
              <w:autoSpaceDN w:val="0"/>
              <w:snapToGrid w:val="0"/>
              <w:jc w:val="center"/>
              <w:rPr>
                <w:szCs w:val="21"/>
              </w:rPr>
            </w:pPr>
            <w:r>
              <w:rPr>
                <w:szCs w:val="28"/>
              </w:rPr>
              <w:t>≤0.05</w:t>
            </w:r>
          </w:p>
        </w:tc>
        <w:tc>
          <w:tcPr>
            <w:tcW w:w="723" w:type="dxa"/>
            <w:noWrap/>
            <w:vAlign w:val="center"/>
          </w:tcPr>
          <w:p>
            <w:pPr>
              <w:widowControl/>
              <w:adjustRightInd w:val="0"/>
              <w:snapToGrid w:val="0"/>
              <w:jc w:val="center"/>
              <w:textAlignment w:val="center"/>
              <w:rPr>
                <w:szCs w:val="21"/>
              </w:rPr>
            </w:pPr>
            <w:r>
              <w:rPr>
                <w:kern w:val="0"/>
                <w:szCs w:val="21"/>
              </w:rPr>
              <w:t xml:space="preserve">0.00 </w:t>
            </w:r>
          </w:p>
        </w:tc>
        <w:tc>
          <w:tcPr>
            <w:tcW w:w="723" w:type="dxa"/>
            <w:noWrap/>
            <w:vAlign w:val="center"/>
          </w:tcPr>
          <w:p>
            <w:pPr>
              <w:widowControl/>
              <w:adjustRightInd w:val="0"/>
              <w:snapToGrid w:val="0"/>
              <w:jc w:val="center"/>
              <w:textAlignment w:val="center"/>
              <w:rPr>
                <w:szCs w:val="21"/>
              </w:rPr>
            </w:pPr>
            <w:r>
              <w:rPr>
                <w:kern w:val="0"/>
                <w:szCs w:val="21"/>
              </w:rPr>
              <w:t xml:space="preserve">0.08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铅</w:t>
            </w:r>
          </w:p>
        </w:tc>
        <w:tc>
          <w:tcPr>
            <w:tcW w:w="1004" w:type="dxa"/>
            <w:noWrap/>
            <w:vAlign w:val="center"/>
          </w:tcPr>
          <w:p>
            <w:pPr>
              <w:autoSpaceDE w:val="0"/>
              <w:autoSpaceDN w:val="0"/>
              <w:snapToGrid w:val="0"/>
              <w:jc w:val="center"/>
              <w:rPr>
                <w:szCs w:val="21"/>
              </w:rPr>
            </w:pPr>
            <w:r>
              <w:rPr>
                <w:szCs w:val="28"/>
              </w:rPr>
              <w:t>0.002</w:t>
            </w:r>
          </w:p>
        </w:tc>
        <w:tc>
          <w:tcPr>
            <w:tcW w:w="988" w:type="dxa"/>
            <w:noWrap/>
            <w:vAlign w:val="center"/>
          </w:tcPr>
          <w:p>
            <w:pPr>
              <w:autoSpaceDE w:val="0"/>
              <w:autoSpaceDN w:val="0"/>
              <w:snapToGrid w:val="0"/>
              <w:jc w:val="center"/>
              <w:rPr>
                <w:szCs w:val="21"/>
              </w:rPr>
            </w:pPr>
            <w:r>
              <w:rPr>
                <w:szCs w:val="28"/>
              </w:rPr>
              <w:t>0.001</w:t>
            </w:r>
          </w:p>
        </w:tc>
        <w:tc>
          <w:tcPr>
            <w:tcW w:w="1022" w:type="dxa"/>
            <w:noWrap/>
            <w:vAlign w:val="center"/>
          </w:tcPr>
          <w:p>
            <w:pPr>
              <w:autoSpaceDE w:val="0"/>
              <w:autoSpaceDN w:val="0"/>
              <w:snapToGrid w:val="0"/>
              <w:jc w:val="center"/>
              <w:rPr>
                <w:szCs w:val="21"/>
              </w:rPr>
            </w:pPr>
            <w:r>
              <w:rPr>
                <w:szCs w:val="28"/>
              </w:rPr>
              <w:t>0.001L</w:t>
            </w:r>
          </w:p>
        </w:tc>
        <w:tc>
          <w:tcPr>
            <w:tcW w:w="982" w:type="dxa"/>
            <w:noWrap/>
            <w:vAlign w:val="center"/>
          </w:tcPr>
          <w:p>
            <w:pPr>
              <w:autoSpaceDE w:val="0"/>
              <w:autoSpaceDN w:val="0"/>
              <w:snapToGrid w:val="0"/>
              <w:jc w:val="center"/>
              <w:rPr>
                <w:szCs w:val="21"/>
              </w:rPr>
            </w:pPr>
            <w:r>
              <w:rPr>
                <w:szCs w:val="28"/>
              </w:rPr>
              <w:t>0.001L</w:t>
            </w:r>
          </w:p>
        </w:tc>
        <w:tc>
          <w:tcPr>
            <w:tcW w:w="1009" w:type="dxa"/>
            <w:noWrap/>
            <w:vAlign w:val="center"/>
          </w:tcPr>
          <w:p>
            <w:pPr>
              <w:autoSpaceDE w:val="0"/>
              <w:autoSpaceDN w:val="0"/>
              <w:snapToGrid w:val="0"/>
              <w:jc w:val="center"/>
              <w:rPr>
                <w:szCs w:val="21"/>
              </w:rPr>
            </w:pPr>
            <w:r>
              <w:rPr>
                <w:szCs w:val="28"/>
              </w:rPr>
              <w:t>0.001L</w:t>
            </w:r>
          </w:p>
        </w:tc>
        <w:tc>
          <w:tcPr>
            <w:tcW w:w="987" w:type="dxa"/>
            <w:noWrap/>
            <w:vAlign w:val="center"/>
          </w:tcPr>
          <w:p>
            <w:pPr>
              <w:autoSpaceDE w:val="0"/>
              <w:autoSpaceDN w:val="0"/>
              <w:snapToGrid w:val="0"/>
              <w:jc w:val="center"/>
              <w:rPr>
                <w:szCs w:val="21"/>
              </w:rPr>
            </w:pPr>
            <w:r>
              <w:rPr>
                <w:szCs w:val="28"/>
              </w:rPr>
              <w:t>0.001L</w:t>
            </w:r>
          </w:p>
        </w:tc>
        <w:tc>
          <w:tcPr>
            <w:tcW w:w="622" w:type="dxa"/>
            <w:noWrap/>
            <w:vAlign w:val="center"/>
          </w:tcPr>
          <w:p>
            <w:pPr>
              <w:autoSpaceDE w:val="0"/>
              <w:autoSpaceDN w:val="0"/>
              <w:snapToGrid w:val="0"/>
              <w:jc w:val="center"/>
              <w:rPr>
                <w:szCs w:val="21"/>
              </w:rPr>
            </w:pPr>
            <w:r>
              <w:rPr>
                <w:szCs w:val="28"/>
              </w:rPr>
              <w:t>≤0.05</w:t>
            </w:r>
          </w:p>
        </w:tc>
        <w:tc>
          <w:tcPr>
            <w:tcW w:w="723" w:type="dxa"/>
            <w:noWrap/>
            <w:vAlign w:val="center"/>
          </w:tcPr>
          <w:p>
            <w:pPr>
              <w:widowControl/>
              <w:adjustRightInd w:val="0"/>
              <w:snapToGrid w:val="0"/>
              <w:jc w:val="center"/>
              <w:textAlignment w:val="center"/>
              <w:rPr>
                <w:szCs w:val="21"/>
              </w:rPr>
            </w:pPr>
            <w:r>
              <w:rPr>
                <w:kern w:val="0"/>
                <w:szCs w:val="21"/>
              </w:rPr>
              <w:t xml:space="preserve">0.00 </w:t>
            </w:r>
          </w:p>
        </w:tc>
        <w:tc>
          <w:tcPr>
            <w:tcW w:w="723" w:type="dxa"/>
            <w:noWrap/>
            <w:vAlign w:val="center"/>
          </w:tcPr>
          <w:p>
            <w:pPr>
              <w:widowControl/>
              <w:adjustRightInd w:val="0"/>
              <w:snapToGrid w:val="0"/>
              <w:jc w:val="center"/>
              <w:textAlignment w:val="center"/>
              <w:rPr>
                <w:szCs w:val="21"/>
              </w:rPr>
            </w:pPr>
            <w:r>
              <w:rPr>
                <w:kern w:val="0"/>
                <w:szCs w:val="21"/>
              </w:rPr>
              <w:t xml:space="preserve">0.02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石油类</w:t>
            </w:r>
          </w:p>
        </w:tc>
        <w:tc>
          <w:tcPr>
            <w:tcW w:w="1004" w:type="dxa"/>
            <w:noWrap/>
            <w:vAlign w:val="center"/>
          </w:tcPr>
          <w:p>
            <w:pPr>
              <w:autoSpaceDE w:val="0"/>
              <w:autoSpaceDN w:val="0"/>
              <w:snapToGrid w:val="0"/>
              <w:ind w:left="-112" w:leftChars="-50" w:right="-112" w:rightChars="-50"/>
              <w:jc w:val="center"/>
              <w:rPr>
                <w:szCs w:val="21"/>
              </w:rPr>
            </w:pPr>
            <w:r>
              <w:rPr>
                <w:szCs w:val="28"/>
              </w:rPr>
              <w:t>0.01L</w:t>
            </w:r>
          </w:p>
        </w:tc>
        <w:tc>
          <w:tcPr>
            <w:tcW w:w="988" w:type="dxa"/>
            <w:noWrap/>
            <w:vAlign w:val="center"/>
          </w:tcPr>
          <w:p>
            <w:pPr>
              <w:autoSpaceDE w:val="0"/>
              <w:autoSpaceDN w:val="0"/>
              <w:snapToGrid w:val="0"/>
              <w:ind w:left="-112" w:leftChars="-50" w:right="-112" w:rightChars="-50"/>
              <w:jc w:val="center"/>
              <w:rPr>
                <w:szCs w:val="21"/>
              </w:rPr>
            </w:pPr>
            <w:r>
              <w:rPr>
                <w:szCs w:val="28"/>
              </w:rPr>
              <w:t>0.01L</w:t>
            </w:r>
          </w:p>
        </w:tc>
        <w:tc>
          <w:tcPr>
            <w:tcW w:w="1022" w:type="dxa"/>
            <w:noWrap/>
            <w:vAlign w:val="center"/>
          </w:tcPr>
          <w:p>
            <w:pPr>
              <w:autoSpaceDE w:val="0"/>
              <w:autoSpaceDN w:val="0"/>
              <w:snapToGrid w:val="0"/>
              <w:ind w:left="-112" w:leftChars="-50" w:right="-112" w:rightChars="-50"/>
              <w:jc w:val="center"/>
              <w:rPr>
                <w:szCs w:val="21"/>
              </w:rPr>
            </w:pPr>
            <w:r>
              <w:rPr>
                <w:szCs w:val="28"/>
              </w:rPr>
              <w:t>0.01L</w:t>
            </w:r>
          </w:p>
        </w:tc>
        <w:tc>
          <w:tcPr>
            <w:tcW w:w="982" w:type="dxa"/>
            <w:noWrap/>
            <w:vAlign w:val="center"/>
          </w:tcPr>
          <w:p>
            <w:pPr>
              <w:autoSpaceDE w:val="0"/>
              <w:autoSpaceDN w:val="0"/>
              <w:snapToGrid w:val="0"/>
              <w:ind w:left="-112" w:leftChars="-50" w:right="-112" w:rightChars="-50"/>
              <w:jc w:val="center"/>
              <w:rPr>
                <w:szCs w:val="21"/>
              </w:rPr>
            </w:pPr>
            <w:r>
              <w:rPr>
                <w:szCs w:val="28"/>
              </w:rPr>
              <w:t>0.01L</w:t>
            </w:r>
          </w:p>
        </w:tc>
        <w:tc>
          <w:tcPr>
            <w:tcW w:w="1009" w:type="dxa"/>
            <w:noWrap/>
            <w:vAlign w:val="center"/>
          </w:tcPr>
          <w:p>
            <w:pPr>
              <w:autoSpaceDE w:val="0"/>
              <w:autoSpaceDN w:val="0"/>
              <w:snapToGrid w:val="0"/>
              <w:ind w:left="-112" w:leftChars="-50" w:right="-112" w:rightChars="-50"/>
              <w:jc w:val="center"/>
              <w:rPr>
                <w:szCs w:val="21"/>
              </w:rPr>
            </w:pPr>
            <w:r>
              <w:rPr>
                <w:szCs w:val="28"/>
              </w:rPr>
              <w:t>0.01L</w:t>
            </w:r>
          </w:p>
        </w:tc>
        <w:tc>
          <w:tcPr>
            <w:tcW w:w="987" w:type="dxa"/>
            <w:noWrap/>
            <w:vAlign w:val="center"/>
          </w:tcPr>
          <w:p>
            <w:pPr>
              <w:autoSpaceDE w:val="0"/>
              <w:autoSpaceDN w:val="0"/>
              <w:snapToGrid w:val="0"/>
              <w:ind w:left="-112" w:leftChars="-50" w:right="-112" w:rightChars="-50"/>
              <w:jc w:val="center"/>
              <w:rPr>
                <w:szCs w:val="21"/>
              </w:rPr>
            </w:pPr>
            <w:r>
              <w:rPr>
                <w:szCs w:val="28"/>
              </w:rPr>
              <w:t>0.01L</w:t>
            </w:r>
          </w:p>
        </w:tc>
        <w:tc>
          <w:tcPr>
            <w:tcW w:w="622" w:type="dxa"/>
            <w:noWrap/>
            <w:vAlign w:val="center"/>
          </w:tcPr>
          <w:p>
            <w:pPr>
              <w:autoSpaceDE w:val="0"/>
              <w:autoSpaceDN w:val="0"/>
              <w:snapToGrid w:val="0"/>
              <w:jc w:val="center"/>
              <w:rPr>
                <w:szCs w:val="21"/>
              </w:rPr>
            </w:pPr>
            <w:r>
              <w:rPr>
                <w:szCs w:val="28"/>
              </w:rPr>
              <w:t>≤0.05</w:t>
            </w:r>
          </w:p>
        </w:tc>
        <w:tc>
          <w:tcPr>
            <w:tcW w:w="723" w:type="dxa"/>
            <w:noWrap/>
            <w:vAlign w:val="center"/>
          </w:tcPr>
          <w:p>
            <w:pPr>
              <w:widowControl/>
              <w:adjustRightInd w:val="0"/>
              <w:snapToGrid w:val="0"/>
              <w:jc w:val="center"/>
              <w:textAlignment w:val="center"/>
              <w:rPr>
                <w:szCs w:val="21"/>
              </w:rPr>
            </w:pPr>
            <w:r>
              <w:rPr>
                <w:kern w:val="0"/>
                <w:szCs w:val="21"/>
              </w:rPr>
              <w:t xml:space="preserve">0.01 </w:t>
            </w:r>
          </w:p>
        </w:tc>
        <w:tc>
          <w:tcPr>
            <w:tcW w:w="723" w:type="dxa"/>
            <w:noWrap/>
            <w:vAlign w:val="center"/>
          </w:tcPr>
          <w:p>
            <w:pPr>
              <w:widowControl/>
              <w:adjustRightInd w:val="0"/>
              <w:snapToGrid w:val="0"/>
              <w:jc w:val="center"/>
              <w:textAlignment w:val="center"/>
              <w:rPr>
                <w:szCs w:val="21"/>
              </w:rPr>
            </w:pPr>
            <w:r>
              <w:rPr>
                <w:kern w:val="0"/>
                <w:szCs w:val="21"/>
              </w:rPr>
              <w:t xml:space="preserve">0.20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阴离子表面活性剂</w:t>
            </w:r>
          </w:p>
        </w:tc>
        <w:tc>
          <w:tcPr>
            <w:tcW w:w="1004" w:type="dxa"/>
            <w:noWrap/>
            <w:vAlign w:val="center"/>
          </w:tcPr>
          <w:p>
            <w:pPr>
              <w:autoSpaceDE w:val="0"/>
              <w:autoSpaceDN w:val="0"/>
              <w:snapToGrid w:val="0"/>
              <w:ind w:left="-112" w:leftChars="-50" w:right="-112" w:rightChars="-50"/>
              <w:jc w:val="center"/>
              <w:rPr>
                <w:szCs w:val="21"/>
              </w:rPr>
            </w:pPr>
            <w:r>
              <w:rPr>
                <w:szCs w:val="28"/>
              </w:rPr>
              <w:t>0.07</w:t>
            </w:r>
          </w:p>
        </w:tc>
        <w:tc>
          <w:tcPr>
            <w:tcW w:w="988" w:type="dxa"/>
            <w:noWrap/>
            <w:vAlign w:val="center"/>
          </w:tcPr>
          <w:p>
            <w:pPr>
              <w:autoSpaceDE w:val="0"/>
              <w:autoSpaceDN w:val="0"/>
              <w:snapToGrid w:val="0"/>
              <w:ind w:left="-112" w:leftChars="-50" w:right="-112" w:rightChars="-50"/>
              <w:jc w:val="center"/>
              <w:rPr>
                <w:szCs w:val="21"/>
              </w:rPr>
            </w:pPr>
            <w:r>
              <w:rPr>
                <w:szCs w:val="28"/>
              </w:rPr>
              <w:t>0.11</w:t>
            </w:r>
          </w:p>
        </w:tc>
        <w:tc>
          <w:tcPr>
            <w:tcW w:w="1022" w:type="dxa"/>
            <w:noWrap/>
            <w:vAlign w:val="center"/>
          </w:tcPr>
          <w:p>
            <w:pPr>
              <w:autoSpaceDE w:val="0"/>
              <w:autoSpaceDN w:val="0"/>
              <w:snapToGrid w:val="0"/>
              <w:ind w:left="-112" w:leftChars="-50" w:right="-112" w:rightChars="-50"/>
              <w:jc w:val="center"/>
              <w:rPr>
                <w:szCs w:val="21"/>
              </w:rPr>
            </w:pPr>
            <w:r>
              <w:rPr>
                <w:szCs w:val="28"/>
              </w:rPr>
              <w:t>0.13</w:t>
            </w:r>
          </w:p>
        </w:tc>
        <w:tc>
          <w:tcPr>
            <w:tcW w:w="982" w:type="dxa"/>
            <w:noWrap/>
            <w:vAlign w:val="center"/>
          </w:tcPr>
          <w:p>
            <w:pPr>
              <w:autoSpaceDE w:val="0"/>
              <w:autoSpaceDN w:val="0"/>
              <w:snapToGrid w:val="0"/>
              <w:ind w:left="-112" w:leftChars="-50" w:right="-112" w:rightChars="-50"/>
              <w:jc w:val="center"/>
              <w:rPr>
                <w:szCs w:val="21"/>
              </w:rPr>
            </w:pPr>
            <w:r>
              <w:rPr>
                <w:szCs w:val="28"/>
              </w:rPr>
              <w:t>0.14</w:t>
            </w:r>
          </w:p>
        </w:tc>
        <w:tc>
          <w:tcPr>
            <w:tcW w:w="1009" w:type="dxa"/>
            <w:noWrap/>
            <w:vAlign w:val="center"/>
          </w:tcPr>
          <w:p>
            <w:pPr>
              <w:autoSpaceDE w:val="0"/>
              <w:autoSpaceDN w:val="0"/>
              <w:snapToGrid w:val="0"/>
              <w:ind w:left="-112" w:leftChars="-50" w:right="-112" w:rightChars="-50"/>
              <w:jc w:val="center"/>
              <w:rPr>
                <w:szCs w:val="21"/>
              </w:rPr>
            </w:pPr>
            <w:r>
              <w:rPr>
                <w:szCs w:val="28"/>
              </w:rPr>
              <w:t>0.15</w:t>
            </w:r>
          </w:p>
        </w:tc>
        <w:tc>
          <w:tcPr>
            <w:tcW w:w="987" w:type="dxa"/>
            <w:noWrap/>
            <w:vAlign w:val="center"/>
          </w:tcPr>
          <w:p>
            <w:pPr>
              <w:autoSpaceDE w:val="0"/>
              <w:autoSpaceDN w:val="0"/>
              <w:snapToGrid w:val="0"/>
              <w:ind w:left="-112" w:leftChars="-50" w:right="-112" w:rightChars="-50"/>
              <w:jc w:val="center"/>
              <w:rPr>
                <w:szCs w:val="21"/>
              </w:rPr>
            </w:pPr>
            <w:r>
              <w:rPr>
                <w:szCs w:val="28"/>
              </w:rPr>
              <w:t>0.16</w:t>
            </w:r>
          </w:p>
        </w:tc>
        <w:tc>
          <w:tcPr>
            <w:tcW w:w="622" w:type="dxa"/>
            <w:noWrap/>
            <w:vAlign w:val="center"/>
          </w:tcPr>
          <w:p>
            <w:pPr>
              <w:autoSpaceDE w:val="0"/>
              <w:autoSpaceDN w:val="0"/>
              <w:snapToGrid w:val="0"/>
              <w:jc w:val="center"/>
              <w:rPr>
                <w:szCs w:val="21"/>
              </w:rPr>
            </w:pPr>
            <w:r>
              <w:rPr>
                <w:szCs w:val="28"/>
              </w:rPr>
              <w:t>≤0.2</w:t>
            </w:r>
          </w:p>
        </w:tc>
        <w:tc>
          <w:tcPr>
            <w:tcW w:w="723" w:type="dxa"/>
            <w:noWrap/>
            <w:vAlign w:val="center"/>
          </w:tcPr>
          <w:p>
            <w:pPr>
              <w:widowControl/>
              <w:adjustRightInd w:val="0"/>
              <w:snapToGrid w:val="0"/>
              <w:jc w:val="center"/>
              <w:textAlignment w:val="center"/>
              <w:rPr>
                <w:szCs w:val="21"/>
              </w:rPr>
            </w:pPr>
            <w:r>
              <w:rPr>
                <w:kern w:val="0"/>
                <w:szCs w:val="21"/>
              </w:rPr>
              <w:t xml:space="preserve">0.13 </w:t>
            </w:r>
          </w:p>
        </w:tc>
        <w:tc>
          <w:tcPr>
            <w:tcW w:w="723" w:type="dxa"/>
            <w:noWrap/>
            <w:vAlign w:val="center"/>
          </w:tcPr>
          <w:p>
            <w:pPr>
              <w:widowControl/>
              <w:adjustRightInd w:val="0"/>
              <w:snapToGrid w:val="0"/>
              <w:jc w:val="center"/>
              <w:textAlignment w:val="center"/>
              <w:rPr>
                <w:szCs w:val="21"/>
              </w:rPr>
            </w:pPr>
            <w:r>
              <w:rPr>
                <w:kern w:val="0"/>
                <w:szCs w:val="21"/>
              </w:rPr>
              <w:t xml:space="preserve">0.63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硫化物</w:t>
            </w:r>
          </w:p>
        </w:tc>
        <w:tc>
          <w:tcPr>
            <w:tcW w:w="1004" w:type="dxa"/>
            <w:noWrap/>
            <w:vAlign w:val="center"/>
          </w:tcPr>
          <w:p>
            <w:pPr>
              <w:autoSpaceDE w:val="0"/>
              <w:autoSpaceDN w:val="0"/>
              <w:snapToGrid w:val="0"/>
              <w:ind w:left="-112" w:leftChars="-50" w:right="-112" w:rightChars="-50"/>
              <w:jc w:val="center"/>
              <w:rPr>
                <w:szCs w:val="21"/>
              </w:rPr>
            </w:pPr>
            <w:r>
              <w:rPr>
                <w:szCs w:val="28"/>
              </w:rPr>
              <w:t>0.01L</w:t>
            </w:r>
          </w:p>
        </w:tc>
        <w:tc>
          <w:tcPr>
            <w:tcW w:w="988" w:type="dxa"/>
            <w:noWrap/>
            <w:vAlign w:val="center"/>
          </w:tcPr>
          <w:p>
            <w:pPr>
              <w:autoSpaceDE w:val="0"/>
              <w:autoSpaceDN w:val="0"/>
              <w:snapToGrid w:val="0"/>
              <w:ind w:left="-112" w:leftChars="-50" w:right="-112" w:rightChars="-50"/>
              <w:jc w:val="center"/>
              <w:rPr>
                <w:szCs w:val="21"/>
              </w:rPr>
            </w:pPr>
            <w:r>
              <w:rPr>
                <w:szCs w:val="28"/>
              </w:rPr>
              <w:t>0.01L</w:t>
            </w:r>
          </w:p>
        </w:tc>
        <w:tc>
          <w:tcPr>
            <w:tcW w:w="1022" w:type="dxa"/>
            <w:noWrap/>
            <w:vAlign w:val="center"/>
          </w:tcPr>
          <w:p>
            <w:pPr>
              <w:autoSpaceDE w:val="0"/>
              <w:autoSpaceDN w:val="0"/>
              <w:snapToGrid w:val="0"/>
              <w:ind w:left="-112" w:leftChars="-50" w:right="-112" w:rightChars="-50"/>
              <w:jc w:val="center"/>
              <w:rPr>
                <w:szCs w:val="21"/>
              </w:rPr>
            </w:pPr>
            <w:r>
              <w:rPr>
                <w:szCs w:val="28"/>
              </w:rPr>
              <w:t>0.01L</w:t>
            </w:r>
          </w:p>
        </w:tc>
        <w:tc>
          <w:tcPr>
            <w:tcW w:w="982" w:type="dxa"/>
            <w:noWrap/>
            <w:vAlign w:val="center"/>
          </w:tcPr>
          <w:p>
            <w:pPr>
              <w:autoSpaceDE w:val="0"/>
              <w:autoSpaceDN w:val="0"/>
              <w:snapToGrid w:val="0"/>
              <w:ind w:left="-112" w:leftChars="-50" w:right="-112" w:rightChars="-50"/>
              <w:jc w:val="center"/>
              <w:rPr>
                <w:szCs w:val="21"/>
              </w:rPr>
            </w:pPr>
            <w:r>
              <w:rPr>
                <w:szCs w:val="28"/>
              </w:rPr>
              <w:t>0.01L</w:t>
            </w:r>
          </w:p>
        </w:tc>
        <w:tc>
          <w:tcPr>
            <w:tcW w:w="1009" w:type="dxa"/>
            <w:noWrap/>
            <w:vAlign w:val="center"/>
          </w:tcPr>
          <w:p>
            <w:pPr>
              <w:autoSpaceDE w:val="0"/>
              <w:autoSpaceDN w:val="0"/>
              <w:snapToGrid w:val="0"/>
              <w:ind w:left="-112" w:leftChars="-50" w:right="-112" w:rightChars="-50"/>
              <w:jc w:val="center"/>
              <w:rPr>
                <w:szCs w:val="21"/>
              </w:rPr>
            </w:pPr>
            <w:r>
              <w:rPr>
                <w:szCs w:val="28"/>
              </w:rPr>
              <w:t>0.01L</w:t>
            </w:r>
          </w:p>
        </w:tc>
        <w:tc>
          <w:tcPr>
            <w:tcW w:w="987" w:type="dxa"/>
            <w:noWrap/>
            <w:vAlign w:val="center"/>
          </w:tcPr>
          <w:p>
            <w:pPr>
              <w:autoSpaceDE w:val="0"/>
              <w:autoSpaceDN w:val="0"/>
              <w:snapToGrid w:val="0"/>
              <w:ind w:left="-112" w:leftChars="-50" w:right="-112" w:rightChars="-50"/>
              <w:jc w:val="center"/>
              <w:rPr>
                <w:szCs w:val="21"/>
              </w:rPr>
            </w:pPr>
            <w:r>
              <w:rPr>
                <w:szCs w:val="28"/>
              </w:rPr>
              <w:t>0.01L</w:t>
            </w:r>
          </w:p>
        </w:tc>
        <w:tc>
          <w:tcPr>
            <w:tcW w:w="622" w:type="dxa"/>
            <w:noWrap/>
            <w:vAlign w:val="center"/>
          </w:tcPr>
          <w:p>
            <w:pPr>
              <w:autoSpaceDE w:val="0"/>
              <w:autoSpaceDN w:val="0"/>
              <w:snapToGrid w:val="0"/>
              <w:jc w:val="center"/>
              <w:rPr>
                <w:szCs w:val="21"/>
              </w:rPr>
            </w:pPr>
            <w:r>
              <w:rPr>
                <w:szCs w:val="28"/>
              </w:rPr>
              <w:t>≤0.2</w:t>
            </w:r>
          </w:p>
        </w:tc>
        <w:tc>
          <w:tcPr>
            <w:tcW w:w="723" w:type="dxa"/>
            <w:noWrap/>
            <w:vAlign w:val="center"/>
          </w:tcPr>
          <w:p>
            <w:pPr>
              <w:widowControl/>
              <w:adjustRightInd w:val="0"/>
              <w:snapToGrid w:val="0"/>
              <w:jc w:val="center"/>
              <w:textAlignment w:val="center"/>
              <w:rPr>
                <w:szCs w:val="21"/>
              </w:rPr>
            </w:pPr>
            <w:r>
              <w:rPr>
                <w:kern w:val="0"/>
                <w:szCs w:val="21"/>
              </w:rPr>
              <w:t xml:space="preserve">0.01 </w:t>
            </w:r>
          </w:p>
        </w:tc>
        <w:tc>
          <w:tcPr>
            <w:tcW w:w="723" w:type="dxa"/>
            <w:noWrap/>
            <w:vAlign w:val="center"/>
          </w:tcPr>
          <w:p>
            <w:pPr>
              <w:widowControl/>
              <w:adjustRightInd w:val="0"/>
              <w:snapToGrid w:val="0"/>
              <w:jc w:val="center"/>
              <w:textAlignment w:val="center"/>
              <w:rPr>
                <w:szCs w:val="21"/>
              </w:rPr>
            </w:pPr>
            <w:r>
              <w:rPr>
                <w:kern w:val="0"/>
                <w:szCs w:val="21"/>
              </w:rPr>
              <w:t xml:space="preserve">0.05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粪大肠菌群（CFU/L）</w:t>
            </w:r>
          </w:p>
        </w:tc>
        <w:tc>
          <w:tcPr>
            <w:tcW w:w="1004" w:type="dxa"/>
            <w:noWrap/>
            <w:vAlign w:val="center"/>
          </w:tcPr>
          <w:p>
            <w:pPr>
              <w:autoSpaceDE w:val="0"/>
              <w:autoSpaceDN w:val="0"/>
              <w:snapToGrid w:val="0"/>
              <w:ind w:left="-112" w:leftChars="-50" w:right="-112" w:rightChars="-50"/>
              <w:jc w:val="center"/>
              <w:rPr>
                <w:szCs w:val="21"/>
              </w:rPr>
            </w:pPr>
            <w:r>
              <w:rPr>
                <w:szCs w:val="28"/>
              </w:rPr>
              <w:t>10L</w:t>
            </w:r>
          </w:p>
        </w:tc>
        <w:tc>
          <w:tcPr>
            <w:tcW w:w="988" w:type="dxa"/>
            <w:noWrap/>
            <w:vAlign w:val="center"/>
          </w:tcPr>
          <w:p>
            <w:pPr>
              <w:autoSpaceDE w:val="0"/>
              <w:autoSpaceDN w:val="0"/>
              <w:snapToGrid w:val="0"/>
              <w:ind w:left="-112" w:leftChars="-50" w:right="-112" w:rightChars="-50"/>
              <w:jc w:val="center"/>
              <w:rPr>
                <w:szCs w:val="21"/>
              </w:rPr>
            </w:pPr>
            <w:r>
              <w:rPr>
                <w:szCs w:val="28"/>
              </w:rPr>
              <w:t>10L</w:t>
            </w:r>
          </w:p>
        </w:tc>
        <w:tc>
          <w:tcPr>
            <w:tcW w:w="1022" w:type="dxa"/>
            <w:noWrap/>
            <w:vAlign w:val="center"/>
          </w:tcPr>
          <w:p>
            <w:pPr>
              <w:autoSpaceDE w:val="0"/>
              <w:autoSpaceDN w:val="0"/>
              <w:snapToGrid w:val="0"/>
              <w:ind w:left="-112" w:leftChars="-50" w:right="-112" w:rightChars="-50"/>
              <w:jc w:val="center"/>
              <w:rPr>
                <w:szCs w:val="21"/>
              </w:rPr>
            </w:pPr>
            <w:r>
              <w:rPr>
                <w:szCs w:val="28"/>
              </w:rPr>
              <w:t>10L</w:t>
            </w:r>
          </w:p>
        </w:tc>
        <w:tc>
          <w:tcPr>
            <w:tcW w:w="982" w:type="dxa"/>
            <w:noWrap/>
            <w:vAlign w:val="center"/>
          </w:tcPr>
          <w:p>
            <w:pPr>
              <w:autoSpaceDE w:val="0"/>
              <w:autoSpaceDN w:val="0"/>
              <w:snapToGrid w:val="0"/>
              <w:ind w:left="-112" w:leftChars="-50" w:right="-112" w:rightChars="-50"/>
              <w:jc w:val="center"/>
              <w:rPr>
                <w:szCs w:val="21"/>
              </w:rPr>
            </w:pPr>
            <w:r>
              <w:rPr>
                <w:szCs w:val="28"/>
              </w:rPr>
              <w:t>10L</w:t>
            </w:r>
          </w:p>
        </w:tc>
        <w:tc>
          <w:tcPr>
            <w:tcW w:w="1009" w:type="dxa"/>
            <w:noWrap/>
            <w:vAlign w:val="center"/>
          </w:tcPr>
          <w:p>
            <w:pPr>
              <w:autoSpaceDE w:val="0"/>
              <w:autoSpaceDN w:val="0"/>
              <w:snapToGrid w:val="0"/>
              <w:ind w:left="-112" w:leftChars="-50" w:right="-112" w:rightChars="-50"/>
              <w:jc w:val="center"/>
              <w:rPr>
                <w:szCs w:val="21"/>
              </w:rPr>
            </w:pPr>
            <w:r>
              <w:rPr>
                <w:szCs w:val="28"/>
              </w:rPr>
              <w:t>10L</w:t>
            </w:r>
          </w:p>
        </w:tc>
        <w:tc>
          <w:tcPr>
            <w:tcW w:w="987" w:type="dxa"/>
            <w:noWrap/>
            <w:vAlign w:val="center"/>
          </w:tcPr>
          <w:p>
            <w:pPr>
              <w:autoSpaceDE w:val="0"/>
              <w:autoSpaceDN w:val="0"/>
              <w:snapToGrid w:val="0"/>
              <w:ind w:left="-112" w:leftChars="-50" w:right="-112" w:rightChars="-50"/>
              <w:jc w:val="center"/>
              <w:rPr>
                <w:szCs w:val="21"/>
              </w:rPr>
            </w:pPr>
            <w:r>
              <w:rPr>
                <w:szCs w:val="28"/>
              </w:rPr>
              <w:t>10L</w:t>
            </w:r>
          </w:p>
        </w:tc>
        <w:tc>
          <w:tcPr>
            <w:tcW w:w="622" w:type="dxa"/>
            <w:noWrap/>
            <w:vAlign w:val="center"/>
          </w:tcPr>
          <w:p>
            <w:pPr>
              <w:autoSpaceDE w:val="0"/>
              <w:autoSpaceDN w:val="0"/>
              <w:snapToGrid w:val="0"/>
              <w:jc w:val="center"/>
              <w:rPr>
                <w:szCs w:val="21"/>
              </w:rPr>
            </w:pPr>
            <w:r>
              <w:rPr>
                <w:szCs w:val="28"/>
              </w:rPr>
              <w:t>≤10000（个/L）</w:t>
            </w:r>
          </w:p>
        </w:tc>
        <w:tc>
          <w:tcPr>
            <w:tcW w:w="723" w:type="dxa"/>
            <w:noWrap/>
            <w:vAlign w:val="center"/>
          </w:tcPr>
          <w:p>
            <w:pPr>
              <w:widowControl/>
              <w:adjustRightInd w:val="0"/>
              <w:snapToGrid w:val="0"/>
              <w:jc w:val="center"/>
              <w:textAlignment w:val="center"/>
              <w:rPr>
                <w:szCs w:val="21"/>
              </w:rPr>
            </w:pPr>
            <w:r>
              <w:rPr>
                <w:kern w:val="0"/>
                <w:szCs w:val="21"/>
              </w:rPr>
              <w:t xml:space="preserve">10.00 </w:t>
            </w:r>
          </w:p>
        </w:tc>
        <w:tc>
          <w:tcPr>
            <w:tcW w:w="723" w:type="dxa"/>
            <w:noWrap/>
            <w:vAlign w:val="center"/>
          </w:tcPr>
          <w:p>
            <w:pPr>
              <w:widowControl/>
              <w:adjustRightInd w:val="0"/>
              <w:snapToGrid w:val="0"/>
              <w:jc w:val="center"/>
              <w:textAlignment w:val="center"/>
              <w:rPr>
                <w:szCs w:val="21"/>
              </w:rPr>
            </w:pPr>
            <w:r>
              <w:rPr>
                <w:kern w:val="0"/>
                <w:szCs w:val="21"/>
              </w:rPr>
              <w:t xml:space="preserve">0.00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氯化物（以Cl</w:t>
            </w:r>
            <w:r>
              <w:rPr>
                <w:szCs w:val="28"/>
                <w:vertAlign w:val="superscript"/>
              </w:rPr>
              <w:t>-</w:t>
            </w:r>
            <w:r>
              <w:rPr>
                <w:szCs w:val="28"/>
              </w:rPr>
              <w:t>计）</w:t>
            </w:r>
          </w:p>
        </w:tc>
        <w:tc>
          <w:tcPr>
            <w:tcW w:w="1004" w:type="dxa"/>
            <w:noWrap/>
            <w:vAlign w:val="center"/>
          </w:tcPr>
          <w:p>
            <w:pPr>
              <w:autoSpaceDE w:val="0"/>
              <w:autoSpaceDN w:val="0"/>
              <w:snapToGrid w:val="0"/>
              <w:ind w:left="-112" w:leftChars="-50" w:right="-112" w:rightChars="-50"/>
              <w:jc w:val="center"/>
              <w:rPr>
                <w:szCs w:val="21"/>
              </w:rPr>
            </w:pPr>
            <w:r>
              <w:rPr>
                <w:szCs w:val="28"/>
              </w:rPr>
              <w:t>88.4</w:t>
            </w:r>
          </w:p>
        </w:tc>
        <w:tc>
          <w:tcPr>
            <w:tcW w:w="988" w:type="dxa"/>
            <w:noWrap/>
            <w:vAlign w:val="center"/>
          </w:tcPr>
          <w:p>
            <w:pPr>
              <w:autoSpaceDE w:val="0"/>
              <w:autoSpaceDN w:val="0"/>
              <w:snapToGrid w:val="0"/>
              <w:ind w:left="-112" w:leftChars="-50" w:right="-112" w:rightChars="-50"/>
              <w:jc w:val="center"/>
              <w:rPr>
                <w:szCs w:val="21"/>
              </w:rPr>
            </w:pPr>
            <w:r>
              <w:rPr>
                <w:szCs w:val="28"/>
              </w:rPr>
              <w:t>88.5</w:t>
            </w:r>
          </w:p>
        </w:tc>
        <w:tc>
          <w:tcPr>
            <w:tcW w:w="1022" w:type="dxa"/>
            <w:noWrap/>
            <w:vAlign w:val="center"/>
          </w:tcPr>
          <w:p>
            <w:pPr>
              <w:autoSpaceDE w:val="0"/>
              <w:autoSpaceDN w:val="0"/>
              <w:snapToGrid w:val="0"/>
              <w:ind w:left="-112" w:leftChars="-50" w:right="-112" w:rightChars="-50"/>
              <w:jc w:val="center"/>
              <w:rPr>
                <w:szCs w:val="21"/>
              </w:rPr>
            </w:pPr>
            <w:r>
              <w:rPr>
                <w:szCs w:val="28"/>
              </w:rPr>
              <w:t>88.3</w:t>
            </w:r>
          </w:p>
        </w:tc>
        <w:tc>
          <w:tcPr>
            <w:tcW w:w="982" w:type="dxa"/>
            <w:noWrap/>
            <w:vAlign w:val="center"/>
          </w:tcPr>
          <w:p>
            <w:pPr>
              <w:autoSpaceDE w:val="0"/>
              <w:autoSpaceDN w:val="0"/>
              <w:snapToGrid w:val="0"/>
              <w:ind w:left="-112" w:leftChars="-50" w:right="-112" w:rightChars="-50"/>
              <w:jc w:val="center"/>
              <w:rPr>
                <w:szCs w:val="21"/>
              </w:rPr>
            </w:pPr>
            <w:r>
              <w:rPr>
                <w:szCs w:val="28"/>
              </w:rPr>
              <w:t>90.3</w:t>
            </w:r>
          </w:p>
        </w:tc>
        <w:tc>
          <w:tcPr>
            <w:tcW w:w="1009" w:type="dxa"/>
            <w:noWrap/>
            <w:vAlign w:val="center"/>
          </w:tcPr>
          <w:p>
            <w:pPr>
              <w:autoSpaceDE w:val="0"/>
              <w:autoSpaceDN w:val="0"/>
              <w:snapToGrid w:val="0"/>
              <w:ind w:left="-112" w:leftChars="-50" w:right="-112" w:rightChars="-50"/>
              <w:jc w:val="center"/>
              <w:rPr>
                <w:szCs w:val="21"/>
              </w:rPr>
            </w:pPr>
            <w:r>
              <w:rPr>
                <w:szCs w:val="28"/>
              </w:rPr>
              <w:t>83.1</w:t>
            </w:r>
          </w:p>
        </w:tc>
        <w:tc>
          <w:tcPr>
            <w:tcW w:w="987" w:type="dxa"/>
            <w:noWrap/>
            <w:vAlign w:val="center"/>
          </w:tcPr>
          <w:p>
            <w:pPr>
              <w:autoSpaceDE w:val="0"/>
              <w:autoSpaceDN w:val="0"/>
              <w:snapToGrid w:val="0"/>
              <w:ind w:left="-112" w:leftChars="-50" w:right="-112" w:rightChars="-50"/>
              <w:jc w:val="center"/>
              <w:rPr>
                <w:szCs w:val="21"/>
              </w:rPr>
            </w:pPr>
            <w:r>
              <w:rPr>
                <w:szCs w:val="28"/>
              </w:rPr>
              <w:t>89.2</w:t>
            </w:r>
          </w:p>
        </w:tc>
        <w:tc>
          <w:tcPr>
            <w:tcW w:w="622" w:type="dxa"/>
            <w:noWrap/>
            <w:vAlign w:val="center"/>
          </w:tcPr>
          <w:p>
            <w:pPr>
              <w:autoSpaceDE w:val="0"/>
              <w:autoSpaceDN w:val="0"/>
              <w:snapToGrid w:val="0"/>
              <w:jc w:val="center"/>
              <w:rPr>
                <w:szCs w:val="21"/>
              </w:rPr>
            </w:pPr>
            <w:r>
              <w:rPr>
                <w:szCs w:val="28"/>
              </w:rPr>
              <w:t>250</w:t>
            </w:r>
          </w:p>
        </w:tc>
        <w:tc>
          <w:tcPr>
            <w:tcW w:w="723" w:type="dxa"/>
            <w:noWrap/>
            <w:vAlign w:val="center"/>
          </w:tcPr>
          <w:p>
            <w:pPr>
              <w:widowControl/>
              <w:adjustRightInd w:val="0"/>
              <w:snapToGrid w:val="0"/>
              <w:jc w:val="center"/>
              <w:textAlignment w:val="center"/>
              <w:rPr>
                <w:szCs w:val="21"/>
              </w:rPr>
            </w:pPr>
            <w:r>
              <w:rPr>
                <w:kern w:val="0"/>
                <w:szCs w:val="21"/>
              </w:rPr>
              <w:t xml:space="preserve">87.97 </w:t>
            </w:r>
          </w:p>
        </w:tc>
        <w:tc>
          <w:tcPr>
            <w:tcW w:w="723" w:type="dxa"/>
            <w:noWrap/>
            <w:vAlign w:val="center"/>
          </w:tcPr>
          <w:p>
            <w:pPr>
              <w:widowControl/>
              <w:adjustRightInd w:val="0"/>
              <w:snapToGrid w:val="0"/>
              <w:jc w:val="center"/>
              <w:textAlignment w:val="center"/>
              <w:rPr>
                <w:szCs w:val="21"/>
              </w:rPr>
            </w:pPr>
            <w:r>
              <w:rPr>
                <w:kern w:val="0"/>
                <w:szCs w:val="21"/>
              </w:rPr>
              <w:t xml:space="preserve">0.35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镍</w:t>
            </w:r>
          </w:p>
        </w:tc>
        <w:tc>
          <w:tcPr>
            <w:tcW w:w="1004" w:type="dxa"/>
            <w:noWrap/>
            <w:vAlign w:val="center"/>
          </w:tcPr>
          <w:p>
            <w:pPr>
              <w:autoSpaceDE w:val="0"/>
              <w:autoSpaceDN w:val="0"/>
              <w:snapToGrid w:val="0"/>
              <w:ind w:left="-112" w:leftChars="-50" w:right="-112" w:rightChars="-50"/>
              <w:jc w:val="center"/>
              <w:rPr>
                <w:szCs w:val="21"/>
              </w:rPr>
            </w:pPr>
            <w:r>
              <w:rPr>
                <w:szCs w:val="28"/>
              </w:rPr>
              <w:t>0.007L</w:t>
            </w:r>
          </w:p>
        </w:tc>
        <w:tc>
          <w:tcPr>
            <w:tcW w:w="988" w:type="dxa"/>
            <w:noWrap/>
            <w:vAlign w:val="center"/>
          </w:tcPr>
          <w:p>
            <w:pPr>
              <w:autoSpaceDE w:val="0"/>
              <w:autoSpaceDN w:val="0"/>
              <w:snapToGrid w:val="0"/>
              <w:ind w:left="-112" w:leftChars="-50" w:right="-112" w:rightChars="-50"/>
              <w:jc w:val="center"/>
              <w:rPr>
                <w:szCs w:val="21"/>
              </w:rPr>
            </w:pPr>
            <w:r>
              <w:rPr>
                <w:szCs w:val="28"/>
              </w:rPr>
              <w:t>0.007L</w:t>
            </w:r>
          </w:p>
        </w:tc>
        <w:tc>
          <w:tcPr>
            <w:tcW w:w="1022" w:type="dxa"/>
            <w:noWrap/>
            <w:vAlign w:val="center"/>
          </w:tcPr>
          <w:p>
            <w:pPr>
              <w:autoSpaceDE w:val="0"/>
              <w:autoSpaceDN w:val="0"/>
              <w:snapToGrid w:val="0"/>
              <w:ind w:left="-112" w:leftChars="-50" w:right="-112" w:rightChars="-50"/>
              <w:jc w:val="center"/>
              <w:rPr>
                <w:szCs w:val="21"/>
              </w:rPr>
            </w:pPr>
            <w:r>
              <w:rPr>
                <w:szCs w:val="28"/>
              </w:rPr>
              <w:t>0.007L</w:t>
            </w:r>
          </w:p>
        </w:tc>
        <w:tc>
          <w:tcPr>
            <w:tcW w:w="982" w:type="dxa"/>
            <w:noWrap/>
            <w:vAlign w:val="center"/>
          </w:tcPr>
          <w:p>
            <w:pPr>
              <w:autoSpaceDE w:val="0"/>
              <w:autoSpaceDN w:val="0"/>
              <w:snapToGrid w:val="0"/>
              <w:ind w:left="-112" w:leftChars="-50" w:right="-112" w:rightChars="-50"/>
              <w:jc w:val="center"/>
              <w:rPr>
                <w:szCs w:val="21"/>
              </w:rPr>
            </w:pPr>
            <w:r>
              <w:rPr>
                <w:szCs w:val="28"/>
              </w:rPr>
              <w:t>0.007L</w:t>
            </w:r>
          </w:p>
        </w:tc>
        <w:tc>
          <w:tcPr>
            <w:tcW w:w="1009" w:type="dxa"/>
            <w:noWrap/>
            <w:vAlign w:val="center"/>
          </w:tcPr>
          <w:p>
            <w:pPr>
              <w:autoSpaceDE w:val="0"/>
              <w:autoSpaceDN w:val="0"/>
              <w:snapToGrid w:val="0"/>
              <w:ind w:left="-112" w:leftChars="-50" w:right="-112" w:rightChars="-50"/>
              <w:jc w:val="center"/>
              <w:rPr>
                <w:szCs w:val="21"/>
              </w:rPr>
            </w:pPr>
            <w:r>
              <w:rPr>
                <w:szCs w:val="28"/>
              </w:rPr>
              <w:t>0.007L</w:t>
            </w:r>
          </w:p>
        </w:tc>
        <w:tc>
          <w:tcPr>
            <w:tcW w:w="987" w:type="dxa"/>
            <w:noWrap/>
            <w:vAlign w:val="center"/>
          </w:tcPr>
          <w:p>
            <w:pPr>
              <w:autoSpaceDE w:val="0"/>
              <w:autoSpaceDN w:val="0"/>
              <w:snapToGrid w:val="0"/>
              <w:ind w:left="-112" w:leftChars="-50" w:right="-112" w:rightChars="-50"/>
              <w:jc w:val="center"/>
              <w:rPr>
                <w:szCs w:val="21"/>
              </w:rPr>
            </w:pPr>
            <w:r>
              <w:rPr>
                <w:szCs w:val="28"/>
              </w:rPr>
              <w:t>0.007L</w:t>
            </w:r>
          </w:p>
        </w:tc>
        <w:tc>
          <w:tcPr>
            <w:tcW w:w="622" w:type="dxa"/>
            <w:noWrap/>
            <w:vAlign w:val="center"/>
          </w:tcPr>
          <w:p>
            <w:pPr>
              <w:autoSpaceDE w:val="0"/>
              <w:autoSpaceDN w:val="0"/>
              <w:snapToGrid w:val="0"/>
              <w:ind w:left="-112" w:leftChars="-50" w:right="-112" w:rightChars="-50"/>
              <w:jc w:val="center"/>
              <w:rPr>
                <w:szCs w:val="21"/>
              </w:rPr>
            </w:pPr>
            <w:r>
              <w:rPr>
                <w:szCs w:val="28"/>
              </w:rPr>
              <w:t>0.02</w:t>
            </w:r>
          </w:p>
        </w:tc>
        <w:tc>
          <w:tcPr>
            <w:tcW w:w="723" w:type="dxa"/>
            <w:noWrap/>
            <w:vAlign w:val="center"/>
          </w:tcPr>
          <w:p>
            <w:pPr>
              <w:widowControl/>
              <w:adjustRightInd w:val="0"/>
              <w:snapToGrid w:val="0"/>
              <w:jc w:val="center"/>
              <w:textAlignment w:val="center"/>
              <w:rPr>
                <w:szCs w:val="21"/>
              </w:rPr>
            </w:pPr>
            <w:r>
              <w:rPr>
                <w:kern w:val="0"/>
                <w:szCs w:val="21"/>
              </w:rPr>
              <w:t xml:space="preserve">0.01 </w:t>
            </w:r>
          </w:p>
        </w:tc>
        <w:tc>
          <w:tcPr>
            <w:tcW w:w="723" w:type="dxa"/>
            <w:noWrap/>
            <w:vAlign w:val="center"/>
          </w:tcPr>
          <w:p>
            <w:pPr>
              <w:widowControl/>
              <w:adjustRightInd w:val="0"/>
              <w:snapToGrid w:val="0"/>
              <w:jc w:val="center"/>
              <w:textAlignment w:val="center"/>
              <w:rPr>
                <w:szCs w:val="21"/>
              </w:rPr>
            </w:pPr>
            <w:r>
              <w:rPr>
                <w:kern w:val="0"/>
                <w:szCs w:val="21"/>
              </w:rPr>
              <w:t xml:space="preserve">0.35 </w:t>
            </w:r>
          </w:p>
        </w:tc>
        <w:tc>
          <w:tcPr>
            <w:tcW w:w="723" w:type="dxa"/>
            <w:noWrap/>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透明度（cm）</w:t>
            </w:r>
          </w:p>
        </w:tc>
        <w:tc>
          <w:tcPr>
            <w:tcW w:w="1004" w:type="dxa"/>
            <w:noWrap/>
            <w:vAlign w:val="center"/>
          </w:tcPr>
          <w:p>
            <w:pPr>
              <w:autoSpaceDE w:val="0"/>
              <w:autoSpaceDN w:val="0"/>
              <w:snapToGrid w:val="0"/>
              <w:ind w:left="-112" w:leftChars="-50" w:right="-112" w:rightChars="-50"/>
              <w:jc w:val="center"/>
              <w:rPr>
                <w:szCs w:val="21"/>
              </w:rPr>
            </w:pPr>
            <w:r>
              <w:rPr>
                <w:szCs w:val="28"/>
              </w:rPr>
              <w:t>70</w:t>
            </w:r>
          </w:p>
        </w:tc>
        <w:tc>
          <w:tcPr>
            <w:tcW w:w="988" w:type="dxa"/>
            <w:noWrap/>
            <w:vAlign w:val="center"/>
          </w:tcPr>
          <w:p>
            <w:pPr>
              <w:autoSpaceDE w:val="0"/>
              <w:autoSpaceDN w:val="0"/>
              <w:snapToGrid w:val="0"/>
              <w:ind w:left="-112" w:leftChars="-50" w:right="-112" w:rightChars="-50"/>
              <w:jc w:val="center"/>
              <w:rPr>
                <w:szCs w:val="21"/>
              </w:rPr>
            </w:pPr>
            <w:r>
              <w:rPr>
                <w:szCs w:val="28"/>
              </w:rPr>
              <w:t>70</w:t>
            </w:r>
          </w:p>
        </w:tc>
        <w:tc>
          <w:tcPr>
            <w:tcW w:w="1022" w:type="dxa"/>
            <w:noWrap/>
            <w:vAlign w:val="center"/>
          </w:tcPr>
          <w:p>
            <w:pPr>
              <w:autoSpaceDE w:val="0"/>
              <w:autoSpaceDN w:val="0"/>
              <w:snapToGrid w:val="0"/>
              <w:ind w:left="-112" w:leftChars="-50" w:right="-112" w:rightChars="-50"/>
              <w:jc w:val="center"/>
              <w:rPr>
                <w:szCs w:val="21"/>
              </w:rPr>
            </w:pPr>
            <w:r>
              <w:rPr>
                <w:szCs w:val="28"/>
              </w:rPr>
              <w:t>70</w:t>
            </w:r>
          </w:p>
        </w:tc>
        <w:tc>
          <w:tcPr>
            <w:tcW w:w="982" w:type="dxa"/>
            <w:noWrap/>
            <w:vAlign w:val="center"/>
          </w:tcPr>
          <w:p>
            <w:pPr>
              <w:autoSpaceDE w:val="0"/>
              <w:autoSpaceDN w:val="0"/>
              <w:snapToGrid w:val="0"/>
              <w:ind w:left="-112" w:leftChars="-50" w:right="-112" w:rightChars="-50"/>
              <w:jc w:val="center"/>
              <w:rPr>
                <w:szCs w:val="21"/>
              </w:rPr>
            </w:pPr>
            <w:r>
              <w:rPr>
                <w:szCs w:val="28"/>
              </w:rPr>
              <w:t>70</w:t>
            </w:r>
          </w:p>
        </w:tc>
        <w:tc>
          <w:tcPr>
            <w:tcW w:w="1009" w:type="dxa"/>
            <w:noWrap/>
            <w:vAlign w:val="center"/>
          </w:tcPr>
          <w:p>
            <w:pPr>
              <w:autoSpaceDE w:val="0"/>
              <w:autoSpaceDN w:val="0"/>
              <w:snapToGrid w:val="0"/>
              <w:ind w:left="-112" w:leftChars="-50" w:right="-112" w:rightChars="-50"/>
              <w:jc w:val="center"/>
              <w:rPr>
                <w:szCs w:val="21"/>
              </w:rPr>
            </w:pPr>
            <w:r>
              <w:rPr>
                <w:szCs w:val="28"/>
              </w:rPr>
              <w:t>70</w:t>
            </w:r>
          </w:p>
        </w:tc>
        <w:tc>
          <w:tcPr>
            <w:tcW w:w="987" w:type="dxa"/>
            <w:noWrap/>
            <w:vAlign w:val="center"/>
          </w:tcPr>
          <w:p>
            <w:pPr>
              <w:autoSpaceDE w:val="0"/>
              <w:autoSpaceDN w:val="0"/>
              <w:snapToGrid w:val="0"/>
              <w:ind w:left="-112" w:leftChars="-50" w:right="-112" w:rightChars="-50"/>
              <w:jc w:val="center"/>
              <w:rPr>
                <w:szCs w:val="21"/>
              </w:rPr>
            </w:pPr>
            <w:r>
              <w:rPr>
                <w:szCs w:val="28"/>
              </w:rPr>
              <w:t>70</w:t>
            </w:r>
          </w:p>
        </w:tc>
        <w:tc>
          <w:tcPr>
            <w:tcW w:w="622" w:type="dxa"/>
            <w:noWrap/>
            <w:vAlign w:val="center"/>
          </w:tcPr>
          <w:p>
            <w:pPr>
              <w:autoSpaceDE w:val="0"/>
              <w:autoSpaceDN w:val="0"/>
              <w:snapToGrid w:val="0"/>
              <w:ind w:left="-112" w:leftChars="-50" w:right="-112" w:rightChars="-50"/>
              <w:jc w:val="center"/>
              <w:rPr>
                <w:szCs w:val="21"/>
              </w:rPr>
            </w:pPr>
            <w:r>
              <w:rPr>
                <w:szCs w:val="28"/>
              </w:rPr>
              <w:t>-</w:t>
            </w:r>
          </w:p>
        </w:tc>
        <w:tc>
          <w:tcPr>
            <w:tcW w:w="723" w:type="dxa"/>
            <w:noWrap/>
            <w:vAlign w:val="center"/>
          </w:tcPr>
          <w:p>
            <w:pPr>
              <w:widowControl/>
              <w:adjustRightInd w:val="0"/>
              <w:snapToGrid w:val="0"/>
              <w:jc w:val="center"/>
              <w:textAlignment w:val="center"/>
              <w:rPr>
                <w:szCs w:val="21"/>
              </w:rPr>
            </w:pPr>
            <w:r>
              <w:rPr>
                <w:kern w:val="0"/>
                <w:szCs w:val="21"/>
              </w:rPr>
              <w:t xml:space="preserve">70.00 </w:t>
            </w:r>
          </w:p>
        </w:tc>
        <w:tc>
          <w:tcPr>
            <w:tcW w:w="723" w:type="dxa"/>
            <w:noWrap/>
            <w:vAlign w:val="center"/>
          </w:tcPr>
          <w:p>
            <w:pPr>
              <w:adjustRightInd w:val="0"/>
              <w:snapToGrid w:val="0"/>
              <w:jc w:val="center"/>
              <w:rPr>
                <w:szCs w:val="21"/>
              </w:rPr>
            </w:pPr>
          </w:p>
        </w:tc>
        <w:tc>
          <w:tcPr>
            <w:tcW w:w="723" w:type="dxa"/>
            <w:noWrap/>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浊度（NTU）</w:t>
            </w:r>
          </w:p>
        </w:tc>
        <w:tc>
          <w:tcPr>
            <w:tcW w:w="1004" w:type="dxa"/>
            <w:noWrap/>
            <w:vAlign w:val="center"/>
          </w:tcPr>
          <w:p>
            <w:pPr>
              <w:autoSpaceDE w:val="0"/>
              <w:autoSpaceDN w:val="0"/>
              <w:snapToGrid w:val="0"/>
              <w:ind w:left="-112" w:leftChars="-50" w:right="-112" w:rightChars="-50"/>
              <w:jc w:val="center"/>
              <w:rPr>
                <w:szCs w:val="21"/>
              </w:rPr>
            </w:pPr>
            <w:r>
              <w:rPr>
                <w:szCs w:val="28"/>
              </w:rPr>
              <w:t>15.23</w:t>
            </w:r>
          </w:p>
        </w:tc>
        <w:tc>
          <w:tcPr>
            <w:tcW w:w="988" w:type="dxa"/>
            <w:noWrap/>
            <w:vAlign w:val="center"/>
          </w:tcPr>
          <w:p>
            <w:pPr>
              <w:autoSpaceDE w:val="0"/>
              <w:autoSpaceDN w:val="0"/>
              <w:snapToGrid w:val="0"/>
              <w:ind w:left="-112" w:leftChars="-50" w:right="-112" w:rightChars="-50"/>
              <w:jc w:val="center"/>
              <w:rPr>
                <w:szCs w:val="21"/>
              </w:rPr>
            </w:pPr>
            <w:r>
              <w:rPr>
                <w:szCs w:val="28"/>
              </w:rPr>
              <w:t>8.67</w:t>
            </w:r>
          </w:p>
        </w:tc>
        <w:tc>
          <w:tcPr>
            <w:tcW w:w="1022" w:type="dxa"/>
            <w:noWrap/>
            <w:vAlign w:val="center"/>
          </w:tcPr>
          <w:p>
            <w:pPr>
              <w:autoSpaceDE w:val="0"/>
              <w:autoSpaceDN w:val="0"/>
              <w:snapToGrid w:val="0"/>
              <w:ind w:left="-112" w:leftChars="-50" w:right="-112" w:rightChars="-50"/>
              <w:jc w:val="center"/>
              <w:rPr>
                <w:szCs w:val="21"/>
              </w:rPr>
            </w:pPr>
            <w:r>
              <w:rPr>
                <w:szCs w:val="28"/>
              </w:rPr>
              <w:t>15.23</w:t>
            </w:r>
          </w:p>
        </w:tc>
        <w:tc>
          <w:tcPr>
            <w:tcW w:w="982" w:type="dxa"/>
            <w:noWrap/>
            <w:vAlign w:val="center"/>
          </w:tcPr>
          <w:p>
            <w:pPr>
              <w:autoSpaceDE w:val="0"/>
              <w:autoSpaceDN w:val="0"/>
              <w:snapToGrid w:val="0"/>
              <w:ind w:left="-112" w:leftChars="-50" w:right="-112" w:rightChars="-50"/>
              <w:jc w:val="center"/>
              <w:rPr>
                <w:szCs w:val="21"/>
              </w:rPr>
            </w:pPr>
            <w:r>
              <w:rPr>
                <w:szCs w:val="28"/>
              </w:rPr>
              <w:t>16.85</w:t>
            </w:r>
          </w:p>
        </w:tc>
        <w:tc>
          <w:tcPr>
            <w:tcW w:w="1009" w:type="dxa"/>
            <w:noWrap/>
            <w:vAlign w:val="center"/>
          </w:tcPr>
          <w:p>
            <w:pPr>
              <w:autoSpaceDE w:val="0"/>
              <w:autoSpaceDN w:val="0"/>
              <w:snapToGrid w:val="0"/>
              <w:ind w:left="-112" w:leftChars="-50" w:right="-112" w:rightChars="-50"/>
              <w:jc w:val="center"/>
              <w:rPr>
                <w:szCs w:val="21"/>
              </w:rPr>
            </w:pPr>
            <w:r>
              <w:rPr>
                <w:szCs w:val="28"/>
              </w:rPr>
              <w:t>27.1</w:t>
            </w:r>
          </w:p>
        </w:tc>
        <w:tc>
          <w:tcPr>
            <w:tcW w:w="987" w:type="dxa"/>
            <w:noWrap/>
            <w:vAlign w:val="center"/>
          </w:tcPr>
          <w:p>
            <w:pPr>
              <w:autoSpaceDE w:val="0"/>
              <w:autoSpaceDN w:val="0"/>
              <w:snapToGrid w:val="0"/>
              <w:ind w:left="-112" w:leftChars="-50" w:right="-112" w:rightChars="-50"/>
              <w:jc w:val="center"/>
              <w:rPr>
                <w:szCs w:val="21"/>
              </w:rPr>
            </w:pPr>
            <w:r>
              <w:rPr>
                <w:szCs w:val="28"/>
              </w:rPr>
              <w:t>19.24</w:t>
            </w:r>
          </w:p>
        </w:tc>
        <w:tc>
          <w:tcPr>
            <w:tcW w:w="622" w:type="dxa"/>
            <w:noWrap/>
            <w:vAlign w:val="center"/>
          </w:tcPr>
          <w:p>
            <w:pPr>
              <w:autoSpaceDE w:val="0"/>
              <w:autoSpaceDN w:val="0"/>
              <w:snapToGrid w:val="0"/>
              <w:ind w:left="-112" w:leftChars="-50" w:right="-112" w:rightChars="-50"/>
              <w:jc w:val="center"/>
              <w:rPr>
                <w:szCs w:val="21"/>
              </w:rPr>
            </w:pPr>
            <w:r>
              <w:rPr>
                <w:szCs w:val="28"/>
              </w:rPr>
              <w:t>-</w:t>
            </w:r>
          </w:p>
        </w:tc>
        <w:tc>
          <w:tcPr>
            <w:tcW w:w="723" w:type="dxa"/>
            <w:noWrap/>
            <w:vAlign w:val="center"/>
          </w:tcPr>
          <w:p>
            <w:pPr>
              <w:widowControl/>
              <w:adjustRightInd w:val="0"/>
              <w:snapToGrid w:val="0"/>
              <w:jc w:val="center"/>
              <w:textAlignment w:val="center"/>
              <w:rPr>
                <w:szCs w:val="21"/>
              </w:rPr>
            </w:pPr>
            <w:r>
              <w:rPr>
                <w:kern w:val="0"/>
                <w:szCs w:val="21"/>
              </w:rPr>
              <w:t xml:space="preserve">17.05 </w:t>
            </w:r>
          </w:p>
        </w:tc>
        <w:tc>
          <w:tcPr>
            <w:tcW w:w="723" w:type="dxa"/>
            <w:noWrap/>
            <w:vAlign w:val="center"/>
          </w:tcPr>
          <w:p>
            <w:pPr>
              <w:adjustRightInd w:val="0"/>
              <w:snapToGrid w:val="0"/>
              <w:jc w:val="center"/>
              <w:rPr>
                <w:szCs w:val="21"/>
              </w:rPr>
            </w:pPr>
          </w:p>
        </w:tc>
        <w:tc>
          <w:tcPr>
            <w:tcW w:w="723" w:type="dxa"/>
            <w:noWrap/>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蛔虫卵（个/10L）</w:t>
            </w:r>
          </w:p>
        </w:tc>
        <w:tc>
          <w:tcPr>
            <w:tcW w:w="1004" w:type="dxa"/>
            <w:noWrap/>
            <w:vAlign w:val="center"/>
          </w:tcPr>
          <w:p>
            <w:pPr>
              <w:autoSpaceDE w:val="0"/>
              <w:autoSpaceDN w:val="0"/>
              <w:snapToGrid w:val="0"/>
              <w:ind w:left="-112" w:leftChars="-50" w:right="-112" w:rightChars="-50"/>
              <w:jc w:val="center"/>
              <w:rPr>
                <w:szCs w:val="21"/>
              </w:rPr>
            </w:pPr>
            <w:r>
              <w:rPr>
                <w:szCs w:val="28"/>
              </w:rPr>
              <w:t>5L</w:t>
            </w:r>
          </w:p>
        </w:tc>
        <w:tc>
          <w:tcPr>
            <w:tcW w:w="988" w:type="dxa"/>
            <w:noWrap/>
            <w:vAlign w:val="center"/>
          </w:tcPr>
          <w:p>
            <w:pPr>
              <w:autoSpaceDE w:val="0"/>
              <w:autoSpaceDN w:val="0"/>
              <w:snapToGrid w:val="0"/>
              <w:ind w:left="-112" w:leftChars="-50" w:right="-112" w:rightChars="-50"/>
              <w:jc w:val="center"/>
              <w:rPr>
                <w:szCs w:val="21"/>
              </w:rPr>
            </w:pPr>
            <w:r>
              <w:rPr>
                <w:szCs w:val="28"/>
              </w:rPr>
              <w:t>5L</w:t>
            </w:r>
          </w:p>
        </w:tc>
        <w:tc>
          <w:tcPr>
            <w:tcW w:w="1022" w:type="dxa"/>
            <w:noWrap/>
            <w:vAlign w:val="center"/>
          </w:tcPr>
          <w:p>
            <w:pPr>
              <w:autoSpaceDE w:val="0"/>
              <w:autoSpaceDN w:val="0"/>
              <w:snapToGrid w:val="0"/>
              <w:ind w:left="-112" w:leftChars="-50" w:right="-112" w:rightChars="-50"/>
              <w:jc w:val="center"/>
              <w:rPr>
                <w:szCs w:val="21"/>
              </w:rPr>
            </w:pPr>
            <w:r>
              <w:rPr>
                <w:szCs w:val="28"/>
              </w:rPr>
              <w:t>5L</w:t>
            </w:r>
          </w:p>
        </w:tc>
        <w:tc>
          <w:tcPr>
            <w:tcW w:w="982" w:type="dxa"/>
            <w:noWrap/>
            <w:vAlign w:val="center"/>
          </w:tcPr>
          <w:p>
            <w:pPr>
              <w:autoSpaceDE w:val="0"/>
              <w:autoSpaceDN w:val="0"/>
              <w:snapToGrid w:val="0"/>
              <w:ind w:left="-112" w:leftChars="-50" w:right="-112" w:rightChars="-50"/>
              <w:jc w:val="center"/>
              <w:rPr>
                <w:szCs w:val="21"/>
              </w:rPr>
            </w:pPr>
            <w:r>
              <w:rPr>
                <w:szCs w:val="28"/>
              </w:rPr>
              <w:t>5L</w:t>
            </w:r>
          </w:p>
        </w:tc>
        <w:tc>
          <w:tcPr>
            <w:tcW w:w="1009" w:type="dxa"/>
            <w:noWrap/>
            <w:vAlign w:val="center"/>
          </w:tcPr>
          <w:p>
            <w:pPr>
              <w:autoSpaceDE w:val="0"/>
              <w:autoSpaceDN w:val="0"/>
              <w:snapToGrid w:val="0"/>
              <w:ind w:left="-112" w:leftChars="-50" w:right="-112" w:rightChars="-50"/>
              <w:jc w:val="center"/>
              <w:rPr>
                <w:szCs w:val="21"/>
              </w:rPr>
            </w:pPr>
            <w:r>
              <w:rPr>
                <w:szCs w:val="28"/>
              </w:rPr>
              <w:t>5L</w:t>
            </w:r>
          </w:p>
        </w:tc>
        <w:tc>
          <w:tcPr>
            <w:tcW w:w="987" w:type="dxa"/>
            <w:noWrap/>
            <w:vAlign w:val="center"/>
          </w:tcPr>
          <w:p>
            <w:pPr>
              <w:autoSpaceDE w:val="0"/>
              <w:autoSpaceDN w:val="0"/>
              <w:snapToGrid w:val="0"/>
              <w:ind w:left="-112" w:leftChars="-50" w:right="-112" w:rightChars="-50"/>
              <w:jc w:val="center"/>
              <w:rPr>
                <w:szCs w:val="21"/>
              </w:rPr>
            </w:pPr>
            <w:r>
              <w:rPr>
                <w:szCs w:val="28"/>
              </w:rPr>
              <w:t>5L</w:t>
            </w:r>
          </w:p>
        </w:tc>
        <w:tc>
          <w:tcPr>
            <w:tcW w:w="622" w:type="dxa"/>
            <w:noWrap/>
            <w:vAlign w:val="center"/>
          </w:tcPr>
          <w:p>
            <w:pPr>
              <w:autoSpaceDE w:val="0"/>
              <w:autoSpaceDN w:val="0"/>
              <w:snapToGrid w:val="0"/>
              <w:ind w:left="-112" w:leftChars="-50" w:right="-112" w:rightChars="-50"/>
              <w:jc w:val="center"/>
              <w:rPr>
                <w:szCs w:val="21"/>
              </w:rPr>
            </w:pPr>
            <w:r>
              <w:rPr>
                <w:szCs w:val="28"/>
              </w:rPr>
              <w:t>-</w:t>
            </w:r>
          </w:p>
        </w:tc>
        <w:tc>
          <w:tcPr>
            <w:tcW w:w="723" w:type="dxa"/>
            <w:noWrap/>
            <w:vAlign w:val="center"/>
          </w:tcPr>
          <w:p>
            <w:pPr>
              <w:widowControl/>
              <w:adjustRightInd w:val="0"/>
              <w:snapToGrid w:val="0"/>
              <w:jc w:val="center"/>
              <w:textAlignment w:val="center"/>
              <w:rPr>
                <w:szCs w:val="21"/>
              </w:rPr>
            </w:pPr>
            <w:r>
              <w:rPr>
                <w:kern w:val="0"/>
                <w:szCs w:val="21"/>
              </w:rPr>
              <w:t xml:space="preserve">5.00 </w:t>
            </w:r>
          </w:p>
        </w:tc>
        <w:tc>
          <w:tcPr>
            <w:tcW w:w="723" w:type="dxa"/>
            <w:noWrap/>
            <w:vAlign w:val="center"/>
          </w:tcPr>
          <w:p>
            <w:pPr>
              <w:adjustRightInd w:val="0"/>
              <w:snapToGrid w:val="0"/>
              <w:jc w:val="center"/>
              <w:rPr>
                <w:szCs w:val="21"/>
              </w:rPr>
            </w:pPr>
          </w:p>
        </w:tc>
        <w:tc>
          <w:tcPr>
            <w:tcW w:w="723" w:type="dxa"/>
            <w:noWrap/>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jc w:val="center"/>
              <w:rPr>
                <w:szCs w:val="21"/>
              </w:rPr>
            </w:pPr>
            <w:r>
              <w:rPr>
                <w:szCs w:val="28"/>
              </w:rPr>
              <w:t>叶绿素a（μg/L）</w:t>
            </w:r>
          </w:p>
        </w:tc>
        <w:tc>
          <w:tcPr>
            <w:tcW w:w="1004" w:type="dxa"/>
            <w:noWrap/>
            <w:vAlign w:val="center"/>
          </w:tcPr>
          <w:p>
            <w:pPr>
              <w:autoSpaceDE w:val="0"/>
              <w:autoSpaceDN w:val="0"/>
              <w:snapToGrid w:val="0"/>
              <w:ind w:left="-112" w:leftChars="-50" w:right="-112" w:rightChars="-50"/>
              <w:jc w:val="center"/>
              <w:rPr>
                <w:szCs w:val="21"/>
              </w:rPr>
            </w:pPr>
            <w:r>
              <w:rPr>
                <w:szCs w:val="28"/>
              </w:rPr>
              <w:t>3</w:t>
            </w:r>
          </w:p>
        </w:tc>
        <w:tc>
          <w:tcPr>
            <w:tcW w:w="988" w:type="dxa"/>
            <w:noWrap/>
            <w:vAlign w:val="center"/>
          </w:tcPr>
          <w:p>
            <w:pPr>
              <w:autoSpaceDE w:val="0"/>
              <w:autoSpaceDN w:val="0"/>
              <w:snapToGrid w:val="0"/>
              <w:ind w:left="-112" w:leftChars="-50" w:right="-112" w:rightChars="-50"/>
              <w:jc w:val="center"/>
              <w:rPr>
                <w:szCs w:val="21"/>
              </w:rPr>
            </w:pPr>
            <w:r>
              <w:rPr>
                <w:szCs w:val="28"/>
              </w:rPr>
              <w:t>2L</w:t>
            </w:r>
          </w:p>
        </w:tc>
        <w:tc>
          <w:tcPr>
            <w:tcW w:w="1022" w:type="dxa"/>
            <w:noWrap/>
            <w:vAlign w:val="center"/>
          </w:tcPr>
          <w:p>
            <w:pPr>
              <w:autoSpaceDE w:val="0"/>
              <w:autoSpaceDN w:val="0"/>
              <w:snapToGrid w:val="0"/>
              <w:ind w:left="-112" w:leftChars="-50" w:right="-112" w:rightChars="-50"/>
              <w:jc w:val="center"/>
              <w:rPr>
                <w:szCs w:val="21"/>
              </w:rPr>
            </w:pPr>
            <w:r>
              <w:rPr>
                <w:szCs w:val="28"/>
              </w:rPr>
              <w:t>5</w:t>
            </w:r>
          </w:p>
        </w:tc>
        <w:tc>
          <w:tcPr>
            <w:tcW w:w="982" w:type="dxa"/>
            <w:noWrap/>
            <w:vAlign w:val="center"/>
          </w:tcPr>
          <w:p>
            <w:pPr>
              <w:autoSpaceDE w:val="0"/>
              <w:autoSpaceDN w:val="0"/>
              <w:snapToGrid w:val="0"/>
              <w:ind w:left="-112" w:leftChars="-50" w:right="-112" w:rightChars="-50"/>
              <w:jc w:val="center"/>
              <w:rPr>
                <w:szCs w:val="21"/>
              </w:rPr>
            </w:pPr>
            <w:r>
              <w:rPr>
                <w:szCs w:val="28"/>
              </w:rPr>
              <w:t>2L</w:t>
            </w:r>
          </w:p>
        </w:tc>
        <w:tc>
          <w:tcPr>
            <w:tcW w:w="1009" w:type="dxa"/>
            <w:noWrap/>
            <w:vAlign w:val="center"/>
          </w:tcPr>
          <w:p>
            <w:pPr>
              <w:autoSpaceDE w:val="0"/>
              <w:autoSpaceDN w:val="0"/>
              <w:snapToGrid w:val="0"/>
              <w:ind w:left="-112" w:leftChars="-50" w:right="-112" w:rightChars="-50"/>
              <w:jc w:val="center"/>
              <w:rPr>
                <w:szCs w:val="21"/>
              </w:rPr>
            </w:pPr>
            <w:r>
              <w:rPr>
                <w:szCs w:val="28"/>
              </w:rPr>
              <w:t>3</w:t>
            </w:r>
          </w:p>
        </w:tc>
        <w:tc>
          <w:tcPr>
            <w:tcW w:w="987" w:type="dxa"/>
            <w:noWrap/>
            <w:vAlign w:val="center"/>
          </w:tcPr>
          <w:p>
            <w:pPr>
              <w:autoSpaceDE w:val="0"/>
              <w:autoSpaceDN w:val="0"/>
              <w:snapToGrid w:val="0"/>
              <w:ind w:left="-112" w:leftChars="-50" w:right="-112" w:rightChars="-50"/>
              <w:jc w:val="center"/>
              <w:rPr>
                <w:szCs w:val="21"/>
              </w:rPr>
            </w:pPr>
            <w:r>
              <w:rPr>
                <w:szCs w:val="28"/>
              </w:rPr>
              <w:t>3</w:t>
            </w:r>
          </w:p>
        </w:tc>
        <w:tc>
          <w:tcPr>
            <w:tcW w:w="622" w:type="dxa"/>
            <w:noWrap/>
            <w:vAlign w:val="center"/>
          </w:tcPr>
          <w:p>
            <w:pPr>
              <w:autoSpaceDE w:val="0"/>
              <w:autoSpaceDN w:val="0"/>
              <w:snapToGrid w:val="0"/>
              <w:ind w:left="-112" w:leftChars="-50" w:right="-112" w:rightChars="-50"/>
              <w:jc w:val="center"/>
              <w:rPr>
                <w:szCs w:val="21"/>
              </w:rPr>
            </w:pPr>
            <w:r>
              <w:rPr>
                <w:szCs w:val="28"/>
              </w:rPr>
              <w:t>-</w:t>
            </w:r>
          </w:p>
        </w:tc>
        <w:tc>
          <w:tcPr>
            <w:tcW w:w="723" w:type="dxa"/>
            <w:noWrap/>
            <w:vAlign w:val="center"/>
          </w:tcPr>
          <w:p>
            <w:pPr>
              <w:widowControl/>
              <w:adjustRightInd w:val="0"/>
              <w:snapToGrid w:val="0"/>
              <w:jc w:val="center"/>
              <w:textAlignment w:val="center"/>
              <w:rPr>
                <w:szCs w:val="21"/>
              </w:rPr>
            </w:pPr>
            <w:r>
              <w:rPr>
                <w:kern w:val="0"/>
                <w:szCs w:val="21"/>
              </w:rPr>
              <w:t xml:space="preserve">3.00 </w:t>
            </w:r>
          </w:p>
        </w:tc>
        <w:tc>
          <w:tcPr>
            <w:tcW w:w="723" w:type="dxa"/>
            <w:noWrap/>
            <w:vAlign w:val="center"/>
          </w:tcPr>
          <w:p>
            <w:pPr>
              <w:adjustRightInd w:val="0"/>
              <w:snapToGrid w:val="0"/>
              <w:jc w:val="center"/>
              <w:rPr>
                <w:szCs w:val="21"/>
              </w:rPr>
            </w:pPr>
          </w:p>
        </w:tc>
        <w:tc>
          <w:tcPr>
            <w:tcW w:w="723" w:type="dxa"/>
            <w:noWrap/>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悬浮物</w:t>
            </w:r>
          </w:p>
        </w:tc>
        <w:tc>
          <w:tcPr>
            <w:tcW w:w="1004" w:type="dxa"/>
            <w:noWrap/>
            <w:vAlign w:val="center"/>
          </w:tcPr>
          <w:p>
            <w:pPr>
              <w:autoSpaceDE w:val="0"/>
              <w:autoSpaceDN w:val="0"/>
              <w:snapToGrid w:val="0"/>
              <w:ind w:left="-112" w:leftChars="-50" w:right="-112" w:rightChars="-50"/>
              <w:jc w:val="center"/>
              <w:rPr>
                <w:szCs w:val="21"/>
              </w:rPr>
            </w:pPr>
            <w:r>
              <w:rPr>
                <w:szCs w:val="28"/>
              </w:rPr>
              <w:t>5</w:t>
            </w:r>
          </w:p>
        </w:tc>
        <w:tc>
          <w:tcPr>
            <w:tcW w:w="988" w:type="dxa"/>
            <w:noWrap/>
            <w:vAlign w:val="center"/>
          </w:tcPr>
          <w:p>
            <w:pPr>
              <w:autoSpaceDE w:val="0"/>
              <w:autoSpaceDN w:val="0"/>
              <w:snapToGrid w:val="0"/>
              <w:ind w:left="-112" w:leftChars="-50" w:right="-112" w:rightChars="-50"/>
              <w:jc w:val="center"/>
              <w:rPr>
                <w:szCs w:val="21"/>
              </w:rPr>
            </w:pPr>
            <w:r>
              <w:rPr>
                <w:szCs w:val="28"/>
              </w:rPr>
              <w:t>9</w:t>
            </w:r>
          </w:p>
        </w:tc>
        <w:tc>
          <w:tcPr>
            <w:tcW w:w="1022" w:type="dxa"/>
            <w:noWrap/>
            <w:vAlign w:val="center"/>
          </w:tcPr>
          <w:p>
            <w:pPr>
              <w:autoSpaceDE w:val="0"/>
              <w:autoSpaceDN w:val="0"/>
              <w:snapToGrid w:val="0"/>
              <w:ind w:left="-112" w:leftChars="-50" w:right="-112" w:rightChars="-50"/>
              <w:jc w:val="center"/>
              <w:rPr>
                <w:szCs w:val="21"/>
              </w:rPr>
            </w:pPr>
            <w:r>
              <w:rPr>
                <w:szCs w:val="28"/>
              </w:rPr>
              <w:t>6</w:t>
            </w:r>
          </w:p>
        </w:tc>
        <w:tc>
          <w:tcPr>
            <w:tcW w:w="982" w:type="dxa"/>
            <w:noWrap/>
            <w:vAlign w:val="center"/>
          </w:tcPr>
          <w:p>
            <w:pPr>
              <w:autoSpaceDE w:val="0"/>
              <w:autoSpaceDN w:val="0"/>
              <w:snapToGrid w:val="0"/>
              <w:ind w:left="-112" w:leftChars="-50" w:right="-112" w:rightChars="-50"/>
              <w:jc w:val="center"/>
              <w:rPr>
                <w:szCs w:val="21"/>
              </w:rPr>
            </w:pPr>
            <w:r>
              <w:rPr>
                <w:szCs w:val="28"/>
              </w:rPr>
              <w:t>13</w:t>
            </w:r>
          </w:p>
        </w:tc>
        <w:tc>
          <w:tcPr>
            <w:tcW w:w="1009" w:type="dxa"/>
            <w:noWrap/>
            <w:vAlign w:val="center"/>
          </w:tcPr>
          <w:p>
            <w:pPr>
              <w:autoSpaceDE w:val="0"/>
              <w:autoSpaceDN w:val="0"/>
              <w:snapToGrid w:val="0"/>
              <w:ind w:left="-112" w:leftChars="-50" w:right="-112" w:rightChars="-50"/>
              <w:jc w:val="center"/>
              <w:rPr>
                <w:szCs w:val="21"/>
              </w:rPr>
            </w:pPr>
            <w:r>
              <w:rPr>
                <w:szCs w:val="28"/>
              </w:rPr>
              <w:t>7</w:t>
            </w:r>
          </w:p>
        </w:tc>
        <w:tc>
          <w:tcPr>
            <w:tcW w:w="987" w:type="dxa"/>
            <w:noWrap/>
            <w:vAlign w:val="center"/>
          </w:tcPr>
          <w:p>
            <w:pPr>
              <w:autoSpaceDE w:val="0"/>
              <w:autoSpaceDN w:val="0"/>
              <w:snapToGrid w:val="0"/>
              <w:ind w:left="-112" w:leftChars="-50" w:right="-112" w:rightChars="-50"/>
              <w:jc w:val="center"/>
              <w:rPr>
                <w:szCs w:val="21"/>
              </w:rPr>
            </w:pPr>
            <w:r>
              <w:rPr>
                <w:szCs w:val="28"/>
              </w:rPr>
              <w:t>5</w:t>
            </w:r>
          </w:p>
        </w:tc>
        <w:tc>
          <w:tcPr>
            <w:tcW w:w="622" w:type="dxa"/>
            <w:noWrap/>
            <w:vAlign w:val="center"/>
          </w:tcPr>
          <w:p>
            <w:pPr>
              <w:autoSpaceDE w:val="0"/>
              <w:autoSpaceDN w:val="0"/>
              <w:snapToGrid w:val="0"/>
              <w:ind w:left="-112" w:leftChars="-50" w:right="-112" w:rightChars="-50"/>
              <w:jc w:val="center"/>
              <w:rPr>
                <w:szCs w:val="21"/>
              </w:rPr>
            </w:pPr>
            <w:r>
              <w:rPr>
                <w:szCs w:val="28"/>
              </w:rPr>
              <w:t>-</w:t>
            </w:r>
          </w:p>
        </w:tc>
        <w:tc>
          <w:tcPr>
            <w:tcW w:w="723" w:type="dxa"/>
            <w:noWrap/>
            <w:vAlign w:val="center"/>
          </w:tcPr>
          <w:p>
            <w:pPr>
              <w:widowControl/>
              <w:adjustRightInd w:val="0"/>
              <w:snapToGrid w:val="0"/>
              <w:jc w:val="center"/>
              <w:textAlignment w:val="center"/>
              <w:rPr>
                <w:szCs w:val="21"/>
              </w:rPr>
            </w:pPr>
            <w:r>
              <w:rPr>
                <w:kern w:val="0"/>
                <w:szCs w:val="21"/>
              </w:rPr>
              <w:t xml:space="preserve">7.50 </w:t>
            </w:r>
          </w:p>
        </w:tc>
        <w:tc>
          <w:tcPr>
            <w:tcW w:w="723" w:type="dxa"/>
            <w:noWrap/>
            <w:vAlign w:val="center"/>
          </w:tcPr>
          <w:p>
            <w:pPr>
              <w:adjustRightInd w:val="0"/>
              <w:snapToGrid w:val="0"/>
              <w:jc w:val="center"/>
              <w:rPr>
                <w:szCs w:val="21"/>
              </w:rPr>
            </w:pPr>
          </w:p>
        </w:tc>
        <w:tc>
          <w:tcPr>
            <w:tcW w:w="723" w:type="dxa"/>
            <w:noWrap/>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91" w:type="dxa"/>
            <w:noWrap/>
            <w:vAlign w:val="center"/>
          </w:tcPr>
          <w:p>
            <w:pPr>
              <w:autoSpaceDE w:val="0"/>
              <w:autoSpaceDN w:val="0"/>
              <w:adjustRightInd w:val="0"/>
              <w:snapToGrid w:val="0"/>
              <w:ind w:left="-112" w:leftChars="-50" w:right="-112" w:rightChars="-50"/>
              <w:jc w:val="center"/>
              <w:rPr>
                <w:szCs w:val="21"/>
              </w:rPr>
            </w:pPr>
            <w:r>
              <w:rPr>
                <w:szCs w:val="28"/>
              </w:rPr>
              <w:t>全盐量</w:t>
            </w:r>
          </w:p>
        </w:tc>
        <w:tc>
          <w:tcPr>
            <w:tcW w:w="1004" w:type="dxa"/>
            <w:noWrap/>
            <w:vAlign w:val="center"/>
          </w:tcPr>
          <w:p>
            <w:pPr>
              <w:autoSpaceDE w:val="0"/>
              <w:autoSpaceDN w:val="0"/>
              <w:snapToGrid w:val="0"/>
              <w:ind w:left="-112" w:leftChars="-50" w:right="-112" w:rightChars="-50"/>
              <w:jc w:val="center"/>
              <w:rPr>
                <w:szCs w:val="21"/>
              </w:rPr>
            </w:pPr>
            <w:r>
              <w:rPr>
                <w:szCs w:val="28"/>
              </w:rPr>
              <w:t>884</w:t>
            </w:r>
          </w:p>
        </w:tc>
        <w:tc>
          <w:tcPr>
            <w:tcW w:w="988" w:type="dxa"/>
            <w:noWrap/>
            <w:vAlign w:val="center"/>
          </w:tcPr>
          <w:p>
            <w:pPr>
              <w:autoSpaceDE w:val="0"/>
              <w:autoSpaceDN w:val="0"/>
              <w:snapToGrid w:val="0"/>
              <w:ind w:left="-112" w:leftChars="-50" w:right="-112" w:rightChars="-50"/>
              <w:jc w:val="center"/>
              <w:rPr>
                <w:szCs w:val="21"/>
              </w:rPr>
            </w:pPr>
            <w:r>
              <w:rPr>
                <w:szCs w:val="28"/>
              </w:rPr>
              <w:t>986</w:t>
            </w:r>
          </w:p>
        </w:tc>
        <w:tc>
          <w:tcPr>
            <w:tcW w:w="1022" w:type="dxa"/>
            <w:noWrap/>
            <w:vAlign w:val="center"/>
          </w:tcPr>
          <w:p>
            <w:pPr>
              <w:autoSpaceDE w:val="0"/>
              <w:autoSpaceDN w:val="0"/>
              <w:snapToGrid w:val="0"/>
              <w:ind w:left="-112" w:leftChars="-50" w:right="-112" w:rightChars="-50"/>
              <w:jc w:val="center"/>
              <w:rPr>
                <w:szCs w:val="21"/>
              </w:rPr>
            </w:pPr>
            <w:r>
              <w:rPr>
                <w:szCs w:val="28"/>
              </w:rPr>
              <w:t>867</w:t>
            </w:r>
          </w:p>
        </w:tc>
        <w:tc>
          <w:tcPr>
            <w:tcW w:w="982" w:type="dxa"/>
            <w:noWrap/>
            <w:vAlign w:val="center"/>
          </w:tcPr>
          <w:p>
            <w:pPr>
              <w:autoSpaceDE w:val="0"/>
              <w:autoSpaceDN w:val="0"/>
              <w:snapToGrid w:val="0"/>
              <w:ind w:left="-112" w:leftChars="-50" w:right="-112" w:rightChars="-50"/>
              <w:jc w:val="center"/>
              <w:rPr>
                <w:szCs w:val="21"/>
              </w:rPr>
            </w:pPr>
            <w:r>
              <w:rPr>
                <w:szCs w:val="28"/>
              </w:rPr>
              <w:t>992</w:t>
            </w:r>
          </w:p>
        </w:tc>
        <w:tc>
          <w:tcPr>
            <w:tcW w:w="1009" w:type="dxa"/>
            <w:noWrap/>
            <w:vAlign w:val="center"/>
          </w:tcPr>
          <w:p>
            <w:pPr>
              <w:autoSpaceDE w:val="0"/>
              <w:autoSpaceDN w:val="0"/>
              <w:snapToGrid w:val="0"/>
              <w:ind w:left="-112" w:leftChars="-50" w:right="-112" w:rightChars="-50"/>
              <w:jc w:val="center"/>
              <w:rPr>
                <w:szCs w:val="21"/>
              </w:rPr>
            </w:pPr>
            <w:r>
              <w:rPr>
                <w:szCs w:val="28"/>
              </w:rPr>
              <w:t>854</w:t>
            </w:r>
          </w:p>
        </w:tc>
        <w:tc>
          <w:tcPr>
            <w:tcW w:w="987" w:type="dxa"/>
            <w:noWrap/>
            <w:vAlign w:val="center"/>
          </w:tcPr>
          <w:p>
            <w:pPr>
              <w:autoSpaceDE w:val="0"/>
              <w:autoSpaceDN w:val="0"/>
              <w:snapToGrid w:val="0"/>
              <w:ind w:left="-112" w:leftChars="-50" w:right="-112" w:rightChars="-50"/>
              <w:jc w:val="center"/>
              <w:rPr>
                <w:szCs w:val="21"/>
              </w:rPr>
            </w:pPr>
            <w:r>
              <w:rPr>
                <w:szCs w:val="28"/>
              </w:rPr>
              <w:t>981</w:t>
            </w:r>
          </w:p>
        </w:tc>
        <w:tc>
          <w:tcPr>
            <w:tcW w:w="622" w:type="dxa"/>
            <w:noWrap/>
            <w:vAlign w:val="center"/>
          </w:tcPr>
          <w:p>
            <w:pPr>
              <w:autoSpaceDE w:val="0"/>
              <w:autoSpaceDN w:val="0"/>
              <w:snapToGrid w:val="0"/>
              <w:ind w:left="-112" w:leftChars="-50" w:right="-112" w:rightChars="-50"/>
              <w:jc w:val="center"/>
              <w:rPr>
                <w:szCs w:val="21"/>
              </w:rPr>
            </w:pPr>
            <w:r>
              <w:rPr>
                <w:szCs w:val="28"/>
              </w:rPr>
              <w:t>-</w:t>
            </w:r>
          </w:p>
        </w:tc>
        <w:tc>
          <w:tcPr>
            <w:tcW w:w="723" w:type="dxa"/>
            <w:noWrap/>
            <w:vAlign w:val="center"/>
          </w:tcPr>
          <w:p>
            <w:pPr>
              <w:widowControl/>
              <w:adjustRightInd w:val="0"/>
              <w:snapToGrid w:val="0"/>
              <w:jc w:val="center"/>
              <w:textAlignment w:val="center"/>
              <w:rPr>
                <w:szCs w:val="21"/>
              </w:rPr>
            </w:pPr>
            <w:r>
              <w:rPr>
                <w:kern w:val="0"/>
                <w:szCs w:val="21"/>
              </w:rPr>
              <w:t xml:space="preserve">927.33 </w:t>
            </w:r>
          </w:p>
        </w:tc>
        <w:tc>
          <w:tcPr>
            <w:tcW w:w="723" w:type="dxa"/>
            <w:noWrap/>
            <w:vAlign w:val="center"/>
          </w:tcPr>
          <w:p>
            <w:pPr>
              <w:adjustRightInd w:val="0"/>
              <w:snapToGrid w:val="0"/>
              <w:jc w:val="center"/>
              <w:rPr>
                <w:szCs w:val="21"/>
              </w:rPr>
            </w:pPr>
          </w:p>
        </w:tc>
        <w:tc>
          <w:tcPr>
            <w:tcW w:w="723" w:type="dxa"/>
            <w:noWrap/>
            <w:vAlign w:val="center"/>
          </w:tcPr>
          <w:p>
            <w:pPr>
              <w:adjustRightInd w:val="0"/>
              <w:snapToGrid w:val="0"/>
              <w:jc w:val="center"/>
              <w:rPr>
                <w:szCs w:val="21"/>
              </w:rPr>
            </w:pPr>
            <w:r>
              <w:rPr>
                <w:szCs w:val="21"/>
              </w:rPr>
              <w:t>/</w:t>
            </w:r>
          </w:p>
        </w:tc>
      </w:tr>
    </w:tbl>
    <w:p>
      <w:pPr>
        <w:ind w:firstLine="510" w:firstLineChars="200"/>
        <w:rPr>
          <w:sz w:val="24"/>
        </w:rPr>
      </w:pPr>
      <w:r>
        <w:rPr>
          <w:sz w:val="24"/>
        </w:rPr>
        <w:t>雅石沟水库是一座以防洪任务为主，兼顾灌溉的多功能中型水库，原水质为Ⅲ类，水质目标为维持Ⅲ类标准。从水质检测结果分析可知，化学需氧量、生化需氧量、总磷超标，分析主要原因为水库受农业面源影响；氟化物超标分析主要原因为区域本底值较高导致。本项目水质不满足《地表水环境质量标准》（GB3838-2002）中Ⅲ类标准要求。项目实施后，雅石沟水库目前的安全隐患得以消除，蓄水位恢复正常，通过采取上游绿化、定期清淤、去除水草、加强管理等措施的实施，水质将得到改善，项目的建设对水库水质、泥沙情势均有正效益。</w:t>
      </w:r>
    </w:p>
    <w:p>
      <w:pPr>
        <w:pStyle w:val="3"/>
        <w:numPr>
          <w:ilvl w:val="1"/>
          <w:numId w:val="0"/>
        </w:numPr>
      </w:pPr>
      <w:r>
        <w:t>5.5区域水污染调查</w:t>
      </w:r>
    </w:p>
    <w:p>
      <w:pPr>
        <w:spacing w:before="240" w:after="60"/>
        <w:rPr>
          <w:b/>
          <w:bCs/>
          <w:spacing w:val="11"/>
          <w:sz w:val="24"/>
        </w:rPr>
      </w:pPr>
      <w:r>
        <w:rPr>
          <w:rFonts w:eastAsia="黑体"/>
          <w:spacing w:val="11"/>
          <w:sz w:val="24"/>
        </w:rPr>
        <w:t>5.5.1工业污染源</w:t>
      </w:r>
    </w:p>
    <w:p>
      <w:pPr>
        <w:pStyle w:val="22"/>
        <w:spacing w:line="240" w:lineRule="auto"/>
        <w:ind w:left="0" w:leftChars="0" w:firstLine="550" w:firstLineChars="200"/>
      </w:pPr>
      <w:r>
        <w:t>根据调查，雅石沟水库坝址上游及库区周边无工业企业。</w:t>
      </w:r>
    </w:p>
    <w:p>
      <w:pPr>
        <w:pStyle w:val="22"/>
        <w:spacing w:before="240" w:after="60" w:line="240" w:lineRule="auto"/>
        <w:ind w:left="0" w:leftChars="0"/>
        <w:rPr>
          <w:b/>
          <w:bCs/>
          <w:spacing w:val="11"/>
        </w:rPr>
      </w:pPr>
      <w:r>
        <w:rPr>
          <w:rFonts w:eastAsia="黑体"/>
          <w:spacing w:val="11"/>
        </w:rPr>
        <w:t>5.5.2生活污染源</w:t>
      </w:r>
    </w:p>
    <w:p>
      <w:pPr>
        <w:ind w:firstLine="510" w:firstLineChars="200"/>
      </w:pPr>
      <w:r>
        <w:rPr>
          <w:sz w:val="24"/>
        </w:rPr>
        <w:t>根据调查，雅石沟水库库区周边无生活污染源，最近的居民均位于库区右岸，最近敏感点为水库右岸散户居民，最近距离约810m，区域内居民生活污水均采取旱厕沤肥处置。</w:t>
      </w:r>
    </w:p>
    <w:p>
      <w:pPr>
        <w:spacing w:before="240" w:after="60"/>
        <w:rPr>
          <w:b/>
          <w:bCs/>
          <w:spacing w:val="11"/>
          <w:sz w:val="24"/>
        </w:rPr>
      </w:pPr>
      <w:r>
        <w:rPr>
          <w:rFonts w:eastAsia="黑体"/>
          <w:spacing w:val="11"/>
          <w:sz w:val="24"/>
        </w:rPr>
        <w:t>5.5.3畜禽养殖污染源</w:t>
      </w:r>
    </w:p>
    <w:p>
      <w:pPr>
        <w:pStyle w:val="22"/>
        <w:spacing w:line="240" w:lineRule="auto"/>
        <w:ind w:left="0" w:leftChars="0" w:firstLine="554" w:firstLineChars="200"/>
        <w:rPr>
          <w:spacing w:val="11"/>
        </w:rPr>
      </w:pPr>
      <w:r>
        <w:rPr>
          <w:spacing w:val="11"/>
        </w:rPr>
        <w:t>根据调查，雅石沟水库坝址上游及水库周边无规模化畜禽养殖。</w:t>
      </w:r>
    </w:p>
    <w:p>
      <w:pPr>
        <w:spacing w:before="240" w:after="60"/>
        <w:rPr>
          <w:b/>
          <w:bCs/>
          <w:spacing w:val="11"/>
          <w:sz w:val="24"/>
        </w:rPr>
      </w:pPr>
      <w:r>
        <w:rPr>
          <w:rFonts w:eastAsia="黑体"/>
          <w:spacing w:val="11"/>
          <w:sz w:val="24"/>
        </w:rPr>
        <w:t>5.5.4农业面源</w:t>
      </w:r>
    </w:p>
    <w:p>
      <w:pPr>
        <w:pStyle w:val="22"/>
        <w:spacing w:line="240" w:lineRule="auto"/>
        <w:ind w:left="0" w:leftChars="0" w:firstLine="550" w:firstLineChars="200"/>
      </w:pPr>
      <w:r>
        <w:t>雅石沟水库为防洪、灌溉，运行方式为长期按正常蓄水位蓄水，汛期来标准内洪水时将洪水全部拦蓄，然后再慢慢下泄至正常蓄水位。根据调查，雅士沟水库上游存在大面积农田，库区上游农田退水可能引起农业面源污染。</w:t>
      </w:r>
    </w:p>
    <w:p>
      <w:pPr>
        <w:rPr>
          <w:sz w:val="24"/>
        </w:rPr>
        <w:sectPr>
          <w:pgSz w:w="11905" w:h="16838"/>
          <w:pgMar w:top="1417" w:right="1417" w:bottom="1417" w:left="1417" w:header="850" w:footer="964" w:gutter="0"/>
          <w:cols w:space="720" w:num="1"/>
          <w:docGrid w:type="linesAndChars" w:linePitch="466" w:charSpace="3276"/>
        </w:sectPr>
      </w:pPr>
    </w:p>
    <w:p>
      <w:pPr>
        <w:spacing w:before="240" w:after="60"/>
        <w:jc w:val="center"/>
        <w:outlineLvl w:val="0"/>
        <w:rPr>
          <w:rFonts w:eastAsia="黑体"/>
          <w:sz w:val="32"/>
        </w:rPr>
      </w:pPr>
      <w:bookmarkStart w:id="35" w:name="_Toc7207"/>
      <w:r>
        <w:rPr>
          <w:rFonts w:eastAsia="黑体"/>
          <w:sz w:val="32"/>
        </w:rPr>
        <w:t>6 地表水环境影响评价</w:t>
      </w:r>
      <w:bookmarkEnd w:id="35"/>
    </w:p>
    <w:p>
      <w:pPr>
        <w:pStyle w:val="3"/>
        <w:numPr>
          <w:ilvl w:val="1"/>
          <w:numId w:val="0"/>
        </w:numPr>
      </w:pPr>
      <w:r>
        <w:t>6.1施工期水环境影响与评价</w:t>
      </w:r>
    </w:p>
    <w:p>
      <w:pPr>
        <w:spacing w:before="240" w:after="60"/>
        <w:rPr>
          <w:rFonts w:eastAsia="黑体"/>
          <w:spacing w:val="11"/>
          <w:sz w:val="28"/>
        </w:rPr>
      </w:pPr>
      <w:r>
        <w:rPr>
          <w:rFonts w:eastAsia="黑体"/>
          <w:spacing w:val="11"/>
          <w:sz w:val="24"/>
        </w:rPr>
        <w:t>6.1.1对水文要素影响分析</w:t>
      </w:r>
    </w:p>
    <w:p>
      <w:pPr>
        <w:pStyle w:val="22"/>
        <w:spacing w:line="240" w:lineRule="auto"/>
        <w:ind w:left="0" w:leftChars="0" w:firstLine="550" w:firstLineChars="200"/>
      </w:pPr>
      <w:r>
        <w:t>施工期造成的水体悬浮物浓度增大时段很短，不会对水环境造成显著的不利影响。坝址土石方开挖和填筑施工，部分土石方进入河道，土方经河流冲刷后，造成河水中悬浮物浓度大幅度升高，可能会影响坝址以下水体质量。坝址处受影响水体在下泄过程中经过稀释、沉淀，对下游基本不会产生影响。</w:t>
      </w:r>
    </w:p>
    <w:p>
      <w:pPr>
        <w:spacing w:before="240" w:after="60"/>
        <w:rPr>
          <w:b/>
          <w:bCs/>
          <w:spacing w:val="11"/>
          <w:sz w:val="24"/>
        </w:rPr>
      </w:pPr>
      <w:r>
        <w:rPr>
          <w:rFonts w:eastAsia="黑体"/>
          <w:spacing w:val="11"/>
          <w:sz w:val="24"/>
        </w:rPr>
        <w:t>6.1.2对地表水环境质量的影响分析</w:t>
      </w:r>
    </w:p>
    <w:p>
      <w:pPr>
        <w:ind w:firstLine="554" w:firstLineChars="200"/>
        <w:rPr>
          <w:spacing w:val="11"/>
          <w:sz w:val="24"/>
        </w:rPr>
      </w:pPr>
      <w:r>
        <w:rPr>
          <w:spacing w:val="11"/>
          <w:sz w:val="24"/>
        </w:rPr>
        <w:t>生活污水：</w:t>
      </w:r>
    </w:p>
    <w:p>
      <w:pPr>
        <w:pStyle w:val="22"/>
        <w:spacing w:line="240" w:lineRule="auto"/>
        <w:ind w:left="0" w:leftChars="0" w:firstLine="550" w:firstLineChars="200"/>
      </w:pPr>
      <w:r>
        <w:t>本工程施工高峰期人数为120人，按日人均用水量60L、产生的污水量按80%计，施工人员日产生生活污水5.76t。生活污水依托周边村庄旱厕，定期由清掏用于周边绿化，不得排放至周边地表水。</w:t>
      </w:r>
    </w:p>
    <w:p>
      <w:pPr>
        <w:pStyle w:val="3"/>
        <w:numPr>
          <w:ilvl w:val="1"/>
          <w:numId w:val="0"/>
        </w:numPr>
      </w:pPr>
      <w:r>
        <w:t>6.2运营期环境影响与评价</w:t>
      </w:r>
    </w:p>
    <w:p>
      <w:pPr>
        <w:pStyle w:val="22"/>
        <w:spacing w:before="240" w:after="60" w:line="240" w:lineRule="auto"/>
        <w:ind w:left="0" w:leftChars="0"/>
      </w:pPr>
      <w:r>
        <w:rPr>
          <w:rFonts w:eastAsia="黑体"/>
          <w:spacing w:val="11"/>
        </w:rPr>
        <w:t>6.2.1对区域水资源及综合利用的预测评价</w:t>
      </w:r>
    </w:p>
    <w:p>
      <w:pPr>
        <w:pStyle w:val="22"/>
        <w:spacing w:line="240" w:lineRule="auto"/>
        <w:ind w:left="0" w:leftChars="0" w:firstLine="550" w:firstLineChars="200"/>
      </w:pPr>
      <w:r>
        <w:t>雅石沟水库功能为防洪、灌溉，雅石沟水库蓄清排洪，水库主汛期空库迎汛，汛末下闸蓄水，灌区输水方式采用管道输水，田间灌溉方式采用滴灌方式，除险加固前后水资源配置不变。</w:t>
      </w:r>
    </w:p>
    <w:p>
      <w:pPr>
        <w:pStyle w:val="22"/>
        <w:spacing w:before="240" w:after="60" w:line="240" w:lineRule="auto"/>
        <w:ind w:left="0" w:leftChars="0"/>
      </w:pPr>
      <w:r>
        <w:rPr>
          <w:rFonts w:eastAsia="黑体"/>
          <w:spacing w:val="11"/>
        </w:rPr>
        <w:t>6.2.2水文情势的影响分析</w:t>
      </w:r>
    </w:p>
    <w:p>
      <w:pPr>
        <w:ind w:firstLine="510" w:firstLineChars="200"/>
        <w:rPr>
          <w:sz w:val="24"/>
        </w:rPr>
      </w:pPr>
      <w:r>
        <w:rPr>
          <w:sz w:val="24"/>
        </w:rPr>
        <w:t>水库除险加固完成后，水库目前的安全隐患得以消除，蓄水位恢复正常，对库区水文情势无不利影响。加固后水库设计运行参数不发生变化，雅石沟水库下放的灌溉水量不发生改变，采取生态补水孔向下游下放生态流量，对下游河道影响较小。</w:t>
      </w:r>
    </w:p>
    <w:p>
      <w:pPr>
        <w:pStyle w:val="22"/>
        <w:spacing w:before="240" w:after="60" w:line="240" w:lineRule="auto"/>
        <w:ind w:left="0" w:leftChars="0"/>
        <w:rPr>
          <w:b/>
          <w:bCs/>
          <w:spacing w:val="11"/>
        </w:rPr>
      </w:pPr>
      <w:r>
        <w:rPr>
          <w:rFonts w:eastAsia="黑体"/>
          <w:spacing w:val="11"/>
        </w:rPr>
        <w:t>6.2.3泥沙情势影响分析</w:t>
      </w:r>
    </w:p>
    <w:p>
      <w:pPr>
        <w:ind w:firstLine="510" w:firstLineChars="200"/>
        <w:rPr>
          <w:sz w:val="24"/>
        </w:rPr>
      </w:pPr>
      <w:r>
        <w:rPr>
          <w:sz w:val="24"/>
        </w:rPr>
        <w:t>据水库实测资料统计，雅石沟水库流域未发生明显洪水过程，流域输沙有大水携大沙，小水携小沙的特征，通过复核，实际淤积量较少。本项目除险加固后，对泥沙情势无不利影响。</w:t>
      </w:r>
    </w:p>
    <w:p>
      <w:pPr>
        <w:spacing w:before="240" w:after="60"/>
        <w:rPr>
          <w:b/>
          <w:bCs/>
          <w:sz w:val="24"/>
        </w:rPr>
      </w:pPr>
      <w:r>
        <w:rPr>
          <w:rFonts w:eastAsia="黑体"/>
          <w:sz w:val="24"/>
        </w:rPr>
        <w:t>6.2.4对地表水环境质量的影响分析</w:t>
      </w:r>
    </w:p>
    <w:p>
      <w:pPr>
        <w:pStyle w:val="22"/>
        <w:spacing w:line="240" w:lineRule="auto"/>
        <w:ind w:left="0" w:leftChars="0" w:firstLine="550" w:firstLineChars="200"/>
      </w:pPr>
      <w:r>
        <w:t>本次除险加固工程完成后，水库运行本身不产生水污染物，运行期无生活污水产生。</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7" w:hRule="atLeast"/>
          <w:jc w:val="center"/>
        </w:trPr>
        <w:tc>
          <w:tcPr>
            <w:tcW w:w="4172" w:type="dxa"/>
            <w:tcBorders>
              <w:top w:val="nil"/>
              <w:left w:val="nil"/>
              <w:bottom w:val="nil"/>
              <w:right w:val="nil"/>
            </w:tcBorders>
            <w:noWrap/>
          </w:tcPr>
          <w:p>
            <w:pPr>
              <w:rPr>
                <w:kern w:val="0"/>
                <w:sz w:val="24"/>
                <w:lang w:val="zh-CN"/>
              </w:rPr>
            </w:pPr>
            <w:r>
              <w:rPr>
                <w:kern w:val="0"/>
                <w:sz w:val="24"/>
              </w:rPr>
              <w:drawing>
                <wp:inline distT="0" distB="0" distL="114300" distR="114300">
                  <wp:extent cx="5793740" cy="4342765"/>
                  <wp:effectExtent l="0" t="0" r="16510" b="635"/>
                  <wp:docPr id="32" name="图片 45" descr="f9c19b815b83819ccfe01b8a8d30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descr="f9c19b815b83819ccfe01b8a8d300b6"/>
                          <pic:cNvPicPr>
                            <a:picLocks noChangeAspect="1"/>
                          </pic:cNvPicPr>
                        </pic:nvPicPr>
                        <pic:blipFill>
                          <a:blip r:embed="rId41"/>
                          <a:stretch>
                            <a:fillRect/>
                          </a:stretch>
                        </pic:blipFill>
                        <pic:spPr>
                          <a:xfrm>
                            <a:off x="0" y="0"/>
                            <a:ext cx="5793740" cy="4342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2" w:type="dxa"/>
            <w:tcBorders>
              <w:top w:val="nil"/>
              <w:left w:val="nil"/>
              <w:bottom w:val="nil"/>
              <w:right w:val="nil"/>
            </w:tcBorders>
            <w:noWrap/>
          </w:tcPr>
          <w:p>
            <w:pPr>
              <w:adjustRightInd w:val="0"/>
              <w:snapToGrid w:val="0"/>
              <w:jc w:val="center"/>
              <w:rPr>
                <w:rFonts w:eastAsia="黑体"/>
                <w:kern w:val="0"/>
              </w:rPr>
            </w:pPr>
            <w:r>
              <w:rPr>
                <w:rFonts w:eastAsia="黑体"/>
                <w:kern w:val="0"/>
              </w:rPr>
              <w:t>2025年3月份（有水）</w:t>
            </w:r>
          </w:p>
        </w:tc>
      </w:tr>
    </w:tbl>
    <w:p>
      <w:pPr>
        <w:pStyle w:val="22"/>
        <w:adjustRightInd w:val="0"/>
        <w:snapToGrid w:val="0"/>
        <w:spacing w:line="240" w:lineRule="auto"/>
        <w:ind w:left="0" w:leftChars="0"/>
        <w:jc w:val="center"/>
      </w:pPr>
      <w:r>
        <w:rPr>
          <w:rFonts w:eastAsia="黑体"/>
        </w:rPr>
        <w:t>图6-1  水库是否有水说明图</w:t>
      </w:r>
    </w:p>
    <w:p>
      <w:pPr>
        <w:pStyle w:val="22"/>
        <w:spacing w:line="240" w:lineRule="auto"/>
        <w:ind w:left="0" w:leftChars="0" w:firstLine="554" w:firstLineChars="200"/>
        <w:rPr>
          <w:spacing w:val="11"/>
        </w:rPr>
      </w:pPr>
      <w:r>
        <w:rPr>
          <w:spacing w:val="11"/>
        </w:rPr>
        <w:t>根据现场调查并向施工单位咨询，施工安排在非汛期，不需要施工导流。</w:t>
      </w:r>
      <w:r>
        <w:t>本工程水下作业的工程量较小，对水体的扰动的影响主要是土石填筑料的卸料抛填与拆除过程导致下游SS浓度暂时升高，</w:t>
      </w:r>
      <w:r>
        <w:rPr>
          <w:spacing w:val="11"/>
        </w:rPr>
        <w:t>对水库水体产生扰动较小，从水质检测结果分析可知，目前项目水库水质化学需氧量、生化需氧量、总氮、总磷、氟化物超出《地表水环境质量标准》(GB3838-2002)的Ⅲ类标准，项目总体水质超标。</w:t>
      </w:r>
    </w:p>
    <w:p>
      <w:pPr>
        <w:pStyle w:val="22"/>
        <w:spacing w:line="240" w:lineRule="auto"/>
        <w:ind w:left="0" w:leftChars="0" w:firstLine="554" w:firstLineChars="200"/>
      </w:pPr>
      <w:r>
        <w:rPr>
          <w:spacing w:val="11"/>
        </w:rPr>
        <w:t>此次评价建议：为保障库区的水质安全，建议建设单位加强管理，定期对库区水质进行监测，防止库区水体发生富营养化。</w:t>
      </w:r>
    </w:p>
    <w:p>
      <w:pPr>
        <w:spacing w:before="240" w:after="60"/>
        <w:rPr>
          <w:b/>
          <w:bCs/>
          <w:sz w:val="24"/>
        </w:rPr>
      </w:pPr>
      <w:r>
        <w:rPr>
          <w:rFonts w:eastAsia="黑体"/>
          <w:sz w:val="24"/>
        </w:rPr>
        <w:t>6.2.5回归水对水环境影响预测与评价</w:t>
      </w:r>
    </w:p>
    <w:p>
      <w:pPr>
        <w:pStyle w:val="22"/>
        <w:spacing w:line="240" w:lineRule="auto"/>
        <w:ind w:left="0" w:leftChars="0" w:firstLine="550" w:firstLineChars="200"/>
      </w:pPr>
      <w:r>
        <w:t>雅石沟水库功能为防洪、灌溉，水库运行方式为汛期排洪，水库主汛期空库迎汛，汛末下闸蓄水，水库周边农田均为旱耕地，无农田退水，因此不进行预测。</w:t>
      </w:r>
    </w:p>
    <w:p>
      <w:pPr>
        <w:pStyle w:val="22"/>
        <w:spacing w:before="240" w:after="60" w:line="240" w:lineRule="auto"/>
        <w:ind w:left="0" w:leftChars="0"/>
        <w:rPr>
          <w:b/>
          <w:bCs/>
          <w:spacing w:val="0"/>
        </w:rPr>
      </w:pPr>
      <w:r>
        <w:rPr>
          <w:rFonts w:eastAsia="黑体"/>
          <w:spacing w:val="0"/>
        </w:rPr>
        <w:t>6.2.6水生生态预测与评价</w:t>
      </w:r>
    </w:p>
    <w:p>
      <w:pPr>
        <w:ind w:firstLine="510" w:firstLineChars="200"/>
        <w:rPr>
          <w:sz w:val="24"/>
        </w:rPr>
      </w:pPr>
      <w:r>
        <w:rPr>
          <w:sz w:val="24"/>
        </w:rPr>
        <w:t>本次仅对水库进行除险加固，不会对水库水体产生扰动，水库加固除险前后水库水生生态基本一致。</w:t>
      </w:r>
    </w:p>
    <w:p>
      <w:pPr>
        <w:ind w:firstLine="510" w:firstLineChars="200"/>
        <w:rPr>
          <w:b/>
          <w:bCs/>
          <w:spacing w:val="11"/>
          <w:sz w:val="24"/>
        </w:rPr>
        <w:sectPr>
          <w:pgSz w:w="11905" w:h="16838"/>
          <w:pgMar w:top="1417" w:right="1417" w:bottom="1417" w:left="1417" w:header="850" w:footer="964" w:gutter="0"/>
          <w:cols w:space="720" w:num="1"/>
          <w:docGrid w:type="linesAndChars" w:linePitch="466" w:charSpace="3276"/>
        </w:sectPr>
      </w:pPr>
      <w:r>
        <w:rPr>
          <w:sz w:val="24"/>
        </w:rPr>
        <w:t>本次水库除险加固工程无水下构筑物施工，不影响水库生态流量，不扰动水库水生生态，水库加固除险前后水库水生生态基本一致。</w:t>
      </w:r>
    </w:p>
    <w:p>
      <w:pPr>
        <w:pStyle w:val="22"/>
        <w:spacing w:before="240" w:after="60" w:line="240" w:lineRule="auto"/>
        <w:ind w:left="0" w:leftChars="0"/>
        <w:jc w:val="center"/>
        <w:outlineLvl w:val="0"/>
        <w:rPr>
          <w:rFonts w:eastAsia="黑体"/>
          <w:spacing w:val="11"/>
          <w:sz w:val="32"/>
        </w:rPr>
      </w:pPr>
      <w:bookmarkStart w:id="36" w:name="_Toc18643"/>
      <w:r>
        <w:rPr>
          <w:rFonts w:eastAsia="黑体"/>
          <w:spacing w:val="11"/>
          <w:sz w:val="32"/>
        </w:rPr>
        <w:t>7 环境保护措施与监测计划</w:t>
      </w:r>
      <w:bookmarkEnd w:id="36"/>
    </w:p>
    <w:p>
      <w:pPr>
        <w:pStyle w:val="3"/>
        <w:numPr>
          <w:ilvl w:val="1"/>
          <w:numId w:val="0"/>
        </w:numPr>
      </w:pPr>
      <w:r>
        <w:t>7.1水环境保护措施</w:t>
      </w:r>
    </w:p>
    <w:p>
      <w:pPr>
        <w:pStyle w:val="22"/>
        <w:spacing w:before="240" w:after="60" w:line="240" w:lineRule="auto"/>
        <w:ind w:left="0" w:leftChars="0"/>
        <w:rPr>
          <w:b/>
          <w:bCs/>
        </w:rPr>
      </w:pPr>
      <w:r>
        <w:rPr>
          <w:rFonts w:eastAsia="黑体"/>
        </w:rPr>
        <w:t>7.1.1施工期</w:t>
      </w:r>
    </w:p>
    <w:p>
      <w:pPr>
        <w:pStyle w:val="6"/>
        <w:spacing w:line="240" w:lineRule="auto"/>
        <w:ind w:firstLine="512"/>
        <w:rPr>
          <w:rFonts w:ascii="Times New Roman" w:hAnsi="Times New Roman"/>
        </w:rPr>
      </w:pPr>
      <w:r>
        <w:rPr>
          <w:rFonts w:ascii="Times New Roman" w:hAnsi="Times New Roman"/>
        </w:rPr>
        <w:t>工程建设期间的废水主要来自施工人群的生活污水。在各施工区相对集中的废水产生点均需对上述废污水采取处理措施，防止生活污水对附近水域的污染。</w:t>
      </w:r>
    </w:p>
    <w:p>
      <w:pPr>
        <w:pStyle w:val="6"/>
        <w:spacing w:line="240" w:lineRule="auto"/>
        <w:ind w:firstLine="512"/>
        <w:rPr>
          <w:rFonts w:ascii="Times New Roman" w:hAnsi="Times New Roman"/>
        </w:rPr>
      </w:pPr>
      <w:r>
        <w:rPr>
          <w:rFonts w:ascii="Times New Roman" w:hAnsi="Times New Roman"/>
        </w:rPr>
        <w:t>生活污水依托周边村庄旱厕，定期清掏用于周边绿化施肥，不得排放至周边地表水。</w:t>
      </w:r>
    </w:p>
    <w:p>
      <w:pPr>
        <w:spacing w:before="240" w:after="60"/>
        <w:rPr>
          <w:b/>
          <w:bCs/>
          <w:sz w:val="24"/>
        </w:rPr>
      </w:pPr>
      <w:r>
        <w:rPr>
          <w:rFonts w:eastAsia="黑体"/>
          <w:sz w:val="24"/>
        </w:rPr>
        <w:t>7.1.2运营期</w:t>
      </w:r>
    </w:p>
    <w:p>
      <w:pPr>
        <w:pStyle w:val="6"/>
        <w:spacing w:line="240" w:lineRule="auto"/>
        <w:ind w:firstLine="512"/>
        <w:rPr>
          <w:rFonts w:ascii="Times New Roman" w:hAnsi="Times New Roman"/>
        </w:rPr>
      </w:pPr>
      <w:r>
        <w:rPr>
          <w:rFonts w:ascii="Times New Roman" w:hAnsi="Times New Roman"/>
        </w:rPr>
        <w:t>（1）全面统筹，协调相关单位部门做好库区范围内的截污、治污工作，严厉禁止生产生活污水的无序排放，并做到面源污染的治理工作。</w:t>
      </w:r>
    </w:p>
    <w:p>
      <w:pPr>
        <w:pStyle w:val="6"/>
        <w:spacing w:line="240" w:lineRule="auto"/>
        <w:ind w:firstLine="512"/>
        <w:rPr>
          <w:rFonts w:ascii="Times New Roman" w:hAnsi="Times New Roman"/>
        </w:rPr>
      </w:pPr>
      <w:r>
        <w:rPr>
          <w:rFonts w:ascii="Times New Roman" w:hAnsi="Times New Roman"/>
        </w:rPr>
        <w:t>（2）建立水库环境管理机构，对水库水质及库周污染源发展和污水排放等进行监控，组织安排水质定期监测工作，掌握水库水环境时空变化。</w:t>
      </w:r>
    </w:p>
    <w:p>
      <w:pPr>
        <w:pStyle w:val="6"/>
        <w:spacing w:line="240" w:lineRule="auto"/>
        <w:ind w:firstLine="512"/>
        <w:rPr>
          <w:rFonts w:ascii="Times New Roman" w:hAnsi="Times New Roman"/>
        </w:rPr>
      </w:pPr>
      <w:r>
        <w:rPr>
          <w:rFonts w:ascii="Times New Roman" w:hAnsi="Times New Roman"/>
        </w:rPr>
        <w:t>（3）完善库区上游村庄生活污水集中处理设施及垃圾收集系统，并加强管理。防止运行期生活污水和垃圾直接入沟影响库区水质。</w:t>
      </w:r>
    </w:p>
    <w:p>
      <w:pPr>
        <w:pStyle w:val="6"/>
        <w:spacing w:line="240" w:lineRule="auto"/>
        <w:ind w:firstLine="512"/>
        <w:rPr>
          <w:rFonts w:ascii="Times New Roman" w:hAnsi="Times New Roman"/>
        </w:rPr>
      </w:pPr>
      <w:r>
        <w:rPr>
          <w:rFonts w:ascii="Times New Roman" w:hAnsi="Times New Roman"/>
        </w:rPr>
        <w:t>（4）水库上游强化危险品公路运输管理，加强对车辆的运行全过程的管理。</w:t>
      </w:r>
    </w:p>
    <w:p>
      <w:pPr>
        <w:pStyle w:val="3"/>
        <w:numPr>
          <w:ilvl w:val="1"/>
          <w:numId w:val="0"/>
        </w:numPr>
      </w:pPr>
      <w:r>
        <w:t>7.2监测计划</w:t>
      </w:r>
    </w:p>
    <w:p>
      <w:pPr>
        <w:pStyle w:val="22"/>
        <w:spacing w:before="240" w:after="60" w:line="240" w:lineRule="auto"/>
        <w:ind w:left="0" w:leftChars="0"/>
        <w:rPr>
          <w:b/>
          <w:bCs/>
        </w:rPr>
      </w:pPr>
      <w:r>
        <w:rPr>
          <w:rFonts w:eastAsia="黑体"/>
        </w:rPr>
        <w:t>7.2.1施工期</w:t>
      </w:r>
    </w:p>
    <w:p>
      <w:pPr>
        <w:ind w:firstLine="510" w:firstLineChars="200"/>
        <w:rPr>
          <w:sz w:val="24"/>
        </w:rPr>
      </w:pPr>
      <w:r>
        <w:rPr>
          <w:sz w:val="24"/>
        </w:rPr>
        <w:t>项目施工废水不排放，不进行水污染源监测。</w:t>
      </w:r>
    </w:p>
    <w:p>
      <w:pPr>
        <w:spacing w:before="240" w:after="60"/>
        <w:rPr>
          <w:rFonts w:eastAsia="黑体"/>
          <w:sz w:val="24"/>
        </w:rPr>
      </w:pPr>
      <w:r>
        <w:rPr>
          <w:rFonts w:eastAsia="黑体"/>
          <w:sz w:val="24"/>
        </w:rPr>
        <w:t>7.2.2运营期</w:t>
      </w:r>
    </w:p>
    <w:p>
      <w:pPr>
        <w:pStyle w:val="6"/>
        <w:spacing w:line="240" w:lineRule="auto"/>
        <w:ind w:firstLine="512"/>
        <w:rPr>
          <w:rFonts w:ascii="Times New Roman" w:hAnsi="Times New Roman"/>
        </w:rPr>
      </w:pPr>
      <w:r>
        <w:rPr>
          <w:rFonts w:ascii="Times New Roman" w:hAnsi="Times New Roman"/>
        </w:rPr>
        <w:t>监测位置：库区设1个点位。</w:t>
      </w:r>
    </w:p>
    <w:p>
      <w:pPr>
        <w:pStyle w:val="6"/>
        <w:spacing w:line="240" w:lineRule="auto"/>
        <w:ind w:firstLine="512"/>
        <w:rPr>
          <w:rFonts w:ascii="Times New Roman" w:hAnsi="Times New Roman"/>
        </w:rPr>
      </w:pPr>
      <w:r>
        <w:rPr>
          <w:rFonts w:ascii="Times New Roman" w:hAnsi="Times New Roman"/>
        </w:rPr>
        <w:t>监测项目：水温、pH值、溶解氧、高酸盐指数化学需氧量、五日生化需氧量、氯氮、总磷、总氮、铜、锌、氟化物、硒、砷、汞、钴、铬(六价)、铅、氰化物、挥发酚、石油类、阴离子表面活性剂、硫化物、粪大肠菌群、透明度、叶绿素a</w:t>
      </w:r>
    </w:p>
    <w:p>
      <w:pPr>
        <w:pStyle w:val="6"/>
        <w:spacing w:line="240" w:lineRule="auto"/>
        <w:ind w:firstLine="512"/>
        <w:rPr>
          <w:rFonts w:ascii="Times New Roman" w:hAnsi="Times New Roman"/>
        </w:rPr>
      </w:pPr>
      <w:r>
        <w:rPr>
          <w:rFonts w:ascii="Times New Roman" w:hAnsi="Times New Roman"/>
        </w:rPr>
        <w:t>监测频次：每年监测4次，长期监测，具体采样次数视当年变化而定，一般需连续采样三天，每天一次。</w:t>
      </w:r>
    </w:p>
    <w:p>
      <w:pPr>
        <w:pStyle w:val="6"/>
        <w:spacing w:line="240" w:lineRule="auto"/>
        <w:ind w:firstLine="512"/>
        <w:rPr>
          <w:rFonts w:ascii="Times New Roman" w:hAnsi="Times New Roman"/>
        </w:rPr>
        <w:sectPr>
          <w:pgSz w:w="11905" w:h="16838"/>
          <w:pgMar w:top="1417" w:right="1417" w:bottom="1417" w:left="1417" w:header="850" w:footer="964" w:gutter="0"/>
          <w:cols w:space="720" w:num="1"/>
          <w:docGrid w:type="linesAndChars" w:linePitch="466" w:charSpace="3276"/>
        </w:sectPr>
      </w:pPr>
      <w:r>
        <w:rPr>
          <w:rFonts w:ascii="Times New Roman" w:hAnsi="Times New Roman"/>
        </w:rPr>
        <w:t>执行标准：《地表水环境质量标准》(GB3838-2002)的Ⅲ类标准。</w:t>
      </w:r>
    </w:p>
    <w:p>
      <w:pPr>
        <w:spacing w:before="240" w:after="60"/>
        <w:jc w:val="center"/>
        <w:outlineLvl w:val="0"/>
        <w:rPr>
          <w:b/>
          <w:bCs/>
          <w:sz w:val="32"/>
        </w:rPr>
      </w:pPr>
      <w:bookmarkStart w:id="37" w:name="_Toc7860"/>
      <w:r>
        <w:rPr>
          <w:rFonts w:eastAsia="黑体"/>
          <w:sz w:val="32"/>
        </w:rPr>
        <w:t>8 地表水环境影响评价</w:t>
      </w:r>
      <w:bookmarkEnd w:id="37"/>
    </w:p>
    <w:p>
      <w:pPr>
        <w:pStyle w:val="3"/>
        <w:numPr>
          <w:ilvl w:val="1"/>
          <w:numId w:val="0"/>
        </w:numPr>
      </w:pPr>
      <w:r>
        <w:t>8.1水环境影响评价结论</w:t>
      </w:r>
    </w:p>
    <w:p>
      <w:pPr>
        <w:pStyle w:val="6"/>
        <w:spacing w:line="240" w:lineRule="auto"/>
        <w:ind w:firstLine="512"/>
        <w:rPr>
          <w:rFonts w:ascii="Times New Roman" w:hAnsi="Times New Roman"/>
        </w:rPr>
      </w:pPr>
      <w:r>
        <w:rPr>
          <w:rFonts w:ascii="Times New Roman" w:hAnsi="Times New Roman"/>
        </w:rPr>
        <w:t>施工期间不会改变下游水文情势，项目区设置沉淀池，施工废水经处理后全部回用不外排。生活污水定期由吸污车清掏外运至彭阳县就近污水处理站，不外排。本项目为水库除险加固，项目建设前后库区和下游水文情势、水库水质、水生生态基本一致，对水环境质量无影响。</w:t>
      </w:r>
    </w:p>
    <w:p>
      <w:pPr>
        <w:pStyle w:val="6"/>
        <w:spacing w:line="240" w:lineRule="auto"/>
        <w:ind w:firstLine="512"/>
        <w:rPr>
          <w:rFonts w:ascii="Times New Roman" w:hAnsi="Times New Roman"/>
        </w:rPr>
      </w:pPr>
      <w:r>
        <w:rPr>
          <w:rFonts w:ascii="Times New Roman" w:hAnsi="Times New Roman"/>
        </w:rPr>
        <w:t>本工程建设任务为防洪和灌溉，对环境的影响有利有弊，而弊端均可以采取防治和改善措施予以减免。建设单位应切实落实本评价报告所提出的各项措施和对策，减免各种不利影响，做到开发与保护并重，从而促进环境、经济和社会的协调发展。</w:t>
      </w:r>
    </w:p>
    <w:p>
      <w:pPr>
        <w:pStyle w:val="6"/>
        <w:spacing w:line="240" w:lineRule="auto"/>
        <w:ind w:firstLine="512"/>
        <w:rPr>
          <w:rFonts w:ascii="Times New Roman" w:hAnsi="Times New Roman"/>
        </w:rPr>
      </w:pPr>
      <w:r>
        <w:rPr>
          <w:rFonts w:ascii="Times New Roman" w:hAnsi="Times New Roman"/>
        </w:rPr>
        <w:t>综上所述，本项目在落实各项环保措施、达标排放的前提下，从地表水环境影响角度分析，项目建设是可行的。</w:t>
      </w:r>
    </w:p>
    <w:p>
      <w:pPr>
        <w:pStyle w:val="3"/>
        <w:numPr>
          <w:ilvl w:val="1"/>
          <w:numId w:val="0"/>
        </w:numPr>
      </w:pPr>
      <w:r>
        <w:t>8.2地表水环境影响评价自查表</w:t>
      </w:r>
    </w:p>
    <w:p>
      <w:pPr>
        <w:adjustRightInd w:val="0"/>
        <w:snapToGrid w:val="0"/>
        <w:jc w:val="center"/>
        <w:rPr>
          <w:rFonts w:eastAsia="黑体"/>
          <w:spacing w:val="11"/>
          <w:sz w:val="24"/>
        </w:rPr>
      </w:pPr>
      <w:r>
        <w:rPr>
          <w:rFonts w:eastAsia="黑体"/>
          <w:spacing w:val="11"/>
          <w:sz w:val="24"/>
        </w:rPr>
        <w:t>表8-1  地表水环境影响评价自查表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1"/>
        <w:gridCol w:w="945"/>
        <w:gridCol w:w="1635"/>
        <w:gridCol w:w="1105"/>
        <w:gridCol w:w="117"/>
        <w:gridCol w:w="1186"/>
        <w:gridCol w:w="944"/>
        <w:gridCol w:w="358"/>
        <w:gridCol w:w="1007"/>
        <w:gridCol w:w="439"/>
        <w:gridCol w:w="1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36" w:type="dxa"/>
            <w:gridSpan w:val="2"/>
            <w:tcBorders>
              <w:tl2br w:val="nil"/>
              <w:tr2bl w:val="nil"/>
            </w:tcBorders>
            <w:noWrap/>
            <w:vAlign w:val="center"/>
          </w:tcPr>
          <w:p>
            <w:pPr>
              <w:adjustRightInd w:val="0"/>
              <w:snapToGrid w:val="0"/>
              <w:jc w:val="center"/>
              <w:rPr>
                <w:b/>
                <w:bCs/>
              </w:rPr>
            </w:pPr>
            <w:r>
              <w:rPr>
                <w:b/>
                <w:bCs/>
              </w:rPr>
              <w:t>工作内容</w:t>
            </w:r>
          </w:p>
        </w:tc>
        <w:tc>
          <w:tcPr>
            <w:tcW w:w="7951" w:type="dxa"/>
            <w:gridSpan w:val="9"/>
            <w:tcBorders>
              <w:tl2br w:val="nil"/>
              <w:tr2bl w:val="nil"/>
            </w:tcBorders>
            <w:noWrap/>
            <w:vAlign w:val="center"/>
          </w:tcPr>
          <w:p>
            <w:pPr>
              <w:adjustRightInd w:val="0"/>
              <w:snapToGrid w:val="0"/>
              <w:jc w:val="center"/>
              <w:rPr>
                <w:b/>
                <w:bCs/>
              </w:rPr>
            </w:pPr>
            <w:r>
              <w:rPr>
                <w:b/>
                <w:bCs/>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restart"/>
            <w:tcBorders>
              <w:tl2br w:val="nil"/>
              <w:tr2bl w:val="nil"/>
            </w:tcBorders>
            <w:noWrap/>
            <w:vAlign w:val="center"/>
          </w:tcPr>
          <w:p>
            <w:pPr>
              <w:pStyle w:val="22"/>
              <w:adjustRightInd w:val="0"/>
              <w:snapToGrid w:val="0"/>
              <w:spacing w:line="240" w:lineRule="auto"/>
              <w:ind w:left="0" w:leftChars="0"/>
              <w:jc w:val="center"/>
              <w:rPr>
                <w:spacing w:val="11"/>
                <w:sz w:val="21"/>
              </w:rPr>
            </w:pPr>
            <w:r>
              <w:rPr>
                <w:spacing w:val="11"/>
                <w:sz w:val="21"/>
              </w:rPr>
              <w:t>影响识别</w:t>
            </w:r>
          </w:p>
        </w:tc>
        <w:tc>
          <w:tcPr>
            <w:tcW w:w="945" w:type="dxa"/>
            <w:tcBorders>
              <w:tl2br w:val="nil"/>
              <w:tr2bl w:val="nil"/>
            </w:tcBorders>
            <w:noWrap/>
            <w:vAlign w:val="center"/>
          </w:tcPr>
          <w:p>
            <w:pPr>
              <w:pStyle w:val="22"/>
              <w:adjustRightInd w:val="0"/>
              <w:snapToGrid w:val="0"/>
              <w:spacing w:line="240" w:lineRule="auto"/>
              <w:ind w:left="0" w:leftChars="0"/>
              <w:jc w:val="center"/>
              <w:rPr>
                <w:spacing w:val="11"/>
                <w:sz w:val="21"/>
              </w:rPr>
            </w:pPr>
            <w:r>
              <w:rPr>
                <w:spacing w:val="11"/>
                <w:sz w:val="21"/>
              </w:rPr>
              <w:t>影响类型</w:t>
            </w:r>
          </w:p>
        </w:tc>
        <w:tc>
          <w:tcPr>
            <w:tcW w:w="7951" w:type="dxa"/>
            <w:gridSpan w:val="9"/>
            <w:tcBorders>
              <w:tl2br w:val="nil"/>
              <w:tr2bl w:val="nil"/>
            </w:tcBorders>
            <w:noWrap/>
            <w:vAlign w:val="center"/>
          </w:tcPr>
          <w:p>
            <w:pPr>
              <w:pStyle w:val="22"/>
              <w:adjustRightInd w:val="0"/>
              <w:snapToGrid w:val="0"/>
              <w:spacing w:line="240" w:lineRule="auto"/>
              <w:ind w:left="0" w:leftChars="0"/>
              <w:jc w:val="center"/>
              <w:rPr>
                <w:sz w:val="21"/>
              </w:rPr>
            </w:pPr>
            <w:r>
              <w:rPr>
                <w:sz w:val="21"/>
              </w:rPr>
              <w:t>水污染影响型□；水文要素影响型</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pacing w:val="11"/>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pacing w:val="11"/>
                <w:sz w:val="21"/>
              </w:rPr>
            </w:pPr>
            <w:r>
              <w:rPr>
                <w:spacing w:val="11"/>
                <w:sz w:val="21"/>
              </w:rPr>
              <w:t>水环境保护目标</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饮用水水源保护区□；饮用水取水□；涉水的自然保护区□；重要湿地□；重点保护与珍稀水生生物的栖息地□；重要水生生物的自然产卵场及索饵场、越冬场和洄游通道、天然渔场等渔业水体□；涉水的风景名胜区□；其他</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pacing w:val="11"/>
                <w:sz w:val="21"/>
              </w:rPr>
            </w:pP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pacing w:val="11"/>
                <w:sz w:val="21"/>
              </w:rPr>
            </w:pPr>
            <w:r>
              <w:rPr>
                <w:spacing w:val="11"/>
                <w:sz w:val="21"/>
              </w:rPr>
              <w:t>影响途径</w:t>
            </w:r>
          </w:p>
        </w:tc>
        <w:tc>
          <w:tcPr>
            <w:tcW w:w="4043"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水污染影响型</w:t>
            </w:r>
          </w:p>
        </w:tc>
        <w:tc>
          <w:tcPr>
            <w:tcW w:w="3908" w:type="dxa"/>
            <w:gridSpan w:val="5"/>
            <w:tcBorders>
              <w:tl2br w:val="nil"/>
              <w:tr2bl w:val="nil"/>
            </w:tcBorders>
            <w:noWrap/>
            <w:vAlign w:val="center"/>
          </w:tcPr>
          <w:p>
            <w:pPr>
              <w:pStyle w:val="22"/>
              <w:adjustRightInd w:val="0"/>
              <w:snapToGrid w:val="0"/>
              <w:spacing w:line="240" w:lineRule="auto"/>
              <w:ind w:left="0" w:leftChars="0"/>
              <w:jc w:val="center"/>
              <w:rPr>
                <w:sz w:val="21"/>
              </w:rPr>
            </w:pPr>
            <w:r>
              <w:rPr>
                <w:sz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pacing w:val="11"/>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pacing w:val="11"/>
                <w:sz w:val="21"/>
              </w:rPr>
            </w:pPr>
          </w:p>
        </w:tc>
        <w:tc>
          <w:tcPr>
            <w:tcW w:w="4043"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直接排放□；间接排放□；其他□</w:t>
            </w:r>
          </w:p>
        </w:tc>
        <w:tc>
          <w:tcPr>
            <w:tcW w:w="3908" w:type="dxa"/>
            <w:gridSpan w:val="5"/>
            <w:tcBorders>
              <w:tl2br w:val="nil"/>
              <w:tr2bl w:val="nil"/>
            </w:tcBorders>
            <w:noWrap/>
            <w:vAlign w:val="center"/>
          </w:tcPr>
          <w:p>
            <w:pPr>
              <w:pStyle w:val="22"/>
              <w:adjustRightInd w:val="0"/>
              <w:snapToGrid w:val="0"/>
              <w:spacing w:line="240" w:lineRule="auto"/>
              <w:ind w:left="0" w:leftChars="0"/>
              <w:jc w:val="center"/>
              <w:rPr>
                <w:sz w:val="21"/>
              </w:rPr>
            </w:pPr>
            <w:r>
              <w:rPr>
                <w:sz w:val="21"/>
              </w:rPr>
              <w:t>水温</w:t>
            </w:r>
            <w:r>
              <w:rPr>
                <w:sz w:val="21"/>
              </w:rPr>
              <w:sym w:font="Wingdings 2" w:char="00A3"/>
            </w:r>
            <w:r>
              <w:rPr>
                <w:sz w:val="21"/>
              </w:rPr>
              <w:t>；径流□；水域面积☑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pacing w:val="11"/>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pacing w:val="11"/>
                <w:sz w:val="21"/>
              </w:rPr>
            </w:pPr>
            <w:r>
              <w:rPr>
                <w:spacing w:val="11"/>
                <w:sz w:val="21"/>
              </w:rPr>
              <w:t>影响因子</w:t>
            </w:r>
          </w:p>
        </w:tc>
        <w:tc>
          <w:tcPr>
            <w:tcW w:w="4043" w:type="dxa"/>
            <w:gridSpan w:val="4"/>
            <w:tcBorders>
              <w:tl2br w:val="nil"/>
              <w:tr2bl w:val="nil"/>
            </w:tcBorders>
            <w:noWrap/>
            <w:vAlign w:val="center"/>
          </w:tcPr>
          <w:p>
            <w:pPr>
              <w:pStyle w:val="22"/>
              <w:adjustRightInd w:val="0"/>
              <w:snapToGrid w:val="0"/>
              <w:spacing w:line="240" w:lineRule="auto"/>
              <w:ind w:left="0" w:leftChars="0"/>
              <w:jc w:val="left"/>
              <w:rPr>
                <w:sz w:val="21"/>
              </w:rPr>
            </w:pPr>
            <w:r>
              <w:rPr>
                <w:sz w:val="21"/>
                <w:szCs w:val="21"/>
              </w:rPr>
              <w:t>持久性污染物□；有毒有害污染物□；非持久性污染物□；pH值□；热污染□；富营养化</w:t>
            </w:r>
            <w:r>
              <w:rPr>
                <w:sz w:val="21"/>
                <w:szCs w:val="21"/>
              </w:rPr>
              <w:sym w:font="Wingdings 2" w:char="00A3"/>
            </w:r>
            <w:r>
              <w:rPr>
                <w:sz w:val="21"/>
                <w:szCs w:val="21"/>
              </w:rPr>
              <w:t>；其他□</w:t>
            </w:r>
          </w:p>
        </w:tc>
        <w:tc>
          <w:tcPr>
            <w:tcW w:w="3908" w:type="dxa"/>
            <w:gridSpan w:val="5"/>
            <w:tcBorders>
              <w:tl2br w:val="nil"/>
              <w:tr2bl w:val="nil"/>
            </w:tcBorders>
            <w:noWrap/>
            <w:vAlign w:val="center"/>
          </w:tcPr>
          <w:p>
            <w:pPr>
              <w:pStyle w:val="22"/>
              <w:adjustRightInd w:val="0"/>
              <w:snapToGrid w:val="0"/>
              <w:spacing w:line="240" w:lineRule="auto"/>
              <w:ind w:left="0" w:leftChars="0"/>
              <w:jc w:val="left"/>
              <w:rPr>
                <w:sz w:val="21"/>
              </w:rPr>
            </w:pPr>
            <w:r>
              <w:rPr>
                <w:sz w:val="21"/>
              </w:rPr>
              <w:t>水温</w:t>
            </w:r>
            <w:r>
              <w:rPr>
                <w:sz w:val="21"/>
              </w:rPr>
              <w:sym w:font="Wingdings 2" w:char="00A3"/>
            </w:r>
            <w:r>
              <w:rPr>
                <w:sz w:val="21"/>
              </w:rPr>
              <w:t>；水位（水深）</w:t>
            </w:r>
            <w:r>
              <w:rPr>
                <w:sz w:val="21"/>
              </w:rPr>
              <w:sym w:font="Wingdings 2" w:char="00A3"/>
            </w:r>
            <w:r>
              <w:rPr>
                <w:sz w:val="21"/>
              </w:rPr>
              <w:t>；流速</w:t>
            </w:r>
            <w:r>
              <w:rPr>
                <w:sz w:val="21"/>
              </w:rPr>
              <w:sym w:font="Wingdings 2" w:char="00A3"/>
            </w:r>
            <w:r>
              <w:rPr>
                <w:sz w:val="21"/>
              </w:rPr>
              <w:t>；流量</w:t>
            </w:r>
            <w:r>
              <w:rPr>
                <w:sz w:val="21"/>
              </w:rPr>
              <w:sym w:font="Wingdings 2" w:char="00A3"/>
            </w:r>
            <w:r>
              <w:rPr>
                <w:sz w:val="21"/>
              </w:rPr>
              <w:t>；其他</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gridSpan w:val="2"/>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评价等级</w:t>
            </w:r>
          </w:p>
        </w:tc>
        <w:tc>
          <w:tcPr>
            <w:tcW w:w="4043"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水污染影响型</w:t>
            </w:r>
          </w:p>
        </w:tc>
        <w:tc>
          <w:tcPr>
            <w:tcW w:w="3908" w:type="dxa"/>
            <w:gridSpan w:val="5"/>
            <w:tcBorders>
              <w:tl2br w:val="nil"/>
              <w:tr2bl w:val="nil"/>
            </w:tcBorders>
            <w:noWrap/>
            <w:vAlign w:val="center"/>
          </w:tcPr>
          <w:p>
            <w:pPr>
              <w:pStyle w:val="22"/>
              <w:adjustRightInd w:val="0"/>
              <w:snapToGrid w:val="0"/>
              <w:spacing w:line="240" w:lineRule="auto"/>
              <w:ind w:left="0" w:leftChars="0"/>
              <w:jc w:val="center"/>
              <w:rPr>
                <w:sz w:val="21"/>
              </w:rPr>
            </w:pPr>
            <w:r>
              <w:rPr>
                <w:sz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gridSpan w:val="2"/>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4043"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一级□；二级□；三级A□；三级B□</w:t>
            </w:r>
          </w:p>
        </w:tc>
        <w:tc>
          <w:tcPr>
            <w:tcW w:w="3908" w:type="dxa"/>
            <w:gridSpan w:val="5"/>
            <w:tcBorders>
              <w:tl2br w:val="nil"/>
              <w:tr2bl w:val="nil"/>
            </w:tcBorders>
            <w:noWrap/>
            <w:vAlign w:val="center"/>
          </w:tcPr>
          <w:p>
            <w:pPr>
              <w:pStyle w:val="22"/>
              <w:adjustRightInd w:val="0"/>
              <w:snapToGrid w:val="0"/>
              <w:spacing w:line="240" w:lineRule="auto"/>
              <w:ind w:left="0" w:leftChars="0"/>
              <w:jc w:val="center"/>
              <w:rPr>
                <w:sz w:val="21"/>
              </w:rPr>
            </w:pPr>
            <w:r>
              <w:rPr>
                <w:sz w:val="21"/>
              </w:rPr>
              <w:t>一级□；二级□；三级</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现状调查</w:t>
            </w: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区域污染源</w:t>
            </w:r>
          </w:p>
        </w:tc>
        <w:tc>
          <w:tcPr>
            <w:tcW w:w="4043"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调查项目</w:t>
            </w:r>
          </w:p>
        </w:tc>
        <w:tc>
          <w:tcPr>
            <w:tcW w:w="3908" w:type="dxa"/>
            <w:gridSpan w:val="5"/>
            <w:tcBorders>
              <w:tl2br w:val="nil"/>
              <w:tr2bl w:val="nil"/>
            </w:tcBorders>
            <w:noWrap/>
            <w:vAlign w:val="center"/>
          </w:tcPr>
          <w:p>
            <w:pPr>
              <w:pStyle w:val="22"/>
              <w:adjustRightInd w:val="0"/>
              <w:snapToGrid w:val="0"/>
              <w:spacing w:line="240" w:lineRule="auto"/>
              <w:ind w:left="0" w:leftChars="0"/>
              <w:jc w:val="center"/>
              <w:rPr>
                <w:sz w:val="21"/>
              </w:rPr>
            </w:pPr>
            <w:r>
              <w:rPr>
                <w:sz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2740" w:type="dxa"/>
            <w:gridSpan w:val="2"/>
            <w:tcBorders>
              <w:tl2br w:val="nil"/>
              <w:tr2bl w:val="nil"/>
            </w:tcBorders>
            <w:noWrap/>
            <w:vAlign w:val="center"/>
          </w:tcPr>
          <w:p>
            <w:pPr>
              <w:pStyle w:val="22"/>
              <w:adjustRightInd w:val="0"/>
              <w:snapToGrid w:val="0"/>
              <w:spacing w:line="240" w:lineRule="auto"/>
              <w:ind w:left="0" w:leftChars="0"/>
              <w:jc w:val="left"/>
              <w:rPr>
                <w:sz w:val="21"/>
              </w:rPr>
            </w:pPr>
            <w:r>
              <w:rPr>
                <w:sz w:val="21"/>
              </w:rPr>
              <w:t>已建□；在建□；拟建□；其他□</w:t>
            </w:r>
          </w:p>
        </w:tc>
        <w:tc>
          <w:tcPr>
            <w:tcW w:w="2605"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拟替代的污染源</w:t>
            </w:r>
          </w:p>
        </w:tc>
        <w:tc>
          <w:tcPr>
            <w:tcW w:w="2606" w:type="dxa"/>
            <w:gridSpan w:val="3"/>
            <w:tcBorders>
              <w:tl2br w:val="nil"/>
              <w:tr2bl w:val="nil"/>
            </w:tcBorders>
            <w:noWrap/>
            <w:vAlign w:val="center"/>
          </w:tcPr>
          <w:p>
            <w:pPr>
              <w:pStyle w:val="22"/>
              <w:adjustRightInd w:val="0"/>
              <w:snapToGrid w:val="0"/>
              <w:spacing w:line="240" w:lineRule="auto"/>
              <w:ind w:left="0" w:leftChars="0"/>
              <w:jc w:val="left"/>
              <w:rPr>
                <w:sz w:val="21"/>
              </w:rPr>
            </w:pPr>
            <w:r>
              <w:rPr>
                <w:sz w:val="21"/>
              </w:rPr>
              <w:t>排污许可证</w:t>
            </w:r>
            <w:r>
              <w:rPr>
                <w:sz w:val="21"/>
              </w:rPr>
              <w:sym w:font="Wingdings 2" w:char="00A3"/>
            </w:r>
            <w:r>
              <w:rPr>
                <w:sz w:val="21"/>
              </w:rPr>
              <w:t>；环评</w:t>
            </w:r>
            <w:r>
              <w:rPr>
                <w:sz w:val="21"/>
              </w:rPr>
              <w:sym w:font="Wingdings 2" w:char="00A3"/>
            </w:r>
            <w:r>
              <w:rPr>
                <w:sz w:val="21"/>
              </w:rPr>
              <w:t>；环保验收</w:t>
            </w:r>
            <w:r>
              <w:rPr>
                <w:sz w:val="21"/>
              </w:rPr>
              <w:sym w:font="Wingdings 2" w:char="00A3"/>
            </w:r>
            <w:r>
              <w:rPr>
                <w:sz w:val="21"/>
              </w:rPr>
              <w:t>；既有实测</w:t>
            </w:r>
            <w:r>
              <w:rPr>
                <w:sz w:val="21"/>
              </w:rPr>
              <w:sym w:font="Wingdings 2" w:char="00A3"/>
            </w:r>
            <w:r>
              <w:rPr>
                <w:sz w:val="21"/>
              </w:rPr>
              <w:t>；现场监测</w:t>
            </w:r>
            <w:r>
              <w:rPr>
                <w:sz w:val="21"/>
              </w:rPr>
              <w:sym w:font="Wingdings 2" w:char="00A3"/>
            </w:r>
            <w:r>
              <w:rPr>
                <w:sz w:val="21"/>
              </w:rPr>
              <w:t>；入河排放口数据</w:t>
            </w:r>
            <w:r>
              <w:rPr>
                <w:sz w:val="21"/>
              </w:rPr>
              <w:sym w:font="Wingdings 2" w:char="00A3"/>
            </w:r>
            <w:r>
              <w:rPr>
                <w:sz w:val="21"/>
              </w:rPr>
              <w:t>；其他</w:t>
            </w:r>
            <w:r>
              <w:rPr>
                <w:sz w:val="21"/>
              </w:rPr>
              <w:sym w:font="Wingdings 2" w:char="00A3"/>
            </w:r>
            <w:r>
              <w:rPr>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受影响水体水环境质量</w:t>
            </w:r>
          </w:p>
        </w:tc>
        <w:tc>
          <w:tcPr>
            <w:tcW w:w="4043"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调查项目</w:t>
            </w:r>
          </w:p>
        </w:tc>
        <w:tc>
          <w:tcPr>
            <w:tcW w:w="3908" w:type="dxa"/>
            <w:gridSpan w:val="5"/>
            <w:tcBorders>
              <w:tl2br w:val="nil"/>
              <w:tr2bl w:val="nil"/>
            </w:tcBorders>
            <w:noWrap/>
            <w:vAlign w:val="center"/>
          </w:tcPr>
          <w:p>
            <w:pPr>
              <w:pStyle w:val="22"/>
              <w:adjustRightInd w:val="0"/>
              <w:snapToGrid w:val="0"/>
              <w:spacing w:line="240" w:lineRule="auto"/>
              <w:ind w:left="0" w:leftChars="0"/>
              <w:jc w:val="center"/>
              <w:rPr>
                <w:sz w:val="21"/>
              </w:rPr>
            </w:pPr>
            <w:r>
              <w:rPr>
                <w:sz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4043" w:type="dxa"/>
            <w:gridSpan w:val="4"/>
            <w:tcBorders>
              <w:tl2br w:val="nil"/>
              <w:tr2bl w:val="nil"/>
            </w:tcBorders>
            <w:noWrap/>
            <w:vAlign w:val="center"/>
          </w:tcPr>
          <w:p>
            <w:pPr>
              <w:pStyle w:val="22"/>
              <w:adjustRightInd w:val="0"/>
              <w:snapToGrid w:val="0"/>
              <w:spacing w:line="240" w:lineRule="auto"/>
              <w:ind w:left="0" w:leftChars="0"/>
              <w:jc w:val="left"/>
              <w:rPr>
                <w:sz w:val="21"/>
              </w:rPr>
            </w:pPr>
            <w:r>
              <w:rPr>
                <w:sz w:val="21"/>
              </w:rPr>
              <w:t>丰水期☑；平水期□；枯水期</w:t>
            </w:r>
            <w:r>
              <w:rPr>
                <w:sz w:val="21"/>
              </w:rPr>
              <w:sym w:font="Wingdings 2" w:char="00A3"/>
            </w:r>
            <w:r>
              <w:rPr>
                <w:sz w:val="21"/>
              </w:rPr>
              <w:t>；冰封期□春季☑；夏季□；秋季□；冬季□</w:t>
            </w:r>
          </w:p>
        </w:tc>
        <w:tc>
          <w:tcPr>
            <w:tcW w:w="3908" w:type="dxa"/>
            <w:gridSpan w:val="5"/>
            <w:tcBorders>
              <w:tl2br w:val="nil"/>
              <w:tr2bl w:val="nil"/>
            </w:tcBorders>
            <w:noWrap/>
            <w:vAlign w:val="center"/>
          </w:tcPr>
          <w:p>
            <w:pPr>
              <w:pStyle w:val="22"/>
              <w:adjustRightInd w:val="0"/>
              <w:snapToGrid w:val="0"/>
              <w:spacing w:line="240" w:lineRule="auto"/>
              <w:ind w:left="0" w:leftChars="0"/>
              <w:jc w:val="left"/>
              <w:rPr>
                <w:sz w:val="21"/>
              </w:rPr>
            </w:pPr>
            <w:r>
              <w:rPr>
                <w:sz w:val="21"/>
              </w:rPr>
              <w:t>生态环境保护主管部门□；补充监测</w:t>
            </w:r>
            <w:r>
              <w:rPr>
                <w:sz w:val="21"/>
              </w:rPr>
              <w:sym w:font="Wingdings 2" w:char="0052"/>
            </w:r>
            <w:r>
              <w:rPr>
                <w:sz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区域水资源开发利用状况</w:t>
            </w:r>
          </w:p>
        </w:tc>
        <w:tc>
          <w:tcPr>
            <w:tcW w:w="7951" w:type="dxa"/>
            <w:gridSpan w:val="9"/>
            <w:tcBorders>
              <w:tl2br w:val="nil"/>
              <w:tr2bl w:val="nil"/>
            </w:tcBorders>
            <w:noWrap/>
            <w:vAlign w:val="center"/>
          </w:tcPr>
          <w:p>
            <w:pPr>
              <w:pStyle w:val="22"/>
              <w:adjustRightInd w:val="0"/>
              <w:snapToGrid w:val="0"/>
              <w:spacing w:line="240" w:lineRule="auto"/>
              <w:ind w:left="0" w:leftChars="0"/>
              <w:jc w:val="center"/>
              <w:rPr>
                <w:sz w:val="21"/>
              </w:rPr>
            </w:pPr>
            <w:r>
              <w:rPr>
                <w:sz w:val="21"/>
              </w:rPr>
              <w:t>未开发</w:t>
            </w:r>
            <w:r>
              <w:rPr>
                <w:sz w:val="21"/>
              </w:rPr>
              <w:sym w:font="Wingdings 2" w:char="0052"/>
            </w:r>
            <w:r>
              <w:rPr>
                <w:sz w:val="21"/>
              </w:rPr>
              <w:t>；开发量40%以下□；开发量40%以上□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水文情势调查</w:t>
            </w:r>
          </w:p>
        </w:tc>
        <w:tc>
          <w:tcPr>
            <w:tcW w:w="2857" w:type="dxa"/>
            <w:gridSpan w:val="3"/>
            <w:tcBorders>
              <w:tl2br w:val="nil"/>
              <w:tr2bl w:val="nil"/>
            </w:tcBorders>
            <w:noWrap/>
            <w:vAlign w:val="center"/>
          </w:tcPr>
          <w:p>
            <w:pPr>
              <w:pStyle w:val="22"/>
              <w:adjustRightInd w:val="0"/>
              <w:snapToGrid w:val="0"/>
              <w:spacing w:line="240" w:lineRule="auto"/>
              <w:ind w:left="0" w:leftChars="0"/>
              <w:jc w:val="center"/>
              <w:rPr>
                <w:sz w:val="21"/>
              </w:rPr>
            </w:pPr>
            <w:r>
              <w:rPr>
                <w:sz w:val="21"/>
              </w:rPr>
              <w:t>调查项目</w:t>
            </w:r>
          </w:p>
        </w:tc>
        <w:tc>
          <w:tcPr>
            <w:tcW w:w="5094" w:type="dxa"/>
            <w:gridSpan w:val="6"/>
            <w:tcBorders>
              <w:tl2br w:val="nil"/>
              <w:tr2bl w:val="nil"/>
            </w:tcBorders>
            <w:noWrap/>
            <w:vAlign w:val="center"/>
          </w:tcPr>
          <w:p>
            <w:pPr>
              <w:pStyle w:val="22"/>
              <w:adjustRightInd w:val="0"/>
              <w:snapToGrid w:val="0"/>
              <w:spacing w:line="240" w:lineRule="auto"/>
              <w:ind w:left="0" w:leftChars="0"/>
              <w:jc w:val="center"/>
              <w:rPr>
                <w:sz w:val="21"/>
              </w:rPr>
            </w:pPr>
            <w:r>
              <w:rPr>
                <w:sz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2857" w:type="dxa"/>
            <w:gridSpan w:val="3"/>
            <w:tcBorders>
              <w:tl2br w:val="nil"/>
              <w:tr2bl w:val="nil"/>
            </w:tcBorders>
            <w:noWrap/>
            <w:vAlign w:val="center"/>
          </w:tcPr>
          <w:p>
            <w:pPr>
              <w:pStyle w:val="22"/>
              <w:adjustRightInd w:val="0"/>
              <w:snapToGrid w:val="0"/>
              <w:spacing w:line="240" w:lineRule="auto"/>
              <w:ind w:left="0" w:leftChars="0"/>
              <w:jc w:val="left"/>
              <w:rPr>
                <w:sz w:val="21"/>
              </w:rPr>
            </w:pPr>
            <w:r>
              <w:rPr>
                <w:sz w:val="21"/>
              </w:rPr>
              <w:t>丰水期☑；平水期□；枯水期</w:t>
            </w:r>
            <w:r>
              <w:rPr>
                <w:sz w:val="21"/>
              </w:rPr>
              <w:sym w:font="Wingdings 2" w:char="00A3"/>
            </w:r>
            <w:r>
              <w:rPr>
                <w:sz w:val="21"/>
              </w:rPr>
              <w:t>；冰封期□春季☑；夏季</w:t>
            </w:r>
            <w:r>
              <w:rPr>
                <w:sz w:val="21"/>
              </w:rPr>
              <w:sym w:font="Wingdings 2" w:char="00A3"/>
            </w:r>
            <w:r>
              <w:rPr>
                <w:sz w:val="21"/>
              </w:rPr>
              <w:t>；秋季□；冬季□</w:t>
            </w:r>
          </w:p>
        </w:tc>
        <w:tc>
          <w:tcPr>
            <w:tcW w:w="5094" w:type="dxa"/>
            <w:gridSpan w:val="6"/>
            <w:tcBorders>
              <w:tl2br w:val="nil"/>
              <w:tr2bl w:val="nil"/>
            </w:tcBorders>
            <w:noWrap/>
            <w:vAlign w:val="center"/>
          </w:tcPr>
          <w:p>
            <w:pPr>
              <w:pStyle w:val="22"/>
              <w:adjustRightInd w:val="0"/>
              <w:snapToGrid w:val="0"/>
              <w:spacing w:line="240" w:lineRule="auto"/>
              <w:ind w:left="0" w:leftChars="0"/>
              <w:jc w:val="left"/>
              <w:rPr>
                <w:sz w:val="21"/>
              </w:rPr>
            </w:pPr>
            <w:r>
              <w:rPr>
                <w:sz w:val="21"/>
              </w:rPr>
              <w:t>水行政主管部门</w:t>
            </w:r>
            <w:r>
              <w:rPr>
                <w:sz w:val="21"/>
              </w:rPr>
              <w:sym w:font="Wingdings 2" w:char="00A3"/>
            </w:r>
            <w:r>
              <w:rPr>
                <w:sz w:val="21"/>
              </w:rPr>
              <w:t>；补充监测</w:t>
            </w:r>
            <w:r>
              <w:rPr>
                <w:sz w:val="21"/>
              </w:rPr>
              <w:sym w:font="Wingdings 2" w:char="0052"/>
            </w:r>
            <w:r>
              <w:rPr>
                <w:sz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补充监测</w:t>
            </w:r>
          </w:p>
        </w:tc>
        <w:tc>
          <w:tcPr>
            <w:tcW w:w="2857" w:type="dxa"/>
            <w:gridSpan w:val="3"/>
            <w:tcBorders>
              <w:tl2br w:val="nil"/>
              <w:tr2bl w:val="nil"/>
            </w:tcBorders>
            <w:noWrap/>
            <w:vAlign w:val="center"/>
          </w:tcPr>
          <w:p>
            <w:pPr>
              <w:pStyle w:val="22"/>
              <w:adjustRightInd w:val="0"/>
              <w:snapToGrid w:val="0"/>
              <w:spacing w:line="240" w:lineRule="auto"/>
              <w:ind w:left="0" w:leftChars="0"/>
              <w:jc w:val="center"/>
              <w:rPr>
                <w:sz w:val="21"/>
              </w:rPr>
            </w:pPr>
            <w:r>
              <w:rPr>
                <w:sz w:val="21"/>
              </w:rPr>
              <w:t>监测时期</w:t>
            </w:r>
          </w:p>
        </w:tc>
        <w:tc>
          <w:tcPr>
            <w:tcW w:w="3495"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监测因子</w:t>
            </w:r>
          </w:p>
        </w:tc>
        <w:tc>
          <w:tcPr>
            <w:tcW w:w="1599" w:type="dxa"/>
            <w:gridSpan w:val="2"/>
            <w:tcBorders>
              <w:tl2br w:val="nil"/>
              <w:tr2bl w:val="nil"/>
            </w:tcBorders>
            <w:noWrap/>
            <w:vAlign w:val="center"/>
          </w:tcPr>
          <w:p>
            <w:pPr>
              <w:pStyle w:val="22"/>
              <w:adjustRightInd w:val="0"/>
              <w:snapToGrid w:val="0"/>
              <w:spacing w:line="240" w:lineRule="auto"/>
              <w:ind w:left="0" w:leftChars="0"/>
              <w:jc w:val="center"/>
              <w:rPr>
                <w:sz w:val="21"/>
              </w:rPr>
            </w:pPr>
            <w:r>
              <w:rPr>
                <w:sz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2857" w:type="dxa"/>
            <w:gridSpan w:val="3"/>
            <w:tcBorders>
              <w:tl2br w:val="nil"/>
              <w:tr2bl w:val="nil"/>
            </w:tcBorders>
            <w:noWrap/>
            <w:vAlign w:val="center"/>
          </w:tcPr>
          <w:p>
            <w:pPr>
              <w:pStyle w:val="22"/>
              <w:adjustRightInd w:val="0"/>
              <w:snapToGrid w:val="0"/>
              <w:spacing w:line="240" w:lineRule="auto"/>
              <w:ind w:left="0" w:leftChars="0"/>
              <w:jc w:val="left"/>
              <w:rPr>
                <w:sz w:val="21"/>
              </w:rPr>
            </w:pPr>
            <w:r>
              <w:rPr>
                <w:sz w:val="21"/>
              </w:rPr>
              <w:t>丰水期☑；平水期□；枯水期</w:t>
            </w:r>
            <w:r>
              <w:rPr>
                <w:sz w:val="21"/>
              </w:rPr>
              <w:sym w:font="Wingdings 2" w:char="00A3"/>
            </w:r>
            <w:r>
              <w:rPr>
                <w:sz w:val="21"/>
              </w:rPr>
              <w:t>；冰封期□春季☑；夏季</w:t>
            </w:r>
            <w:r>
              <w:rPr>
                <w:sz w:val="21"/>
              </w:rPr>
              <w:sym w:font="Wingdings 2" w:char="00A3"/>
            </w:r>
            <w:r>
              <w:rPr>
                <w:sz w:val="21"/>
              </w:rPr>
              <w:t>；秋季□；冬季□</w:t>
            </w:r>
          </w:p>
        </w:tc>
        <w:tc>
          <w:tcPr>
            <w:tcW w:w="3495" w:type="dxa"/>
            <w:gridSpan w:val="4"/>
            <w:tcBorders>
              <w:tl2br w:val="nil"/>
              <w:tr2bl w:val="nil"/>
            </w:tcBorders>
            <w:noWrap/>
            <w:vAlign w:val="center"/>
          </w:tcPr>
          <w:p>
            <w:pPr>
              <w:pStyle w:val="22"/>
              <w:adjustRightInd w:val="0"/>
              <w:snapToGrid w:val="0"/>
              <w:spacing w:line="240" w:lineRule="auto"/>
              <w:ind w:left="0" w:leftChars="0"/>
              <w:jc w:val="left"/>
              <w:rPr>
                <w:sz w:val="21"/>
              </w:rPr>
            </w:pPr>
            <w:r>
              <w:rPr>
                <w:spacing w:val="0"/>
                <w:kern w:val="0"/>
                <w:sz w:val="21"/>
              </w:rPr>
              <w:t>pH值、溶解氧、高锰酸盐指数、氨氮、化学需氧量、五日生化需氧量、石油类、悬浮物、总氮、总磷、叶绿素a、水温。</w:t>
            </w:r>
          </w:p>
        </w:tc>
        <w:tc>
          <w:tcPr>
            <w:tcW w:w="1599" w:type="dxa"/>
            <w:gridSpan w:val="2"/>
            <w:tcBorders>
              <w:tl2br w:val="nil"/>
              <w:tr2bl w:val="nil"/>
            </w:tcBorders>
            <w:noWrap/>
            <w:vAlign w:val="center"/>
          </w:tcPr>
          <w:p>
            <w:pPr>
              <w:pStyle w:val="22"/>
              <w:adjustRightInd w:val="0"/>
              <w:snapToGrid w:val="0"/>
              <w:spacing w:line="240" w:lineRule="auto"/>
              <w:ind w:left="0" w:leftChars="0"/>
              <w:jc w:val="left"/>
              <w:rPr>
                <w:sz w:val="21"/>
              </w:rPr>
            </w:pPr>
            <w:r>
              <w:rPr>
                <w:sz w:val="21"/>
              </w:rPr>
              <w:t>监测断面或点位个数（3）个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现状评价</w:t>
            </w: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评价范围</w:t>
            </w:r>
          </w:p>
        </w:tc>
        <w:tc>
          <w:tcPr>
            <w:tcW w:w="7951" w:type="dxa"/>
            <w:gridSpan w:val="9"/>
            <w:tcBorders>
              <w:tl2br w:val="nil"/>
              <w:tr2bl w:val="nil"/>
            </w:tcBorders>
            <w:noWrap/>
            <w:vAlign w:val="center"/>
          </w:tcPr>
          <w:p>
            <w:pPr>
              <w:pStyle w:val="22"/>
              <w:adjustRightInd w:val="0"/>
              <w:snapToGrid w:val="0"/>
              <w:spacing w:line="240" w:lineRule="auto"/>
              <w:ind w:left="0" w:leftChars="0"/>
              <w:jc w:val="center"/>
              <w:rPr>
                <w:sz w:val="21"/>
              </w:rPr>
            </w:pPr>
            <w:r>
              <w:rPr>
                <w:sz w:val="21"/>
              </w:rPr>
              <w:t>河流：长度（）km；湖库、河口及近岸海域：面积（）km</w:t>
            </w:r>
            <w:r>
              <w:rPr>
                <w:sz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评价因子</w:t>
            </w:r>
          </w:p>
        </w:tc>
        <w:tc>
          <w:tcPr>
            <w:tcW w:w="7951" w:type="dxa"/>
            <w:gridSpan w:val="9"/>
            <w:tcBorders>
              <w:tl2br w:val="nil"/>
              <w:tr2bl w:val="nil"/>
            </w:tcBorders>
            <w:noWrap/>
            <w:vAlign w:val="center"/>
          </w:tcPr>
          <w:p>
            <w:pPr>
              <w:pStyle w:val="22"/>
              <w:adjustRightInd w:val="0"/>
              <w:snapToGrid w:val="0"/>
              <w:spacing w:line="240" w:lineRule="auto"/>
              <w:ind w:left="0" w:leftChars="0"/>
              <w:jc w:val="center"/>
              <w:rPr>
                <w:sz w:val="21"/>
              </w:rPr>
            </w:pPr>
            <w:r>
              <w:rPr>
                <w:sz w:val="21"/>
              </w:rPr>
              <w:t>水文情势、水温、水质（化学需氧量、总磷、总氮、氨氮）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评价标准</w:t>
            </w:r>
          </w:p>
        </w:tc>
        <w:tc>
          <w:tcPr>
            <w:tcW w:w="7951" w:type="dxa"/>
            <w:gridSpan w:val="9"/>
            <w:tcBorders>
              <w:tl2br w:val="nil"/>
              <w:tr2bl w:val="nil"/>
            </w:tcBorders>
            <w:noWrap/>
            <w:vAlign w:val="center"/>
          </w:tcPr>
          <w:p>
            <w:pPr>
              <w:pStyle w:val="22"/>
              <w:adjustRightInd w:val="0"/>
              <w:snapToGrid w:val="0"/>
              <w:spacing w:line="240" w:lineRule="auto"/>
              <w:ind w:left="0" w:leftChars="0"/>
              <w:jc w:val="center"/>
              <w:rPr>
                <w:sz w:val="21"/>
              </w:rPr>
            </w:pPr>
            <w:r>
              <w:rPr>
                <w:sz w:val="21"/>
              </w:rPr>
              <w:t>河流、湖库、河口：Ⅰ类□；Ⅱ类□；Ⅲ类</w:t>
            </w:r>
            <w:r>
              <w:rPr>
                <w:sz w:val="21"/>
              </w:rPr>
              <w:sym w:font="Wingdings 2" w:char="0052"/>
            </w:r>
            <w:r>
              <w:rPr>
                <w:sz w:val="21"/>
              </w:rPr>
              <w:t>；Ⅳ类□；Ⅴ类□近岸海域：第一类□；第二类□；第三类□；第四类□规划年评价标准（）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评价时期</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丰水期☑；平水期□；枯水期</w:t>
            </w:r>
            <w:r>
              <w:rPr>
                <w:sz w:val="21"/>
              </w:rPr>
              <w:sym w:font="Wingdings 2" w:char="00A3"/>
            </w:r>
            <w:r>
              <w:rPr>
                <w:sz w:val="21"/>
              </w:rPr>
              <w:t>；冰封期□春季☑；夏季□；秋季</w:t>
            </w:r>
            <w:r>
              <w:rPr>
                <w:sz w:val="21"/>
              </w:rPr>
              <w:sym w:font="Wingdings 2" w:char="00A3"/>
            </w:r>
            <w:r>
              <w:rPr>
                <w:sz w:val="21"/>
              </w:rPr>
              <w:t>；冬季□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评价结论</w:t>
            </w:r>
          </w:p>
        </w:tc>
        <w:tc>
          <w:tcPr>
            <w:tcW w:w="4987" w:type="dxa"/>
            <w:gridSpan w:val="5"/>
            <w:tcBorders>
              <w:tl2br w:val="nil"/>
              <w:tr2bl w:val="nil"/>
            </w:tcBorders>
            <w:noWrap/>
            <w:vAlign w:val="center"/>
          </w:tcPr>
          <w:p>
            <w:pPr>
              <w:pStyle w:val="22"/>
              <w:adjustRightInd w:val="0"/>
              <w:snapToGrid w:val="0"/>
              <w:spacing w:line="240" w:lineRule="auto"/>
              <w:ind w:left="0" w:leftChars="0"/>
              <w:jc w:val="left"/>
              <w:rPr>
                <w:sz w:val="21"/>
              </w:rPr>
            </w:pPr>
            <w:r>
              <w:rPr>
                <w:sz w:val="21"/>
              </w:rPr>
              <w:t>水环境功能区或水功能区、近岸海域环境功能区水质达标状况：达标</w:t>
            </w:r>
            <w:r>
              <w:rPr>
                <w:sz w:val="21"/>
              </w:rPr>
              <w:sym w:font="Wingdings 2" w:char="0052"/>
            </w:r>
            <w:r>
              <w:rPr>
                <w:sz w:val="21"/>
              </w:rPr>
              <w:t>；不达标□水环境控制单元或断面水质达标状况：达标</w:t>
            </w:r>
            <w:r>
              <w:rPr>
                <w:sz w:val="21"/>
              </w:rPr>
              <w:sym w:font="Wingdings 2" w:char="0052"/>
            </w:r>
            <w:r>
              <w:rPr>
                <w:sz w:val="21"/>
              </w:rPr>
              <w:t>；不达标□</w:t>
            </w:r>
          </w:p>
          <w:p>
            <w:pPr>
              <w:pStyle w:val="22"/>
              <w:adjustRightInd w:val="0"/>
              <w:snapToGrid w:val="0"/>
              <w:spacing w:line="240" w:lineRule="auto"/>
              <w:ind w:left="0" w:leftChars="0"/>
              <w:jc w:val="left"/>
              <w:rPr>
                <w:sz w:val="21"/>
              </w:rPr>
            </w:pPr>
            <w:r>
              <w:rPr>
                <w:sz w:val="21"/>
              </w:rPr>
              <w:t>水环境保护目标质量状况：达标</w:t>
            </w:r>
            <w:r>
              <w:rPr>
                <w:sz w:val="21"/>
              </w:rPr>
              <w:sym w:font="Wingdings 2" w:char="00A3"/>
            </w:r>
            <w:r>
              <w:rPr>
                <w:sz w:val="21"/>
              </w:rPr>
              <w:t>；不达标☑</w:t>
            </w:r>
          </w:p>
          <w:p>
            <w:pPr>
              <w:pStyle w:val="22"/>
              <w:adjustRightInd w:val="0"/>
              <w:snapToGrid w:val="0"/>
              <w:spacing w:line="240" w:lineRule="auto"/>
              <w:ind w:left="0" w:leftChars="0"/>
              <w:jc w:val="left"/>
              <w:rPr>
                <w:sz w:val="21"/>
              </w:rPr>
            </w:pPr>
            <w:r>
              <w:rPr>
                <w:sz w:val="21"/>
              </w:rPr>
              <w:t>对照断面、控制断面等代表性断面的水质状况：达标□；</w:t>
            </w:r>
          </w:p>
          <w:p>
            <w:pPr>
              <w:pStyle w:val="22"/>
              <w:adjustRightInd w:val="0"/>
              <w:snapToGrid w:val="0"/>
              <w:spacing w:line="240" w:lineRule="auto"/>
              <w:ind w:left="0" w:leftChars="0"/>
              <w:jc w:val="left"/>
              <w:rPr>
                <w:sz w:val="21"/>
              </w:rPr>
            </w:pPr>
            <w:r>
              <w:rPr>
                <w:sz w:val="21"/>
              </w:rPr>
              <w:t>不达标☑底泥污染评价□</w:t>
            </w:r>
          </w:p>
          <w:p>
            <w:pPr>
              <w:pStyle w:val="22"/>
              <w:adjustRightInd w:val="0"/>
              <w:snapToGrid w:val="0"/>
              <w:spacing w:line="240" w:lineRule="auto"/>
              <w:ind w:left="0" w:leftChars="0"/>
              <w:jc w:val="left"/>
              <w:rPr>
                <w:sz w:val="21"/>
              </w:rPr>
            </w:pPr>
            <w:r>
              <w:rPr>
                <w:sz w:val="21"/>
              </w:rPr>
              <w:t>水资源与开发利用程度及其水文情势评价□</w:t>
            </w:r>
          </w:p>
          <w:p>
            <w:pPr>
              <w:pStyle w:val="22"/>
              <w:adjustRightInd w:val="0"/>
              <w:snapToGrid w:val="0"/>
              <w:spacing w:line="240" w:lineRule="auto"/>
              <w:ind w:left="0" w:leftChars="0"/>
              <w:jc w:val="left"/>
              <w:rPr>
                <w:sz w:val="21"/>
              </w:rPr>
            </w:pPr>
            <w:r>
              <w:rPr>
                <w:sz w:val="21"/>
              </w:rPr>
              <w:t>水环境质量回顾评价□流域（区域）水资源（包括水能资源）与开发利用总体状况、生态流量管理要求与现状满足程度、建设项目占用水域空间的水流状况与河湖演变状况□</w:t>
            </w:r>
          </w:p>
          <w:p>
            <w:pPr>
              <w:pStyle w:val="22"/>
              <w:adjustRightInd w:val="0"/>
              <w:snapToGrid w:val="0"/>
              <w:spacing w:line="240" w:lineRule="auto"/>
              <w:ind w:left="0" w:leftChars="0"/>
              <w:jc w:val="left"/>
              <w:rPr>
                <w:sz w:val="21"/>
              </w:rPr>
            </w:pPr>
            <w:r>
              <w:rPr>
                <w:sz w:val="21"/>
              </w:rPr>
              <w:t>依托污水处理设施稳定达标排放评价□</w:t>
            </w:r>
          </w:p>
        </w:tc>
        <w:tc>
          <w:tcPr>
            <w:tcW w:w="2964" w:type="dxa"/>
            <w:gridSpan w:val="4"/>
            <w:tcBorders>
              <w:tl2br w:val="nil"/>
              <w:tr2bl w:val="nil"/>
            </w:tcBorders>
            <w:noWrap/>
            <w:vAlign w:val="center"/>
          </w:tcPr>
          <w:p>
            <w:pPr>
              <w:pStyle w:val="22"/>
              <w:adjustRightInd w:val="0"/>
              <w:snapToGrid w:val="0"/>
              <w:spacing w:line="240" w:lineRule="auto"/>
              <w:ind w:left="0" w:leftChars="0"/>
              <w:jc w:val="left"/>
              <w:rPr>
                <w:sz w:val="21"/>
              </w:rPr>
            </w:pPr>
            <w:r>
              <w:rPr>
                <w:sz w:val="21"/>
              </w:rPr>
              <w:t>达标区</w:t>
            </w:r>
            <w:r>
              <w:rPr>
                <w:sz w:val="21"/>
              </w:rPr>
              <w:sym w:font="Wingdings 2" w:char="00A3"/>
            </w:r>
          </w:p>
          <w:p>
            <w:pPr>
              <w:pStyle w:val="22"/>
              <w:adjustRightInd w:val="0"/>
              <w:snapToGrid w:val="0"/>
              <w:spacing w:line="240" w:lineRule="auto"/>
              <w:ind w:left="0" w:leftChars="0"/>
              <w:jc w:val="left"/>
              <w:rPr>
                <w:sz w:val="21"/>
              </w:rPr>
            </w:pPr>
            <w:r>
              <w:rPr>
                <w:sz w:val="21"/>
              </w:rPr>
              <w:t>不达标区☑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影响预测</w:t>
            </w: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预测范围</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河流：长度（）km；湖库、河口及近岸海域：面积（）km</w:t>
            </w:r>
            <w:r>
              <w:rPr>
                <w:sz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预测因子</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预测时期</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丰水期☑；平水期□；枯水期</w:t>
            </w:r>
            <w:r>
              <w:rPr>
                <w:sz w:val="21"/>
              </w:rPr>
              <w:sym w:font="Wingdings 2" w:char="00A3"/>
            </w:r>
            <w:r>
              <w:rPr>
                <w:sz w:val="21"/>
              </w:rPr>
              <w:t>；冰封期□春季</w:t>
            </w:r>
            <w:r>
              <w:rPr>
                <w:sz w:val="21"/>
              </w:rPr>
              <w:sym w:font="Wingdings 2" w:char="0052"/>
            </w:r>
            <w:r>
              <w:rPr>
                <w:sz w:val="21"/>
              </w:rPr>
              <w:t>；夏季□；秋季□；冬季□设计水文条件□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预测情景</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建设期□；生产运行期</w:t>
            </w:r>
            <w:r>
              <w:rPr>
                <w:sz w:val="21"/>
              </w:rPr>
              <w:sym w:font="Wingdings 2" w:char="0052"/>
            </w:r>
            <w:r>
              <w:rPr>
                <w:sz w:val="21"/>
              </w:rPr>
              <w:t>；服务期满后□正常工况□；非正常工况□污染控制和减缓措施方案□区（流）域环境质量改善目标要求情景□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预测方法</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数值解□：解析解□；其他</w:t>
            </w:r>
            <w:r>
              <w:rPr>
                <w:sz w:val="21"/>
              </w:rPr>
              <w:sym w:font="Wingdings 2" w:char="0052"/>
            </w:r>
            <w:r>
              <w:rPr>
                <w:sz w:val="21"/>
              </w:rPr>
              <w:t>导则推荐模式□：其他</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影响评价</w:t>
            </w: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水污染控制和水环境影响减缓措施有效性评价</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区（流）域水环境质量改善目标□；替代削减源□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水环境影响评价</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排放口混合区外满足水环境管理要求□</w:t>
            </w:r>
          </w:p>
          <w:p>
            <w:pPr>
              <w:pStyle w:val="22"/>
              <w:adjustRightInd w:val="0"/>
              <w:snapToGrid w:val="0"/>
              <w:spacing w:line="240" w:lineRule="auto"/>
              <w:ind w:left="0" w:leftChars="0"/>
              <w:jc w:val="left"/>
              <w:rPr>
                <w:sz w:val="21"/>
              </w:rPr>
            </w:pPr>
            <w:r>
              <w:rPr>
                <w:sz w:val="21"/>
              </w:rPr>
              <w:t>水环境功能区或水功能区、近岸海域环境功能区水质达标□</w:t>
            </w:r>
          </w:p>
          <w:p>
            <w:pPr>
              <w:pStyle w:val="22"/>
              <w:adjustRightInd w:val="0"/>
              <w:snapToGrid w:val="0"/>
              <w:spacing w:line="240" w:lineRule="auto"/>
              <w:ind w:left="0" w:leftChars="0"/>
              <w:jc w:val="left"/>
              <w:rPr>
                <w:sz w:val="21"/>
              </w:rPr>
            </w:pPr>
            <w:r>
              <w:rPr>
                <w:sz w:val="21"/>
              </w:rPr>
              <w:t>满足水环境保护目标水域水环境质量要求□</w:t>
            </w:r>
          </w:p>
          <w:p>
            <w:pPr>
              <w:pStyle w:val="22"/>
              <w:adjustRightInd w:val="0"/>
              <w:snapToGrid w:val="0"/>
              <w:spacing w:line="240" w:lineRule="auto"/>
              <w:ind w:left="0" w:leftChars="0"/>
              <w:jc w:val="left"/>
              <w:rPr>
                <w:sz w:val="21"/>
              </w:rPr>
            </w:pPr>
            <w:r>
              <w:rPr>
                <w:sz w:val="21"/>
              </w:rPr>
              <w:t>水环境控制单元或断面水质达标</w:t>
            </w:r>
            <w:r>
              <w:rPr>
                <w:sz w:val="21"/>
              </w:rPr>
              <w:sym w:font="Wingdings 2" w:char="00A3"/>
            </w:r>
          </w:p>
          <w:p>
            <w:pPr>
              <w:pStyle w:val="22"/>
              <w:adjustRightInd w:val="0"/>
              <w:snapToGrid w:val="0"/>
              <w:spacing w:line="240" w:lineRule="auto"/>
              <w:ind w:left="0" w:leftChars="0"/>
              <w:jc w:val="left"/>
              <w:rPr>
                <w:sz w:val="21"/>
              </w:rPr>
            </w:pPr>
            <w:r>
              <w:rPr>
                <w:sz w:val="21"/>
              </w:rPr>
              <w:t>满足重点水污染物排放总量控制指标要求，重点行业建设项目，主要污染物排放满足等量或减量替代要求□</w:t>
            </w:r>
          </w:p>
          <w:p>
            <w:pPr>
              <w:pStyle w:val="22"/>
              <w:adjustRightInd w:val="0"/>
              <w:snapToGrid w:val="0"/>
              <w:spacing w:line="240" w:lineRule="auto"/>
              <w:ind w:left="0" w:leftChars="0"/>
              <w:jc w:val="left"/>
              <w:rPr>
                <w:sz w:val="21"/>
              </w:rPr>
            </w:pPr>
            <w:r>
              <w:rPr>
                <w:sz w:val="21"/>
              </w:rPr>
              <w:t>满足区（流）域水环境质量改善目标要求□</w:t>
            </w:r>
          </w:p>
          <w:p>
            <w:pPr>
              <w:pStyle w:val="22"/>
              <w:adjustRightInd w:val="0"/>
              <w:snapToGrid w:val="0"/>
              <w:spacing w:line="240" w:lineRule="auto"/>
              <w:ind w:left="0" w:leftChars="0"/>
              <w:jc w:val="left"/>
              <w:rPr>
                <w:sz w:val="21"/>
              </w:rPr>
            </w:pPr>
            <w:r>
              <w:rPr>
                <w:sz w:val="21"/>
              </w:rPr>
              <w:t>水文要素影响型建设项目同时应包括水文情势变化评价、主要水文特征值影响评价、生态流量符合性评价</w:t>
            </w:r>
            <w:r>
              <w:rPr>
                <w:sz w:val="21"/>
              </w:rPr>
              <w:sym w:font="Wingdings 2" w:char="0052"/>
            </w:r>
          </w:p>
          <w:p>
            <w:pPr>
              <w:pStyle w:val="22"/>
              <w:adjustRightInd w:val="0"/>
              <w:snapToGrid w:val="0"/>
              <w:spacing w:line="240" w:lineRule="auto"/>
              <w:ind w:left="0" w:leftChars="0"/>
              <w:jc w:val="left"/>
              <w:rPr>
                <w:sz w:val="21"/>
              </w:rPr>
            </w:pPr>
            <w:r>
              <w:rPr>
                <w:sz w:val="21"/>
              </w:rPr>
              <w:t>对于新设或调整入河（湖库、近岸海域）排放口的建设项目，应包括排放口设置的环境合理性评价□</w:t>
            </w:r>
          </w:p>
          <w:p>
            <w:pPr>
              <w:pStyle w:val="22"/>
              <w:adjustRightInd w:val="0"/>
              <w:snapToGrid w:val="0"/>
              <w:spacing w:line="240" w:lineRule="auto"/>
              <w:ind w:left="0" w:leftChars="0"/>
              <w:jc w:val="left"/>
              <w:rPr>
                <w:sz w:val="21"/>
              </w:rPr>
            </w:pPr>
            <w:r>
              <w:rPr>
                <w:sz w:val="21"/>
              </w:rPr>
              <w:t>满足生态保护红线、水环境质量底线、资源利用上线和环境准入清单管理要求</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污染源排放量核算</w:t>
            </w: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污染物名称</w:t>
            </w:r>
          </w:p>
        </w:tc>
        <w:tc>
          <w:tcPr>
            <w:tcW w:w="3352"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排放量/（t/a）</w:t>
            </w:r>
          </w:p>
        </w:tc>
        <w:tc>
          <w:tcPr>
            <w:tcW w:w="2964"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3352"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2964"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替代源排放情况</w:t>
            </w: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污染源名称</w:t>
            </w:r>
          </w:p>
        </w:tc>
        <w:tc>
          <w:tcPr>
            <w:tcW w:w="1222" w:type="dxa"/>
            <w:gridSpan w:val="2"/>
            <w:tcBorders>
              <w:tl2br w:val="nil"/>
              <w:tr2bl w:val="nil"/>
            </w:tcBorders>
            <w:noWrap/>
            <w:vAlign w:val="center"/>
          </w:tcPr>
          <w:p>
            <w:pPr>
              <w:pStyle w:val="22"/>
              <w:adjustRightInd w:val="0"/>
              <w:snapToGrid w:val="0"/>
              <w:spacing w:line="240" w:lineRule="auto"/>
              <w:ind w:left="0" w:leftChars="0"/>
              <w:jc w:val="center"/>
              <w:rPr>
                <w:sz w:val="21"/>
              </w:rPr>
            </w:pPr>
            <w:r>
              <w:rPr>
                <w:sz w:val="21"/>
              </w:rPr>
              <w:t>排污许可证编号</w:t>
            </w:r>
          </w:p>
        </w:tc>
        <w:tc>
          <w:tcPr>
            <w:tcW w:w="2130" w:type="dxa"/>
            <w:gridSpan w:val="2"/>
            <w:tcBorders>
              <w:tl2br w:val="nil"/>
              <w:tr2bl w:val="nil"/>
            </w:tcBorders>
            <w:noWrap/>
            <w:vAlign w:val="center"/>
          </w:tcPr>
          <w:p>
            <w:pPr>
              <w:pStyle w:val="22"/>
              <w:adjustRightInd w:val="0"/>
              <w:snapToGrid w:val="0"/>
              <w:spacing w:line="240" w:lineRule="auto"/>
              <w:ind w:left="0" w:leftChars="0"/>
              <w:jc w:val="center"/>
              <w:rPr>
                <w:sz w:val="21"/>
              </w:rPr>
            </w:pPr>
            <w:r>
              <w:rPr>
                <w:sz w:val="21"/>
              </w:rPr>
              <w:t>污染物名称</w:t>
            </w:r>
          </w:p>
        </w:tc>
        <w:tc>
          <w:tcPr>
            <w:tcW w:w="1804" w:type="dxa"/>
            <w:gridSpan w:val="3"/>
            <w:tcBorders>
              <w:tl2br w:val="nil"/>
              <w:tr2bl w:val="nil"/>
            </w:tcBorders>
            <w:noWrap/>
            <w:vAlign w:val="center"/>
          </w:tcPr>
          <w:p>
            <w:pPr>
              <w:pStyle w:val="22"/>
              <w:adjustRightInd w:val="0"/>
              <w:snapToGrid w:val="0"/>
              <w:spacing w:line="240" w:lineRule="auto"/>
              <w:ind w:left="0" w:leftChars="0"/>
              <w:jc w:val="center"/>
              <w:rPr>
                <w:sz w:val="21"/>
              </w:rPr>
            </w:pPr>
            <w:r>
              <w:rPr>
                <w:sz w:val="21"/>
              </w:rPr>
              <w:t>排放量/（t/a）</w:t>
            </w:r>
          </w:p>
        </w:tc>
        <w:tc>
          <w:tcPr>
            <w:tcW w:w="1160"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1222" w:type="dxa"/>
            <w:gridSpan w:val="2"/>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2130" w:type="dxa"/>
            <w:gridSpan w:val="2"/>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1804" w:type="dxa"/>
            <w:gridSpan w:val="3"/>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c>
          <w:tcPr>
            <w:tcW w:w="1160"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生态流量确定</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生态流量：一般水期（）m</w:t>
            </w:r>
            <w:r>
              <w:rPr>
                <w:sz w:val="21"/>
                <w:vertAlign w:val="superscript"/>
              </w:rPr>
              <w:t>3</w:t>
            </w:r>
            <w:r>
              <w:rPr>
                <w:sz w:val="21"/>
              </w:rPr>
              <w:t>/s；鱼类繁殖期（）m</w:t>
            </w:r>
            <w:r>
              <w:rPr>
                <w:sz w:val="21"/>
                <w:vertAlign w:val="superscript"/>
              </w:rPr>
              <w:t>3</w:t>
            </w:r>
            <w:r>
              <w:rPr>
                <w:sz w:val="21"/>
              </w:rPr>
              <w:t>/s；其他（）m</w:t>
            </w:r>
            <w:r>
              <w:rPr>
                <w:sz w:val="21"/>
                <w:vertAlign w:val="superscript"/>
              </w:rPr>
              <w:t>3</w:t>
            </w:r>
            <w:r>
              <w:rPr>
                <w:sz w:val="21"/>
              </w:rPr>
              <w:t>/s生态水位：一般水期（）m；鱼类繁殖期（）m；其他（）m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防治措施</w:t>
            </w: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环保措施</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t>污水处理设施□；水文减缓设施□；生态流量保障设施□；区域削减□；依托其他工程措施□；其他</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restart"/>
            <w:tcBorders>
              <w:tl2br w:val="nil"/>
              <w:tr2bl w:val="nil"/>
            </w:tcBorders>
            <w:noWrap/>
            <w:vAlign w:val="center"/>
          </w:tcPr>
          <w:p>
            <w:pPr>
              <w:pStyle w:val="22"/>
              <w:adjustRightInd w:val="0"/>
              <w:snapToGrid w:val="0"/>
              <w:spacing w:line="240" w:lineRule="auto"/>
              <w:ind w:left="0" w:leftChars="0"/>
              <w:jc w:val="center"/>
              <w:rPr>
                <w:sz w:val="21"/>
              </w:rPr>
            </w:pPr>
            <w:r>
              <w:rPr>
                <w:sz w:val="21"/>
              </w:rPr>
              <w:t>监测计划</w:t>
            </w: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p>
        </w:tc>
        <w:tc>
          <w:tcPr>
            <w:tcW w:w="3352" w:type="dxa"/>
            <w:gridSpan w:val="4"/>
            <w:tcBorders>
              <w:tl2br w:val="nil"/>
              <w:tr2bl w:val="nil"/>
            </w:tcBorders>
            <w:noWrap/>
            <w:vAlign w:val="center"/>
          </w:tcPr>
          <w:p>
            <w:pPr>
              <w:adjustRightInd w:val="0"/>
              <w:snapToGrid w:val="0"/>
              <w:jc w:val="center"/>
            </w:pPr>
            <w:r>
              <w:t>环境质量</w:t>
            </w:r>
          </w:p>
        </w:tc>
        <w:tc>
          <w:tcPr>
            <w:tcW w:w="2964" w:type="dxa"/>
            <w:gridSpan w:val="4"/>
            <w:tcBorders>
              <w:tl2br w:val="nil"/>
              <w:tr2bl w:val="nil"/>
            </w:tcBorders>
            <w:noWrap/>
            <w:vAlign w:val="center"/>
          </w:tcPr>
          <w:p>
            <w:pPr>
              <w:adjustRightInd w:val="0"/>
              <w:snapToGrid w:val="0"/>
              <w:jc w:val="center"/>
            </w:pPr>
            <w: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监测方式</w:t>
            </w:r>
          </w:p>
        </w:tc>
        <w:tc>
          <w:tcPr>
            <w:tcW w:w="3352"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手动</w:t>
            </w:r>
            <w:r>
              <w:rPr>
                <w:sz w:val="21"/>
              </w:rPr>
              <w:sym w:font="Wingdings 2" w:char="0052"/>
            </w:r>
            <w:r>
              <w:rPr>
                <w:sz w:val="21"/>
              </w:rPr>
              <w:t>；自动□；无监测□</w:t>
            </w:r>
          </w:p>
        </w:tc>
        <w:tc>
          <w:tcPr>
            <w:tcW w:w="2964"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手动□；自动□；无监测</w:t>
            </w:r>
            <w:r>
              <w:rPr>
                <w:sz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监测点位</w:t>
            </w:r>
          </w:p>
        </w:tc>
        <w:tc>
          <w:tcPr>
            <w:tcW w:w="3352"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（库区进水口、库中、库区泄水口）</w:t>
            </w:r>
          </w:p>
        </w:tc>
        <w:tc>
          <w:tcPr>
            <w:tcW w:w="2964"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163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监测因子</w:t>
            </w:r>
          </w:p>
        </w:tc>
        <w:tc>
          <w:tcPr>
            <w:tcW w:w="3352"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水温、pH、溶解氧、高锰酸盐指数、化学需氧量、五日生化需氧量、氨氮、总磷、总氮、挥发酚、石油类、阴离子表面活性剂、硫化物、粪大肠菌群等24项基本项目及硫酸盐、氯化物、硝酸盐、铁、锰5项水源地补充项目；取水口自动监测：水温、pH、溶解氧、电导率、浊度、高锰酸盐指数、氨氮、总磷、总氮、叶绿素、铁、锰、硫化物及硫酸盐等共14个指标</w:t>
            </w:r>
          </w:p>
        </w:tc>
        <w:tc>
          <w:tcPr>
            <w:tcW w:w="2964" w:type="dxa"/>
            <w:gridSpan w:val="4"/>
            <w:tcBorders>
              <w:tl2br w:val="nil"/>
              <w:tr2bl w:val="nil"/>
            </w:tcBorders>
            <w:noWrap/>
            <w:vAlign w:val="center"/>
          </w:tcPr>
          <w:p>
            <w:pPr>
              <w:pStyle w:val="22"/>
              <w:adjustRightInd w:val="0"/>
              <w:snapToGrid w:val="0"/>
              <w:spacing w:line="240" w:lineRule="auto"/>
              <w:ind w:left="0" w:leftChars="0"/>
              <w:jc w:val="center"/>
              <w:rPr>
                <w:sz w:val="21"/>
              </w:rPr>
            </w:pPr>
            <w:r>
              <w:rPr>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dxa"/>
            <w:vMerge w:val="continue"/>
            <w:tcBorders>
              <w:tl2br w:val="nil"/>
              <w:tr2bl w:val="nil"/>
            </w:tcBorders>
            <w:noWrap/>
            <w:vAlign w:val="center"/>
          </w:tcPr>
          <w:p>
            <w:pPr>
              <w:pStyle w:val="22"/>
              <w:adjustRightInd w:val="0"/>
              <w:snapToGrid w:val="0"/>
              <w:spacing w:line="240" w:lineRule="auto"/>
              <w:ind w:left="0" w:leftChars="0"/>
              <w:jc w:val="center"/>
              <w:rPr>
                <w:sz w:val="21"/>
              </w:rPr>
            </w:pPr>
          </w:p>
        </w:tc>
        <w:tc>
          <w:tcPr>
            <w:tcW w:w="945" w:type="dxa"/>
            <w:tcBorders>
              <w:tl2br w:val="nil"/>
              <w:tr2bl w:val="nil"/>
            </w:tcBorders>
            <w:noWrap/>
            <w:vAlign w:val="center"/>
          </w:tcPr>
          <w:p>
            <w:pPr>
              <w:pStyle w:val="22"/>
              <w:adjustRightInd w:val="0"/>
              <w:snapToGrid w:val="0"/>
              <w:spacing w:line="240" w:lineRule="auto"/>
              <w:ind w:left="0" w:leftChars="0"/>
              <w:jc w:val="center"/>
              <w:rPr>
                <w:sz w:val="21"/>
              </w:rPr>
            </w:pPr>
            <w:r>
              <w:rPr>
                <w:sz w:val="21"/>
              </w:rPr>
              <w:t>污染物排放清单</w:t>
            </w:r>
          </w:p>
        </w:tc>
        <w:tc>
          <w:tcPr>
            <w:tcW w:w="7951" w:type="dxa"/>
            <w:gridSpan w:val="9"/>
            <w:tcBorders>
              <w:tl2br w:val="nil"/>
              <w:tr2bl w:val="nil"/>
            </w:tcBorders>
            <w:noWrap/>
            <w:vAlign w:val="center"/>
          </w:tcPr>
          <w:p>
            <w:pPr>
              <w:pStyle w:val="22"/>
              <w:adjustRightInd w:val="0"/>
              <w:snapToGrid w:val="0"/>
              <w:spacing w:line="240" w:lineRule="auto"/>
              <w:ind w:left="0" w:leftChars="0"/>
              <w:jc w:val="left"/>
              <w:rPr>
                <w:sz w:val="21"/>
              </w:rPr>
            </w:pPr>
            <w:r>
              <w:rPr>
                <w:sz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gridSpan w:val="2"/>
            <w:tcBorders>
              <w:tl2br w:val="nil"/>
              <w:tr2bl w:val="nil"/>
            </w:tcBorders>
            <w:noWrap/>
            <w:vAlign w:val="center"/>
          </w:tcPr>
          <w:p>
            <w:pPr>
              <w:pStyle w:val="22"/>
              <w:adjustRightInd w:val="0"/>
              <w:snapToGrid w:val="0"/>
              <w:spacing w:line="240" w:lineRule="auto"/>
              <w:ind w:left="0" w:leftChars="0"/>
              <w:jc w:val="center"/>
              <w:rPr>
                <w:sz w:val="21"/>
              </w:rPr>
            </w:pPr>
            <w:r>
              <w:rPr>
                <w:sz w:val="21"/>
              </w:rPr>
              <w:t>评价结论</w:t>
            </w:r>
          </w:p>
        </w:tc>
        <w:tc>
          <w:tcPr>
            <w:tcW w:w="7951" w:type="dxa"/>
            <w:gridSpan w:val="9"/>
            <w:tcBorders>
              <w:tl2br w:val="nil"/>
              <w:tr2bl w:val="nil"/>
            </w:tcBorders>
            <w:noWrap/>
            <w:vAlign w:val="center"/>
          </w:tcPr>
          <w:p>
            <w:pPr>
              <w:pStyle w:val="22"/>
              <w:adjustRightInd w:val="0"/>
              <w:snapToGrid w:val="0"/>
              <w:spacing w:line="240" w:lineRule="auto"/>
              <w:ind w:left="0" w:leftChars="0"/>
              <w:jc w:val="center"/>
              <w:rPr>
                <w:sz w:val="21"/>
              </w:rPr>
            </w:pPr>
            <w:r>
              <w:rPr>
                <w:sz w:val="21"/>
              </w:rPr>
              <w:t>可以接受</w:t>
            </w:r>
            <w:r>
              <w:rPr>
                <w:sz w:val="21"/>
              </w:rPr>
              <w:sym w:font="Wingdings 2" w:char="0052"/>
            </w:r>
            <w:r>
              <w:rPr>
                <w:sz w:val="21"/>
              </w:rPr>
              <w:t>；不可以接受□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87" w:type="dxa"/>
            <w:gridSpan w:val="11"/>
            <w:tcBorders>
              <w:tl2br w:val="nil"/>
              <w:tr2bl w:val="nil"/>
            </w:tcBorders>
            <w:noWrap/>
            <w:vAlign w:val="center"/>
          </w:tcPr>
          <w:p>
            <w:pPr>
              <w:pStyle w:val="22"/>
              <w:adjustRightInd w:val="0"/>
              <w:snapToGrid w:val="0"/>
              <w:spacing w:line="240" w:lineRule="auto"/>
              <w:ind w:left="0" w:leftChars="0"/>
              <w:jc w:val="center"/>
              <w:rPr>
                <w:sz w:val="21"/>
              </w:rPr>
            </w:pPr>
            <w:r>
              <w:rPr>
                <w:sz w:val="21"/>
              </w:rPr>
              <w:t>注：“□”为勾选项，可√；“（）”为内容填写项；“备注”为其他补充内容。</w:t>
            </w:r>
          </w:p>
        </w:tc>
      </w:tr>
    </w:tbl>
    <w:p/>
    <w:p>
      <w:pPr>
        <w:pStyle w:val="27"/>
        <w:ind w:firstLine="226"/>
      </w:pPr>
    </w:p>
    <w:sectPr>
      <w:headerReference r:id="rId12" w:type="default"/>
      <w:footerReference r:id="rId13" w:type="default"/>
      <w:pgSz w:w="11905" w:h="16838"/>
      <w:pgMar w:top="1417" w:right="1417" w:bottom="1417" w:left="1417" w:header="850" w:footer="964" w:gutter="0"/>
      <w:cols w:space="720" w:num="1"/>
      <w:docGrid w:type="linesAndChars" w:linePitch="466" w:charSpace="32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大标宋简体">
    <w:panose1 w:val="03000509000000000000"/>
    <w:charset w:val="86"/>
    <w:family w:val="auto"/>
    <w:pitch w:val="default"/>
    <w:sig w:usb0="00000001" w:usb1="080E0000" w:usb2="00000000"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SimSun-ExtB">
    <w:panose1 w:val="02010609060101010101"/>
    <w:charset w:val="86"/>
    <w:family w:val="modern"/>
    <w:pitch w:val="default"/>
    <w:sig w:usb0="00000001" w:usb1="02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360"/>
      <w:jc w:val="center"/>
      <w:rPr>
        <w:kern w:val="0"/>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1312" behindDoc="0" locked="0" layoutInCell="1" allowOverlap="1">
              <wp:simplePos x="0" y="0"/>
              <wp:positionH relativeFrom="margin">
                <wp:posOffset>2851150</wp:posOffset>
              </wp:positionH>
              <wp:positionV relativeFrom="paragraph">
                <wp:posOffset>-30480</wp:posOffset>
              </wp:positionV>
              <wp:extent cx="346710" cy="170180"/>
              <wp:effectExtent l="0" t="0" r="0" b="0"/>
              <wp:wrapNone/>
              <wp:docPr id="36" name="文本框 11"/>
              <wp:cNvGraphicFramePr/>
              <a:graphic xmlns:a="http://schemas.openxmlformats.org/drawingml/2006/main">
                <a:graphicData uri="http://schemas.microsoft.com/office/word/2010/wordprocessingShape">
                  <wps:wsp>
                    <wps:cNvSpPr txBox="1"/>
                    <wps:spPr>
                      <a:xfrm>
                        <a:off x="0" y="0"/>
                        <a:ext cx="346710" cy="170180"/>
                      </a:xfrm>
                      <a:prstGeom prst="rect">
                        <a:avLst/>
                      </a:prstGeom>
                      <a:noFill/>
                      <a:ln>
                        <a:noFill/>
                      </a:ln>
                      <a:effectLst/>
                    </wps:spPr>
                    <wps:txbx>
                      <w:txbxContent>
                        <w:p>
                          <w:pPr>
                            <w:pStyle w:val="15"/>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wps:txbx>
                    <wps:bodyPr wrap="square" lIns="0" tIns="0" rIns="0" bIns="0" upright="0"/>
                  </wps:wsp>
                </a:graphicData>
              </a:graphic>
            </wp:anchor>
          </w:drawing>
        </mc:Choice>
        <mc:Fallback>
          <w:pict>
            <v:shape id="文本框 11" o:spid="_x0000_s1026" o:spt="202" type="#_x0000_t202" style="position:absolute;left:0pt;margin-left:224.5pt;margin-top:-2.4pt;height:13.4pt;width:27.3pt;mso-position-horizontal-relative:margin;z-index:251661312;mso-width-relative:page;mso-height-relative:page;" filled="f" stroked="f" coordsize="21600,21600" o:gfxdata="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CCzItkAAAAJAQAADwAAAAAAAAABACAAAAAiAAAAZHJz&#10;L2Rvd25yZXYueG1sUEsBAhQAFAAAAAgAh07iQMoz/8XKAQAAjwMAAA4AAAAAAAAAAQAgAAAAKAEA&#10;AGRycy9lMm9Eb2MueG1sUEsFBgAAAAAGAAYAWQEAAGQFAAAAAA==&#10;">
              <v:fill on="f" focussize="0,0"/>
              <v:stroke on="f"/>
              <v:imagedata o:title=""/>
              <o:lock v:ext="edit" aspectratio="f"/>
              <v:textbox inset="0mm,0mm,0mm,0mm">
                <w:txbxContent>
                  <w:p>
                    <w:pPr>
                      <w:pStyle w:val="15"/>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13</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LqSmf3jAQAAzQMAAA4A&#10;AAAAAAAAAQAgAAAAHgEAAGRycy9lMm9Eb2MueG1sUEsFBgAAAAAGAAYAWQEAAHM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31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xMeTuMBAADNAwAADgAAAGRycy9lMm9Eb2MueG1srVNBrtMwEN0jcQfL&#10;e5q0SK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m5s9p7k5Ymvjl+7fLj1+Xn1/Z&#10;MunTe6wo7c5TYhxewUBbM/uRnIn20Aab/kSIUZzUPV/VVUNkMl1ar9brkkKSYvOB8Iv76z5gfKPA&#10;smTUPND4sqri9A7jmDqnpGoObrUxeYTG/eUgzNGj8g5MtxOTseNkxWE/TPT20JyJHb0KqtpB+MJZ&#10;TztRc0dPgDPz1pHkaX1mI8zGfjaEk3Sx5pGz0XwdxzU7+qAPXV681CL6l8dIfWc6qY2xNsmQDjTl&#10;LMi0kWmN/jznrPtXuP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M8THk7jAQAAzQMAAA4A&#10;AAAAAAAAAQAgAAAAHgEAAGRycy9lMm9Eb2MueG1sUEsFBgAAAAAGAAYAWQEAAHM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rPr>
                              <w:rFonts w:ascii="宋体" w:hAnsi="宋体" w:cs="宋体"/>
                              <w:szCs w:val="21"/>
                            </w:rPr>
                          </w:pP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BdIqj7jAQAAzQMAAA4A&#10;AAAAAAAAAQAgAAAAHgEAAGRycy9lMm9Eb2MueG1sUEsFBgAAAAAGAAYAWQEAAHMFAAAAAA==&#10;">
              <v:fill on="f" focussize="0,0"/>
              <v:stroke on="f"/>
              <v:imagedata o:title=""/>
              <o:lock v:ext="edit" aspectratio="f"/>
              <v:textbox inset="0mm,0mm,0mm,0mm" style="mso-fit-shape-to-text:t;">
                <w:txbxContent>
                  <w:p>
                    <w:pPr>
                      <w:rPr>
                        <w:rFonts w:ascii="宋体" w:hAnsi="宋体" w:cs="宋体"/>
                        <w:szCs w:val="21"/>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rPr>
                              <w:rFonts w:ascii="宋体" w:hAnsi="宋体" w:cs="宋体"/>
                              <w:szCs w:val="21"/>
                            </w:rPr>
                          </w:pP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DjoqZfjAQAAzQMAAA4A&#10;AAAAAAAAAQAgAAAAHgEAAGRycy9lMm9Eb2MueG1sUEsFBgAAAAAGAAYAWQEAAHMFAAAAAA==&#10;">
              <v:fill on="f" focussize="0,0"/>
              <v:stroke on="f"/>
              <v:imagedata o:title=""/>
              <o:lock v:ext="edit" aspectratio="f"/>
              <v:textbox inset="0mm,0mm,0mm,0mm" style="mso-fit-shape-to-text:t;">
                <w:txbxContent>
                  <w:p>
                    <w:pPr>
                      <w:rPr>
                        <w:rFonts w:ascii="宋体" w:hAnsi="宋体" w:cs="宋体"/>
                        <w:szCs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8DB3A"/>
    <w:multiLevelType w:val="singleLevel"/>
    <w:tmpl w:val="9178DB3A"/>
    <w:lvl w:ilvl="0" w:tentative="0">
      <w:start w:val="1"/>
      <w:numFmt w:val="decimal"/>
      <w:suff w:val="nothing"/>
      <w:lvlText w:val="（%1）"/>
      <w:lvlJc w:val="left"/>
      <w:pPr>
        <w:ind w:left="-100"/>
      </w:pPr>
    </w:lvl>
  </w:abstractNum>
  <w:abstractNum w:abstractNumId="1">
    <w:nsid w:val="93AFF37D"/>
    <w:multiLevelType w:val="singleLevel"/>
    <w:tmpl w:val="93AFF37D"/>
    <w:lvl w:ilvl="0" w:tentative="0">
      <w:start w:val="1"/>
      <w:numFmt w:val="decimal"/>
      <w:suff w:val="nothing"/>
      <w:lvlText w:val="（%1）"/>
      <w:lvlJc w:val="left"/>
    </w:lvl>
  </w:abstractNum>
  <w:abstractNum w:abstractNumId="2">
    <w:nsid w:val="98B96BF9"/>
    <w:multiLevelType w:val="singleLevel"/>
    <w:tmpl w:val="98B96BF9"/>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3">
    <w:nsid w:val="D73B497A"/>
    <w:multiLevelType w:val="multilevel"/>
    <w:tmpl w:val="D73B497A"/>
    <w:lvl w:ilvl="0" w:tentative="0">
      <w:start w:val="1"/>
      <w:numFmt w:val="decimal"/>
      <w:suff w:val="space"/>
      <w:lvlText w:val="%1 "/>
      <w:lvlJc w:val="left"/>
      <w:pPr>
        <w:ind w:left="0" w:firstLine="0"/>
      </w:pPr>
      <w:rPr>
        <w:rFonts w:hint="eastAsia" w:ascii="方正大标宋简体" w:eastAsia="方正大标宋简体"/>
      </w:rPr>
    </w:lvl>
    <w:lvl w:ilvl="1" w:tentative="0">
      <w:start w:val="1"/>
      <w:numFmt w:val="decimal"/>
      <w:pStyle w:val="3"/>
      <w:suff w:val="space"/>
      <w:lvlText w:val="%1.%2 "/>
      <w:lvlJc w:val="left"/>
      <w:pPr>
        <w:ind w:left="0" w:firstLine="0"/>
      </w:pPr>
      <w:rPr>
        <w:rFonts w:hint="eastAsia" w:ascii="方正大标宋简体" w:eastAsia="方正大标宋简体"/>
        <w:b w:val="0"/>
      </w:rPr>
    </w:lvl>
    <w:lvl w:ilvl="2" w:tentative="0">
      <w:start w:val="1"/>
      <w:numFmt w:val="decimal"/>
      <w:pStyle w:val="4"/>
      <w:suff w:val="space"/>
      <w:lvlText w:val="%1.%2.%3 "/>
      <w:lvlJc w:val="left"/>
      <w:pPr>
        <w:ind w:left="0" w:firstLine="0"/>
      </w:pPr>
      <w:rPr>
        <w:rFonts w:hint="eastAsia"/>
      </w:rPr>
    </w:lvl>
    <w:lvl w:ilvl="3" w:tentative="0">
      <w:start w:val="1"/>
      <w:numFmt w:val="decimal"/>
      <w:pStyle w:val="5"/>
      <w:suff w:val="space"/>
      <w:lvlText w:val="%1.%2.%3.%4 "/>
      <w:lvlJc w:val="left"/>
      <w:pPr>
        <w:ind w:left="0" w:firstLine="0"/>
      </w:pPr>
      <w:rPr>
        <w:rFonts w:hint="eastAsia"/>
      </w:rPr>
    </w:lvl>
    <w:lvl w:ilvl="4" w:tentative="0">
      <w:start w:val="1"/>
      <w:numFmt w:val="decimal"/>
      <w:suff w:val="space"/>
      <w:lvlText w:val="%1.%2.%3.%4.%5 "/>
      <w:lvlJc w:val="left"/>
      <w:pPr>
        <w:ind w:left="0" w:firstLine="0"/>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
    <w:nsid w:val="DBB7FD70"/>
    <w:multiLevelType w:val="singleLevel"/>
    <w:tmpl w:val="DBB7FD70"/>
    <w:lvl w:ilvl="0" w:tentative="0">
      <w:start w:val="1"/>
      <w:numFmt w:val="upperLetter"/>
      <w:suff w:val="nothing"/>
      <w:lvlText w:val="%1）"/>
      <w:lvlJc w:val="left"/>
    </w:lvl>
  </w:abstractNum>
  <w:abstractNum w:abstractNumId="5">
    <w:nsid w:val="E41B5FBE"/>
    <w:multiLevelType w:val="singleLevel"/>
    <w:tmpl w:val="E41B5FBE"/>
    <w:lvl w:ilvl="0" w:tentative="0">
      <w:start w:val="1"/>
      <w:numFmt w:val="decimal"/>
      <w:lvlText w:val="(%1)"/>
      <w:lvlJc w:val="left"/>
      <w:pPr>
        <w:tabs>
          <w:tab w:val="left" w:pos="312"/>
        </w:tabs>
      </w:pPr>
    </w:lvl>
  </w:abstractNum>
  <w:abstractNum w:abstractNumId="6">
    <w:nsid w:val="E822ED8E"/>
    <w:multiLevelType w:val="multilevel"/>
    <w:tmpl w:val="E822ED8E"/>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7">
    <w:nsid w:val="0D94E6BB"/>
    <w:multiLevelType w:val="singleLevel"/>
    <w:tmpl w:val="0D94E6BB"/>
    <w:lvl w:ilvl="0" w:tentative="0">
      <w:start w:val="3"/>
      <w:numFmt w:val="decimal"/>
      <w:suff w:val="nothing"/>
      <w:lvlText w:val="（%1）"/>
      <w:lvlJc w:val="left"/>
    </w:lvl>
  </w:abstractNum>
  <w:abstractNum w:abstractNumId="8">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50"/>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523018A7"/>
    <w:multiLevelType w:val="singleLevel"/>
    <w:tmpl w:val="523018A7"/>
    <w:lvl w:ilvl="0" w:tentative="0">
      <w:start w:val="1"/>
      <w:numFmt w:val="decimal"/>
      <w:suff w:val="nothing"/>
      <w:lvlText w:val="（%1）"/>
      <w:lvlJc w:val="left"/>
    </w:lvl>
  </w:abstractNum>
  <w:abstractNum w:abstractNumId="10">
    <w:nsid w:val="5258C9B2"/>
    <w:multiLevelType w:val="singleLevel"/>
    <w:tmpl w:val="5258C9B2"/>
    <w:lvl w:ilvl="0" w:tentative="0">
      <w:start w:val="2"/>
      <w:numFmt w:val="decimal"/>
      <w:suff w:val="nothing"/>
      <w:lvlText w:val="（%1）"/>
      <w:lvlJc w:val="left"/>
    </w:lvl>
  </w:abstractNum>
  <w:num w:numId="1">
    <w:abstractNumId w:val="3"/>
  </w:num>
  <w:num w:numId="2">
    <w:abstractNumId w:val="2"/>
  </w:num>
  <w:num w:numId="3">
    <w:abstractNumId w:val="8"/>
  </w:num>
  <w:num w:numId="4">
    <w:abstractNumId w:val="1"/>
  </w:num>
  <w:num w:numId="5">
    <w:abstractNumId w:val="10"/>
  </w:num>
  <w:num w:numId="6">
    <w:abstractNumId w:val="6"/>
  </w:num>
  <w:num w:numId="7">
    <w:abstractNumId w:val="5"/>
  </w:num>
  <w:num w:numId="8">
    <w:abstractNumId w:val="4"/>
  </w:num>
  <w:num w:numId="9">
    <w:abstractNumId w:val="7"/>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dit="trackedChanges" w:enforcement="0"/>
  <w:defaultTabStop w:val="421"/>
  <w:doNotHyphenateCaps/>
  <w:drawingGridHorizontalSpacing w:val="113"/>
  <w:drawingGridVerticalSpacing w:val="233"/>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5NWYyYjBhYzUzNDkzNmE4NTcxZWQzMGZjYWFhZjI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274C"/>
    <w:rsid w:val="00184F10"/>
    <w:rsid w:val="00185546"/>
    <w:rsid w:val="0019146B"/>
    <w:rsid w:val="00194398"/>
    <w:rsid w:val="001A7D2A"/>
    <w:rsid w:val="001B574C"/>
    <w:rsid w:val="001C0AF9"/>
    <w:rsid w:val="001C155A"/>
    <w:rsid w:val="001C48C0"/>
    <w:rsid w:val="001D6726"/>
    <w:rsid w:val="001E69DE"/>
    <w:rsid w:val="001F3347"/>
    <w:rsid w:val="001F4440"/>
    <w:rsid w:val="001F69E4"/>
    <w:rsid w:val="00206A65"/>
    <w:rsid w:val="00212D31"/>
    <w:rsid w:val="002130C7"/>
    <w:rsid w:val="00216EA3"/>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07AC"/>
    <w:rsid w:val="007F3916"/>
    <w:rsid w:val="007F461C"/>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06786"/>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26899"/>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C302C"/>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0D0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304E"/>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6D0FEF"/>
    <w:rsid w:val="01963765"/>
    <w:rsid w:val="01A52B05"/>
    <w:rsid w:val="01A916C8"/>
    <w:rsid w:val="01BF26CB"/>
    <w:rsid w:val="01C77B99"/>
    <w:rsid w:val="01D129DD"/>
    <w:rsid w:val="01D63714"/>
    <w:rsid w:val="02045CBB"/>
    <w:rsid w:val="026C7549"/>
    <w:rsid w:val="027A25B1"/>
    <w:rsid w:val="029B0398"/>
    <w:rsid w:val="02C300AE"/>
    <w:rsid w:val="02C9448D"/>
    <w:rsid w:val="0337337C"/>
    <w:rsid w:val="0351718D"/>
    <w:rsid w:val="035A7AE6"/>
    <w:rsid w:val="036722AC"/>
    <w:rsid w:val="03966F36"/>
    <w:rsid w:val="03AB55C9"/>
    <w:rsid w:val="03DA76F6"/>
    <w:rsid w:val="03E06B2C"/>
    <w:rsid w:val="03E35015"/>
    <w:rsid w:val="042D7EE8"/>
    <w:rsid w:val="04373A02"/>
    <w:rsid w:val="048E122E"/>
    <w:rsid w:val="04AD5A6B"/>
    <w:rsid w:val="05152A51"/>
    <w:rsid w:val="051F7F28"/>
    <w:rsid w:val="05324B23"/>
    <w:rsid w:val="05413D9D"/>
    <w:rsid w:val="05742AC8"/>
    <w:rsid w:val="05A3035A"/>
    <w:rsid w:val="05B94582"/>
    <w:rsid w:val="05EF6B31"/>
    <w:rsid w:val="05F03016"/>
    <w:rsid w:val="05FF12B3"/>
    <w:rsid w:val="06207D60"/>
    <w:rsid w:val="062B2715"/>
    <w:rsid w:val="0631303F"/>
    <w:rsid w:val="06352F05"/>
    <w:rsid w:val="063E7D85"/>
    <w:rsid w:val="064E5119"/>
    <w:rsid w:val="06524725"/>
    <w:rsid w:val="06612DA0"/>
    <w:rsid w:val="0686347F"/>
    <w:rsid w:val="06B81ED8"/>
    <w:rsid w:val="06C07F8B"/>
    <w:rsid w:val="06E9243C"/>
    <w:rsid w:val="070875E0"/>
    <w:rsid w:val="07293586"/>
    <w:rsid w:val="07295285"/>
    <w:rsid w:val="07394A23"/>
    <w:rsid w:val="07770C56"/>
    <w:rsid w:val="07AD1A4F"/>
    <w:rsid w:val="07B42EDA"/>
    <w:rsid w:val="08046D9B"/>
    <w:rsid w:val="08420CAE"/>
    <w:rsid w:val="08574F4E"/>
    <w:rsid w:val="088272FC"/>
    <w:rsid w:val="0891753F"/>
    <w:rsid w:val="08CB517A"/>
    <w:rsid w:val="08DE01E4"/>
    <w:rsid w:val="08F273C7"/>
    <w:rsid w:val="08FE7DF5"/>
    <w:rsid w:val="092217DD"/>
    <w:rsid w:val="093A7294"/>
    <w:rsid w:val="0946032A"/>
    <w:rsid w:val="09570B6A"/>
    <w:rsid w:val="09AA4D5C"/>
    <w:rsid w:val="09BA358A"/>
    <w:rsid w:val="09E8789E"/>
    <w:rsid w:val="0A332546"/>
    <w:rsid w:val="0ACD74CC"/>
    <w:rsid w:val="0AD74543"/>
    <w:rsid w:val="0B270C6F"/>
    <w:rsid w:val="0B2C17A1"/>
    <w:rsid w:val="0B925AA8"/>
    <w:rsid w:val="0BA03A33"/>
    <w:rsid w:val="0BA31A63"/>
    <w:rsid w:val="0BA54345"/>
    <w:rsid w:val="0BB718E1"/>
    <w:rsid w:val="0BD27BF6"/>
    <w:rsid w:val="0C0A3890"/>
    <w:rsid w:val="0C5C5A2B"/>
    <w:rsid w:val="0C60586D"/>
    <w:rsid w:val="0C674136"/>
    <w:rsid w:val="0C70493E"/>
    <w:rsid w:val="0CB657C6"/>
    <w:rsid w:val="0D275BF5"/>
    <w:rsid w:val="0D341A60"/>
    <w:rsid w:val="0D352B8F"/>
    <w:rsid w:val="0DAD4E1B"/>
    <w:rsid w:val="0E110D06"/>
    <w:rsid w:val="0E154F81"/>
    <w:rsid w:val="0E777AAB"/>
    <w:rsid w:val="0E831048"/>
    <w:rsid w:val="0EE33B81"/>
    <w:rsid w:val="0EE92061"/>
    <w:rsid w:val="0F113188"/>
    <w:rsid w:val="0F13775A"/>
    <w:rsid w:val="0F4931DA"/>
    <w:rsid w:val="0F7C7674"/>
    <w:rsid w:val="0F9A112B"/>
    <w:rsid w:val="0FC54EAA"/>
    <w:rsid w:val="100E3497"/>
    <w:rsid w:val="1015258A"/>
    <w:rsid w:val="101C0036"/>
    <w:rsid w:val="1050688C"/>
    <w:rsid w:val="106D2F64"/>
    <w:rsid w:val="10755C97"/>
    <w:rsid w:val="10B63710"/>
    <w:rsid w:val="10F90579"/>
    <w:rsid w:val="111C2F7A"/>
    <w:rsid w:val="11206FB7"/>
    <w:rsid w:val="113013DE"/>
    <w:rsid w:val="113A4C18"/>
    <w:rsid w:val="11A93B4C"/>
    <w:rsid w:val="11CC2307"/>
    <w:rsid w:val="11CC6B31"/>
    <w:rsid w:val="11DA2DAA"/>
    <w:rsid w:val="11FF1362"/>
    <w:rsid w:val="122B06C2"/>
    <w:rsid w:val="12320320"/>
    <w:rsid w:val="124D5372"/>
    <w:rsid w:val="125A4E46"/>
    <w:rsid w:val="12BB13E2"/>
    <w:rsid w:val="12FB0E7D"/>
    <w:rsid w:val="133826F0"/>
    <w:rsid w:val="134204FF"/>
    <w:rsid w:val="135A1C9A"/>
    <w:rsid w:val="1364783F"/>
    <w:rsid w:val="137837D5"/>
    <w:rsid w:val="13796012"/>
    <w:rsid w:val="137A60FA"/>
    <w:rsid w:val="13951726"/>
    <w:rsid w:val="13B16CE7"/>
    <w:rsid w:val="13E218AC"/>
    <w:rsid w:val="13E234C5"/>
    <w:rsid w:val="13EC6280"/>
    <w:rsid w:val="14036179"/>
    <w:rsid w:val="14107EB2"/>
    <w:rsid w:val="14396509"/>
    <w:rsid w:val="1447165C"/>
    <w:rsid w:val="14503529"/>
    <w:rsid w:val="14BB6070"/>
    <w:rsid w:val="14BC706E"/>
    <w:rsid w:val="15055078"/>
    <w:rsid w:val="1537537D"/>
    <w:rsid w:val="1540013C"/>
    <w:rsid w:val="154F112E"/>
    <w:rsid w:val="15644F37"/>
    <w:rsid w:val="15D7735E"/>
    <w:rsid w:val="15EB3A55"/>
    <w:rsid w:val="15EE5FD1"/>
    <w:rsid w:val="16117F11"/>
    <w:rsid w:val="161B669A"/>
    <w:rsid w:val="161F0F67"/>
    <w:rsid w:val="163F6E4C"/>
    <w:rsid w:val="165520AA"/>
    <w:rsid w:val="16922446"/>
    <w:rsid w:val="16B16517"/>
    <w:rsid w:val="16C315C4"/>
    <w:rsid w:val="16C85F74"/>
    <w:rsid w:val="17052A04"/>
    <w:rsid w:val="1710609E"/>
    <w:rsid w:val="17525EAA"/>
    <w:rsid w:val="17735226"/>
    <w:rsid w:val="179901BE"/>
    <w:rsid w:val="179B2298"/>
    <w:rsid w:val="17A62B65"/>
    <w:rsid w:val="17B536EB"/>
    <w:rsid w:val="17DA48DF"/>
    <w:rsid w:val="17DC7B8F"/>
    <w:rsid w:val="17DE4FF1"/>
    <w:rsid w:val="18345FBA"/>
    <w:rsid w:val="18A31F73"/>
    <w:rsid w:val="18A50C3A"/>
    <w:rsid w:val="18F15B2D"/>
    <w:rsid w:val="19056412"/>
    <w:rsid w:val="19073AB3"/>
    <w:rsid w:val="190A2345"/>
    <w:rsid w:val="195C787E"/>
    <w:rsid w:val="199453FD"/>
    <w:rsid w:val="19E9184C"/>
    <w:rsid w:val="19ED14FD"/>
    <w:rsid w:val="19EF056A"/>
    <w:rsid w:val="1A1C66C0"/>
    <w:rsid w:val="1A33182E"/>
    <w:rsid w:val="1A3D3083"/>
    <w:rsid w:val="1A42393B"/>
    <w:rsid w:val="1A6A6BB3"/>
    <w:rsid w:val="1A793100"/>
    <w:rsid w:val="1A8364B6"/>
    <w:rsid w:val="1AFA70B1"/>
    <w:rsid w:val="1B046F80"/>
    <w:rsid w:val="1B21452A"/>
    <w:rsid w:val="1B3267B5"/>
    <w:rsid w:val="1B432FF8"/>
    <w:rsid w:val="1B9138C0"/>
    <w:rsid w:val="1BB12106"/>
    <w:rsid w:val="1BC25DC8"/>
    <w:rsid w:val="1BCE342C"/>
    <w:rsid w:val="1BCF0653"/>
    <w:rsid w:val="1C395ACC"/>
    <w:rsid w:val="1C5E7925"/>
    <w:rsid w:val="1C617F06"/>
    <w:rsid w:val="1C887FC8"/>
    <w:rsid w:val="1C932CB0"/>
    <w:rsid w:val="1C9D31E1"/>
    <w:rsid w:val="1CD777BF"/>
    <w:rsid w:val="1CEC5DFE"/>
    <w:rsid w:val="1D095F77"/>
    <w:rsid w:val="1D2422D8"/>
    <w:rsid w:val="1D5F6196"/>
    <w:rsid w:val="1D6132A5"/>
    <w:rsid w:val="1D755277"/>
    <w:rsid w:val="1D803CEB"/>
    <w:rsid w:val="1D8509C2"/>
    <w:rsid w:val="1D8E56D5"/>
    <w:rsid w:val="1DA43419"/>
    <w:rsid w:val="1DAE68B3"/>
    <w:rsid w:val="1DCB5C8B"/>
    <w:rsid w:val="1E016B07"/>
    <w:rsid w:val="1E0F60E2"/>
    <w:rsid w:val="1E3E62E0"/>
    <w:rsid w:val="1E451429"/>
    <w:rsid w:val="1E672EB4"/>
    <w:rsid w:val="1E7A43DA"/>
    <w:rsid w:val="1E7C50C8"/>
    <w:rsid w:val="1EB0643F"/>
    <w:rsid w:val="1EB277FE"/>
    <w:rsid w:val="1EBC2D0D"/>
    <w:rsid w:val="1ECA6472"/>
    <w:rsid w:val="1ECA6EAF"/>
    <w:rsid w:val="1ECC08B2"/>
    <w:rsid w:val="1EF53F2C"/>
    <w:rsid w:val="1F287F23"/>
    <w:rsid w:val="1F2A78FD"/>
    <w:rsid w:val="1FA15E62"/>
    <w:rsid w:val="1FE7539E"/>
    <w:rsid w:val="1FF55E61"/>
    <w:rsid w:val="20276628"/>
    <w:rsid w:val="204352E2"/>
    <w:rsid w:val="20851120"/>
    <w:rsid w:val="208A0A92"/>
    <w:rsid w:val="20963CB8"/>
    <w:rsid w:val="20A33DEC"/>
    <w:rsid w:val="20B07FB6"/>
    <w:rsid w:val="20CF1F7D"/>
    <w:rsid w:val="20E071AF"/>
    <w:rsid w:val="20ED3A61"/>
    <w:rsid w:val="212E5E1B"/>
    <w:rsid w:val="213B74B1"/>
    <w:rsid w:val="21421D5B"/>
    <w:rsid w:val="214F53CE"/>
    <w:rsid w:val="215A2310"/>
    <w:rsid w:val="21616C77"/>
    <w:rsid w:val="21A06FD0"/>
    <w:rsid w:val="21DE318A"/>
    <w:rsid w:val="21ED6649"/>
    <w:rsid w:val="21EF5B80"/>
    <w:rsid w:val="21FA7AAB"/>
    <w:rsid w:val="22282779"/>
    <w:rsid w:val="22576990"/>
    <w:rsid w:val="22615F0B"/>
    <w:rsid w:val="2268710B"/>
    <w:rsid w:val="227F5155"/>
    <w:rsid w:val="228415EC"/>
    <w:rsid w:val="229C4EAB"/>
    <w:rsid w:val="22AB0409"/>
    <w:rsid w:val="22AF4D3A"/>
    <w:rsid w:val="22E8650E"/>
    <w:rsid w:val="231606E9"/>
    <w:rsid w:val="23503E27"/>
    <w:rsid w:val="23914883"/>
    <w:rsid w:val="23C30A9D"/>
    <w:rsid w:val="243C0A69"/>
    <w:rsid w:val="245C5ABB"/>
    <w:rsid w:val="24B04891"/>
    <w:rsid w:val="25007ACF"/>
    <w:rsid w:val="25096983"/>
    <w:rsid w:val="252D53FE"/>
    <w:rsid w:val="253E6EAF"/>
    <w:rsid w:val="25A71CF8"/>
    <w:rsid w:val="25B83F91"/>
    <w:rsid w:val="25EC2D81"/>
    <w:rsid w:val="26324839"/>
    <w:rsid w:val="2634622D"/>
    <w:rsid w:val="263F436A"/>
    <w:rsid w:val="264528BD"/>
    <w:rsid w:val="26B16676"/>
    <w:rsid w:val="26CA3EF0"/>
    <w:rsid w:val="26F13113"/>
    <w:rsid w:val="27846264"/>
    <w:rsid w:val="27B0758A"/>
    <w:rsid w:val="27C747D2"/>
    <w:rsid w:val="27D15DD1"/>
    <w:rsid w:val="27F1444B"/>
    <w:rsid w:val="28326BDF"/>
    <w:rsid w:val="285C326E"/>
    <w:rsid w:val="2888578D"/>
    <w:rsid w:val="288E2547"/>
    <w:rsid w:val="289B272C"/>
    <w:rsid w:val="28A76295"/>
    <w:rsid w:val="28BC3D0D"/>
    <w:rsid w:val="28C124B7"/>
    <w:rsid w:val="28D52183"/>
    <w:rsid w:val="28DC615D"/>
    <w:rsid w:val="29007AB6"/>
    <w:rsid w:val="291E0523"/>
    <w:rsid w:val="29206EB8"/>
    <w:rsid w:val="295E4740"/>
    <w:rsid w:val="296117D2"/>
    <w:rsid w:val="29663B3A"/>
    <w:rsid w:val="297417DD"/>
    <w:rsid w:val="29C8067B"/>
    <w:rsid w:val="29E057D9"/>
    <w:rsid w:val="29E325E0"/>
    <w:rsid w:val="2A1060BE"/>
    <w:rsid w:val="2A1B35EA"/>
    <w:rsid w:val="2A452503"/>
    <w:rsid w:val="2A4E32E7"/>
    <w:rsid w:val="2A5C7555"/>
    <w:rsid w:val="2AAF3B29"/>
    <w:rsid w:val="2AD345CE"/>
    <w:rsid w:val="2AE1474F"/>
    <w:rsid w:val="2AEA4334"/>
    <w:rsid w:val="2AF82AF4"/>
    <w:rsid w:val="2B1E359F"/>
    <w:rsid w:val="2B2F6A8C"/>
    <w:rsid w:val="2B32404B"/>
    <w:rsid w:val="2B5F3947"/>
    <w:rsid w:val="2BA0389E"/>
    <w:rsid w:val="2BA47ED7"/>
    <w:rsid w:val="2BA936A8"/>
    <w:rsid w:val="2C1360D0"/>
    <w:rsid w:val="2C265E67"/>
    <w:rsid w:val="2C2E3EBF"/>
    <w:rsid w:val="2C315A5A"/>
    <w:rsid w:val="2C441551"/>
    <w:rsid w:val="2C581F9E"/>
    <w:rsid w:val="2C5D1363"/>
    <w:rsid w:val="2C8132A3"/>
    <w:rsid w:val="2CA72CBE"/>
    <w:rsid w:val="2D177A49"/>
    <w:rsid w:val="2D5531EF"/>
    <w:rsid w:val="2D654973"/>
    <w:rsid w:val="2D6E3D0B"/>
    <w:rsid w:val="2D9A7A71"/>
    <w:rsid w:val="2D9E56F5"/>
    <w:rsid w:val="2DC867A0"/>
    <w:rsid w:val="2DFD4BAB"/>
    <w:rsid w:val="2E1B085A"/>
    <w:rsid w:val="2E667F96"/>
    <w:rsid w:val="2E817C05"/>
    <w:rsid w:val="2E8226AB"/>
    <w:rsid w:val="2EA178CE"/>
    <w:rsid w:val="2ECD0CEC"/>
    <w:rsid w:val="2F0116F1"/>
    <w:rsid w:val="2F4E1239"/>
    <w:rsid w:val="2F54755D"/>
    <w:rsid w:val="2F561C58"/>
    <w:rsid w:val="2F793A1F"/>
    <w:rsid w:val="2F832C79"/>
    <w:rsid w:val="2F8803B1"/>
    <w:rsid w:val="2FC516F9"/>
    <w:rsid w:val="2FEF2D58"/>
    <w:rsid w:val="30360848"/>
    <w:rsid w:val="303845C1"/>
    <w:rsid w:val="30580BC9"/>
    <w:rsid w:val="307F03AF"/>
    <w:rsid w:val="30967D5E"/>
    <w:rsid w:val="30C77358"/>
    <w:rsid w:val="30CD2F5B"/>
    <w:rsid w:val="30DF7082"/>
    <w:rsid w:val="310D1D85"/>
    <w:rsid w:val="311E2ED7"/>
    <w:rsid w:val="313A7F63"/>
    <w:rsid w:val="315C449C"/>
    <w:rsid w:val="31643762"/>
    <w:rsid w:val="316A5446"/>
    <w:rsid w:val="31852460"/>
    <w:rsid w:val="31B82709"/>
    <w:rsid w:val="320024CC"/>
    <w:rsid w:val="322A1CF8"/>
    <w:rsid w:val="32400B34"/>
    <w:rsid w:val="324819A7"/>
    <w:rsid w:val="326F3B9E"/>
    <w:rsid w:val="32715B68"/>
    <w:rsid w:val="329E6876"/>
    <w:rsid w:val="32BF493A"/>
    <w:rsid w:val="32C93284"/>
    <w:rsid w:val="32D957E6"/>
    <w:rsid w:val="32F37A35"/>
    <w:rsid w:val="330469DC"/>
    <w:rsid w:val="33322554"/>
    <w:rsid w:val="333C7E5E"/>
    <w:rsid w:val="333E61A0"/>
    <w:rsid w:val="336B0809"/>
    <w:rsid w:val="336D4581"/>
    <w:rsid w:val="337613B5"/>
    <w:rsid w:val="33984FF0"/>
    <w:rsid w:val="33AE06F6"/>
    <w:rsid w:val="33D10122"/>
    <w:rsid w:val="33D934D4"/>
    <w:rsid w:val="33ED7470"/>
    <w:rsid w:val="33FE2F6A"/>
    <w:rsid w:val="342546F4"/>
    <w:rsid w:val="342A06C4"/>
    <w:rsid w:val="343E49A4"/>
    <w:rsid w:val="347B5013"/>
    <w:rsid w:val="34964CFC"/>
    <w:rsid w:val="34BB3DEC"/>
    <w:rsid w:val="34D81ECE"/>
    <w:rsid w:val="34FB3646"/>
    <w:rsid w:val="35005B21"/>
    <w:rsid w:val="351033B6"/>
    <w:rsid w:val="35254364"/>
    <w:rsid w:val="354A7E5F"/>
    <w:rsid w:val="35655507"/>
    <w:rsid w:val="356C3C8E"/>
    <w:rsid w:val="35A70157"/>
    <w:rsid w:val="35A91BE6"/>
    <w:rsid w:val="36074A7F"/>
    <w:rsid w:val="36330E0E"/>
    <w:rsid w:val="3639652D"/>
    <w:rsid w:val="36452E66"/>
    <w:rsid w:val="368541EB"/>
    <w:rsid w:val="36923549"/>
    <w:rsid w:val="36B6478F"/>
    <w:rsid w:val="36B75FBF"/>
    <w:rsid w:val="36C505F7"/>
    <w:rsid w:val="36FB4891"/>
    <w:rsid w:val="375C659B"/>
    <w:rsid w:val="37684190"/>
    <w:rsid w:val="377626E2"/>
    <w:rsid w:val="37AE6AAA"/>
    <w:rsid w:val="37BF5C8E"/>
    <w:rsid w:val="37C91FA2"/>
    <w:rsid w:val="37DB2D5C"/>
    <w:rsid w:val="380A0848"/>
    <w:rsid w:val="380D47D5"/>
    <w:rsid w:val="381E7F36"/>
    <w:rsid w:val="38530BB4"/>
    <w:rsid w:val="388365F5"/>
    <w:rsid w:val="38846508"/>
    <w:rsid w:val="38E32120"/>
    <w:rsid w:val="38ED2FFD"/>
    <w:rsid w:val="38F12CD3"/>
    <w:rsid w:val="38F848ED"/>
    <w:rsid w:val="38F94775"/>
    <w:rsid w:val="391C0801"/>
    <w:rsid w:val="39273424"/>
    <w:rsid w:val="392971ED"/>
    <w:rsid w:val="39485D03"/>
    <w:rsid w:val="395C1B62"/>
    <w:rsid w:val="396C52DB"/>
    <w:rsid w:val="396E4BAF"/>
    <w:rsid w:val="397F6DBC"/>
    <w:rsid w:val="39ED01CA"/>
    <w:rsid w:val="3A052AF4"/>
    <w:rsid w:val="3A0B68A2"/>
    <w:rsid w:val="3A264B74"/>
    <w:rsid w:val="3A2F7F39"/>
    <w:rsid w:val="3A391D35"/>
    <w:rsid w:val="3A3E4582"/>
    <w:rsid w:val="3A5E6B4F"/>
    <w:rsid w:val="3A660B8C"/>
    <w:rsid w:val="3A7206CF"/>
    <w:rsid w:val="3A970136"/>
    <w:rsid w:val="3AAE01BB"/>
    <w:rsid w:val="3AD46C94"/>
    <w:rsid w:val="3AE214AE"/>
    <w:rsid w:val="3AE83F7E"/>
    <w:rsid w:val="3AF52DDB"/>
    <w:rsid w:val="3B066331"/>
    <w:rsid w:val="3B1B1267"/>
    <w:rsid w:val="3B2B184D"/>
    <w:rsid w:val="3B3763D1"/>
    <w:rsid w:val="3B71327A"/>
    <w:rsid w:val="3B7F7789"/>
    <w:rsid w:val="3B942492"/>
    <w:rsid w:val="3BAD362B"/>
    <w:rsid w:val="3BF07B80"/>
    <w:rsid w:val="3BF30F20"/>
    <w:rsid w:val="3C1E08C4"/>
    <w:rsid w:val="3C404DD0"/>
    <w:rsid w:val="3C530B4D"/>
    <w:rsid w:val="3C5C36A9"/>
    <w:rsid w:val="3C636705"/>
    <w:rsid w:val="3C674B89"/>
    <w:rsid w:val="3C710B37"/>
    <w:rsid w:val="3C8804B8"/>
    <w:rsid w:val="3C8D6E7E"/>
    <w:rsid w:val="3C992CE0"/>
    <w:rsid w:val="3C997581"/>
    <w:rsid w:val="3CA803D8"/>
    <w:rsid w:val="3CB72715"/>
    <w:rsid w:val="3CBA284F"/>
    <w:rsid w:val="3CC71ED1"/>
    <w:rsid w:val="3CD411CD"/>
    <w:rsid w:val="3CD83696"/>
    <w:rsid w:val="3CDA245A"/>
    <w:rsid w:val="3CEE0A37"/>
    <w:rsid w:val="3D190539"/>
    <w:rsid w:val="3D5B544A"/>
    <w:rsid w:val="3D6A7D83"/>
    <w:rsid w:val="3D734E8A"/>
    <w:rsid w:val="3D891FB8"/>
    <w:rsid w:val="3D977705"/>
    <w:rsid w:val="3DB84BFB"/>
    <w:rsid w:val="3DD0592C"/>
    <w:rsid w:val="3E3A1504"/>
    <w:rsid w:val="3E433CCA"/>
    <w:rsid w:val="3E663BCB"/>
    <w:rsid w:val="3E8965B6"/>
    <w:rsid w:val="3E8F7AA2"/>
    <w:rsid w:val="3E930198"/>
    <w:rsid w:val="3F087854"/>
    <w:rsid w:val="3F2301EA"/>
    <w:rsid w:val="3F660E74"/>
    <w:rsid w:val="3F672A7C"/>
    <w:rsid w:val="3FAE5143"/>
    <w:rsid w:val="3FE45BCB"/>
    <w:rsid w:val="3FE536F1"/>
    <w:rsid w:val="3FFF22C1"/>
    <w:rsid w:val="400C34AE"/>
    <w:rsid w:val="402151C5"/>
    <w:rsid w:val="402E6E46"/>
    <w:rsid w:val="4044666A"/>
    <w:rsid w:val="406E7B8B"/>
    <w:rsid w:val="407A6407"/>
    <w:rsid w:val="40BE466E"/>
    <w:rsid w:val="415B2993"/>
    <w:rsid w:val="41604DB1"/>
    <w:rsid w:val="41885FB7"/>
    <w:rsid w:val="41AB655B"/>
    <w:rsid w:val="41AE46E3"/>
    <w:rsid w:val="41BF46F3"/>
    <w:rsid w:val="422609B6"/>
    <w:rsid w:val="423A3BCC"/>
    <w:rsid w:val="4255690C"/>
    <w:rsid w:val="427971A7"/>
    <w:rsid w:val="4289767F"/>
    <w:rsid w:val="42980EEF"/>
    <w:rsid w:val="433A6FE6"/>
    <w:rsid w:val="434A043B"/>
    <w:rsid w:val="4350713C"/>
    <w:rsid w:val="43587E6F"/>
    <w:rsid w:val="436653E0"/>
    <w:rsid w:val="439217D5"/>
    <w:rsid w:val="43A12B94"/>
    <w:rsid w:val="43AB4D0B"/>
    <w:rsid w:val="43BF388F"/>
    <w:rsid w:val="43DB5537"/>
    <w:rsid w:val="44006D4C"/>
    <w:rsid w:val="440A6183"/>
    <w:rsid w:val="44251B7F"/>
    <w:rsid w:val="446D01AC"/>
    <w:rsid w:val="449851D6"/>
    <w:rsid w:val="44C63AF1"/>
    <w:rsid w:val="44C93609"/>
    <w:rsid w:val="44CD14E0"/>
    <w:rsid w:val="44F41A4A"/>
    <w:rsid w:val="45133790"/>
    <w:rsid w:val="45576804"/>
    <w:rsid w:val="45594965"/>
    <w:rsid w:val="458946E9"/>
    <w:rsid w:val="458A78AC"/>
    <w:rsid w:val="45921A28"/>
    <w:rsid w:val="45AB39B5"/>
    <w:rsid w:val="45BD6187"/>
    <w:rsid w:val="463B15AE"/>
    <w:rsid w:val="46A56C7B"/>
    <w:rsid w:val="46A93B90"/>
    <w:rsid w:val="46BB51AC"/>
    <w:rsid w:val="46D52C32"/>
    <w:rsid w:val="46D955A7"/>
    <w:rsid w:val="46E35A9E"/>
    <w:rsid w:val="46E464B1"/>
    <w:rsid w:val="46EF1761"/>
    <w:rsid w:val="47133957"/>
    <w:rsid w:val="4741382D"/>
    <w:rsid w:val="475B4509"/>
    <w:rsid w:val="4779329E"/>
    <w:rsid w:val="477B5067"/>
    <w:rsid w:val="4792705E"/>
    <w:rsid w:val="47A07E0C"/>
    <w:rsid w:val="47BB1907"/>
    <w:rsid w:val="48195C27"/>
    <w:rsid w:val="4870272E"/>
    <w:rsid w:val="4879594A"/>
    <w:rsid w:val="488E75C7"/>
    <w:rsid w:val="489C10D2"/>
    <w:rsid w:val="489E0708"/>
    <w:rsid w:val="489F782E"/>
    <w:rsid w:val="48B06F92"/>
    <w:rsid w:val="48E929DF"/>
    <w:rsid w:val="48F37A50"/>
    <w:rsid w:val="49042E3A"/>
    <w:rsid w:val="497246BA"/>
    <w:rsid w:val="499E6DEB"/>
    <w:rsid w:val="49DC7715"/>
    <w:rsid w:val="49EE24CD"/>
    <w:rsid w:val="4A023139"/>
    <w:rsid w:val="4A052454"/>
    <w:rsid w:val="4A105AF4"/>
    <w:rsid w:val="4A137480"/>
    <w:rsid w:val="4A174F37"/>
    <w:rsid w:val="4A1A200E"/>
    <w:rsid w:val="4A325D14"/>
    <w:rsid w:val="4A5971B6"/>
    <w:rsid w:val="4A7B576F"/>
    <w:rsid w:val="4A820A1C"/>
    <w:rsid w:val="4AA14C21"/>
    <w:rsid w:val="4AA819B1"/>
    <w:rsid w:val="4ABF170F"/>
    <w:rsid w:val="4ADB5E1D"/>
    <w:rsid w:val="4B0B6702"/>
    <w:rsid w:val="4B2665F4"/>
    <w:rsid w:val="4BA60BAA"/>
    <w:rsid w:val="4BBD0DD6"/>
    <w:rsid w:val="4BC04E06"/>
    <w:rsid w:val="4BCE772F"/>
    <w:rsid w:val="4C1635B0"/>
    <w:rsid w:val="4C1B63F0"/>
    <w:rsid w:val="4C49026B"/>
    <w:rsid w:val="4C4A0649"/>
    <w:rsid w:val="4C96024D"/>
    <w:rsid w:val="4CB96DBE"/>
    <w:rsid w:val="4CE470D3"/>
    <w:rsid w:val="4D0C69C4"/>
    <w:rsid w:val="4D336DFD"/>
    <w:rsid w:val="4D4B04EE"/>
    <w:rsid w:val="4D5F2548"/>
    <w:rsid w:val="4DA370C6"/>
    <w:rsid w:val="4DA77BB4"/>
    <w:rsid w:val="4DCD4142"/>
    <w:rsid w:val="4DE946C9"/>
    <w:rsid w:val="4DEC4FB0"/>
    <w:rsid w:val="4DF72F6D"/>
    <w:rsid w:val="4E075D8A"/>
    <w:rsid w:val="4E3B4E7B"/>
    <w:rsid w:val="4E577EB0"/>
    <w:rsid w:val="4E711DCA"/>
    <w:rsid w:val="4E741E1C"/>
    <w:rsid w:val="4E93355A"/>
    <w:rsid w:val="4EA866C7"/>
    <w:rsid w:val="4EC82A69"/>
    <w:rsid w:val="4ECA2ED4"/>
    <w:rsid w:val="4EE97D59"/>
    <w:rsid w:val="4EFD35CC"/>
    <w:rsid w:val="4EFD45B3"/>
    <w:rsid w:val="4F12366A"/>
    <w:rsid w:val="4F2D7EE3"/>
    <w:rsid w:val="4F4B5F47"/>
    <w:rsid w:val="4F7B439B"/>
    <w:rsid w:val="4FB72EC4"/>
    <w:rsid w:val="4FC62A8C"/>
    <w:rsid w:val="4FE20F0D"/>
    <w:rsid w:val="503B2B20"/>
    <w:rsid w:val="50504C4B"/>
    <w:rsid w:val="507E3DE9"/>
    <w:rsid w:val="509C6E7C"/>
    <w:rsid w:val="50B43F75"/>
    <w:rsid w:val="50BA5154"/>
    <w:rsid w:val="51136310"/>
    <w:rsid w:val="511D5CEA"/>
    <w:rsid w:val="5162104E"/>
    <w:rsid w:val="517761FE"/>
    <w:rsid w:val="5181642A"/>
    <w:rsid w:val="51BD44CE"/>
    <w:rsid w:val="51D96BF3"/>
    <w:rsid w:val="525C416A"/>
    <w:rsid w:val="52721A5F"/>
    <w:rsid w:val="528E19C3"/>
    <w:rsid w:val="52960FC9"/>
    <w:rsid w:val="529F40C8"/>
    <w:rsid w:val="52A44322"/>
    <w:rsid w:val="52DA7EB3"/>
    <w:rsid w:val="52F61A46"/>
    <w:rsid w:val="53265F11"/>
    <w:rsid w:val="532B6038"/>
    <w:rsid w:val="534937D6"/>
    <w:rsid w:val="5361593F"/>
    <w:rsid w:val="53735254"/>
    <w:rsid w:val="539E16E0"/>
    <w:rsid w:val="53A039CC"/>
    <w:rsid w:val="53A1505A"/>
    <w:rsid w:val="53BA0CC5"/>
    <w:rsid w:val="53E974C9"/>
    <w:rsid w:val="53FC12DE"/>
    <w:rsid w:val="54063E08"/>
    <w:rsid w:val="543437E8"/>
    <w:rsid w:val="54463BD9"/>
    <w:rsid w:val="54890697"/>
    <w:rsid w:val="548A0E33"/>
    <w:rsid w:val="549D7680"/>
    <w:rsid w:val="54C43C81"/>
    <w:rsid w:val="54C53DC5"/>
    <w:rsid w:val="5527238A"/>
    <w:rsid w:val="55332E6F"/>
    <w:rsid w:val="559B174B"/>
    <w:rsid w:val="55B14C9D"/>
    <w:rsid w:val="55B94FAC"/>
    <w:rsid w:val="55C705A8"/>
    <w:rsid w:val="55CE0CF4"/>
    <w:rsid w:val="56AB6FEB"/>
    <w:rsid w:val="56AD3EC1"/>
    <w:rsid w:val="56AD68BF"/>
    <w:rsid w:val="56B22A9C"/>
    <w:rsid w:val="56B550FA"/>
    <w:rsid w:val="56CC3A96"/>
    <w:rsid w:val="56D0706D"/>
    <w:rsid w:val="57484A7C"/>
    <w:rsid w:val="577E64AD"/>
    <w:rsid w:val="57B72A76"/>
    <w:rsid w:val="57D037D6"/>
    <w:rsid w:val="57E87D9B"/>
    <w:rsid w:val="581A204A"/>
    <w:rsid w:val="58247B6D"/>
    <w:rsid w:val="589F05DE"/>
    <w:rsid w:val="58D26AB1"/>
    <w:rsid w:val="58F22CAF"/>
    <w:rsid w:val="59171F92"/>
    <w:rsid w:val="59373483"/>
    <w:rsid w:val="5974530C"/>
    <w:rsid w:val="59AB17BA"/>
    <w:rsid w:val="59D62842"/>
    <w:rsid w:val="5A184997"/>
    <w:rsid w:val="5A1D33A4"/>
    <w:rsid w:val="5A3C747D"/>
    <w:rsid w:val="5A6C50B3"/>
    <w:rsid w:val="5A8821FA"/>
    <w:rsid w:val="5A976BE6"/>
    <w:rsid w:val="5ABE2233"/>
    <w:rsid w:val="5ACA3A41"/>
    <w:rsid w:val="5AEE474E"/>
    <w:rsid w:val="5B1D66C0"/>
    <w:rsid w:val="5B276D18"/>
    <w:rsid w:val="5B301174"/>
    <w:rsid w:val="5B601F60"/>
    <w:rsid w:val="5B656860"/>
    <w:rsid w:val="5B8B4C92"/>
    <w:rsid w:val="5B9B444B"/>
    <w:rsid w:val="5BAB1071"/>
    <w:rsid w:val="5BC54A84"/>
    <w:rsid w:val="5BDF5D95"/>
    <w:rsid w:val="5BE305FA"/>
    <w:rsid w:val="5C3A224A"/>
    <w:rsid w:val="5C451348"/>
    <w:rsid w:val="5C5678DA"/>
    <w:rsid w:val="5C8C324A"/>
    <w:rsid w:val="5C8E01AF"/>
    <w:rsid w:val="5CA81742"/>
    <w:rsid w:val="5CD35FFE"/>
    <w:rsid w:val="5CDA23D8"/>
    <w:rsid w:val="5CE42013"/>
    <w:rsid w:val="5CF23012"/>
    <w:rsid w:val="5CF27722"/>
    <w:rsid w:val="5D0F1A61"/>
    <w:rsid w:val="5D306512"/>
    <w:rsid w:val="5D4B3EF3"/>
    <w:rsid w:val="5D983AAF"/>
    <w:rsid w:val="5DA61CAF"/>
    <w:rsid w:val="5DA720DF"/>
    <w:rsid w:val="5DA9049F"/>
    <w:rsid w:val="5DF87A0F"/>
    <w:rsid w:val="5E164DBE"/>
    <w:rsid w:val="5E252582"/>
    <w:rsid w:val="5E2B675E"/>
    <w:rsid w:val="5E345B18"/>
    <w:rsid w:val="5E35369E"/>
    <w:rsid w:val="5E5F6737"/>
    <w:rsid w:val="5E6F587F"/>
    <w:rsid w:val="5E804A68"/>
    <w:rsid w:val="5E8447D9"/>
    <w:rsid w:val="5E980273"/>
    <w:rsid w:val="5EC64F89"/>
    <w:rsid w:val="5EE70DDC"/>
    <w:rsid w:val="5EEC1F4F"/>
    <w:rsid w:val="5EFB6BA2"/>
    <w:rsid w:val="5EFF1C82"/>
    <w:rsid w:val="5F013A8A"/>
    <w:rsid w:val="5F1A2B43"/>
    <w:rsid w:val="5F473629"/>
    <w:rsid w:val="5F604FDB"/>
    <w:rsid w:val="5F62115C"/>
    <w:rsid w:val="5F7D0531"/>
    <w:rsid w:val="5FB837BB"/>
    <w:rsid w:val="5FC13EA7"/>
    <w:rsid w:val="5FEB5045"/>
    <w:rsid w:val="600533B3"/>
    <w:rsid w:val="60116111"/>
    <w:rsid w:val="602F7389"/>
    <w:rsid w:val="60AA07E3"/>
    <w:rsid w:val="60AA5E56"/>
    <w:rsid w:val="60AC7BE7"/>
    <w:rsid w:val="60C27598"/>
    <w:rsid w:val="60CD5A82"/>
    <w:rsid w:val="60E2185B"/>
    <w:rsid w:val="60F20D48"/>
    <w:rsid w:val="612D38ED"/>
    <w:rsid w:val="613C3D99"/>
    <w:rsid w:val="614B5652"/>
    <w:rsid w:val="61677FB2"/>
    <w:rsid w:val="61825076"/>
    <w:rsid w:val="61A4248F"/>
    <w:rsid w:val="61B261F7"/>
    <w:rsid w:val="61E02A4A"/>
    <w:rsid w:val="62233AB5"/>
    <w:rsid w:val="62364782"/>
    <w:rsid w:val="62370553"/>
    <w:rsid w:val="625F095E"/>
    <w:rsid w:val="629C1B61"/>
    <w:rsid w:val="62A20B33"/>
    <w:rsid w:val="62CD148F"/>
    <w:rsid w:val="62E75EA4"/>
    <w:rsid w:val="62F63D3A"/>
    <w:rsid w:val="62FE04A2"/>
    <w:rsid w:val="632750BB"/>
    <w:rsid w:val="6389304C"/>
    <w:rsid w:val="63984453"/>
    <w:rsid w:val="63AB687C"/>
    <w:rsid w:val="63D40BE9"/>
    <w:rsid w:val="63E0211F"/>
    <w:rsid w:val="63F97E51"/>
    <w:rsid w:val="64287C0F"/>
    <w:rsid w:val="64326656"/>
    <w:rsid w:val="64414AEB"/>
    <w:rsid w:val="644D348F"/>
    <w:rsid w:val="645965B8"/>
    <w:rsid w:val="64D71399"/>
    <w:rsid w:val="65373578"/>
    <w:rsid w:val="65394435"/>
    <w:rsid w:val="65560D68"/>
    <w:rsid w:val="6578278E"/>
    <w:rsid w:val="65921CC0"/>
    <w:rsid w:val="659B2C10"/>
    <w:rsid w:val="65B6655E"/>
    <w:rsid w:val="65E87914"/>
    <w:rsid w:val="65F50E3A"/>
    <w:rsid w:val="6626652C"/>
    <w:rsid w:val="66272F98"/>
    <w:rsid w:val="66336878"/>
    <w:rsid w:val="66425D48"/>
    <w:rsid w:val="66486604"/>
    <w:rsid w:val="664F1741"/>
    <w:rsid w:val="665A47E4"/>
    <w:rsid w:val="66611474"/>
    <w:rsid w:val="666C2D32"/>
    <w:rsid w:val="66B22100"/>
    <w:rsid w:val="672A5D0A"/>
    <w:rsid w:val="672E0725"/>
    <w:rsid w:val="673F2C7A"/>
    <w:rsid w:val="675A5933"/>
    <w:rsid w:val="67857D78"/>
    <w:rsid w:val="679560DE"/>
    <w:rsid w:val="67B657F0"/>
    <w:rsid w:val="680D0354"/>
    <w:rsid w:val="681108E2"/>
    <w:rsid w:val="681F6961"/>
    <w:rsid w:val="683442A8"/>
    <w:rsid w:val="68444BA9"/>
    <w:rsid w:val="68610A2F"/>
    <w:rsid w:val="68805514"/>
    <w:rsid w:val="688F4C4A"/>
    <w:rsid w:val="68EC3395"/>
    <w:rsid w:val="69185D7B"/>
    <w:rsid w:val="691F6B5E"/>
    <w:rsid w:val="692C3FBB"/>
    <w:rsid w:val="694E2071"/>
    <w:rsid w:val="69643755"/>
    <w:rsid w:val="696E54FF"/>
    <w:rsid w:val="697A3B33"/>
    <w:rsid w:val="699E2456"/>
    <w:rsid w:val="69CF09D3"/>
    <w:rsid w:val="69DE4767"/>
    <w:rsid w:val="69EF7C53"/>
    <w:rsid w:val="6A5A3E08"/>
    <w:rsid w:val="6A6229DE"/>
    <w:rsid w:val="6AD93CCF"/>
    <w:rsid w:val="6B06575F"/>
    <w:rsid w:val="6B177588"/>
    <w:rsid w:val="6B322639"/>
    <w:rsid w:val="6B735ED1"/>
    <w:rsid w:val="6BA3608B"/>
    <w:rsid w:val="6BC04E8F"/>
    <w:rsid w:val="6BF82103"/>
    <w:rsid w:val="6C243F34"/>
    <w:rsid w:val="6C2605A7"/>
    <w:rsid w:val="6C4B4758"/>
    <w:rsid w:val="6C636C38"/>
    <w:rsid w:val="6C79385B"/>
    <w:rsid w:val="6C891725"/>
    <w:rsid w:val="6CBB4514"/>
    <w:rsid w:val="6CD504C6"/>
    <w:rsid w:val="6CE876D9"/>
    <w:rsid w:val="6CF21078"/>
    <w:rsid w:val="6CF44DF0"/>
    <w:rsid w:val="6D2154B9"/>
    <w:rsid w:val="6D394EF9"/>
    <w:rsid w:val="6D7A0CA6"/>
    <w:rsid w:val="6DB34098"/>
    <w:rsid w:val="6DB545B6"/>
    <w:rsid w:val="6DC41A40"/>
    <w:rsid w:val="6E080427"/>
    <w:rsid w:val="6E2F5FB6"/>
    <w:rsid w:val="6E4375A0"/>
    <w:rsid w:val="6E514CED"/>
    <w:rsid w:val="6E79491A"/>
    <w:rsid w:val="6E7F5771"/>
    <w:rsid w:val="6EB563D5"/>
    <w:rsid w:val="6ED35661"/>
    <w:rsid w:val="6F225983"/>
    <w:rsid w:val="6F502A24"/>
    <w:rsid w:val="6F6703BF"/>
    <w:rsid w:val="6F7F25FF"/>
    <w:rsid w:val="6FA128E1"/>
    <w:rsid w:val="6FB32B15"/>
    <w:rsid w:val="6FFC5590"/>
    <w:rsid w:val="70115CB9"/>
    <w:rsid w:val="70301DA3"/>
    <w:rsid w:val="704B4533"/>
    <w:rsid w:val="704E4142"/>
    <w:rsid w:val="70606F63"/>
    <w:rsid w:val="70647DC0"/>
    <w:rsid w:val="706758D9"/>
    <w:rsid w:val="706D1DD0"/>
    <w:rsid w:val="70856B87"/>
    <w:rsid w:val="70AF2371"/>
    <w:rsid w:val="70D527EE"/>
    <w:rsid w:val="70F229A6"/>
    <w:rsid w:val="70FA6A77"/>
    <w:rsid w:val="711B4938"/>
    <w:rsid w:val="7122343C"/>
    <w:rsid w:val="71436346"/>
    <w:rsid w:val="715302D3"/>
    <w:rsid w:val="715B5300"/>
    <w:rsid w:val="715F4BD7"/>
    <w:rsid w:val="71C64881"/>
    <w:rsid w:val="71D27F8A"/>
    <w:rsid w:val="71EC6F87"/>
    <w:rsid w:val="71F744C6"/>
    <w:rsid w:val="71F960CF"/>
    <w:rsid w:val="71FF4C04"/>
    <w:rsid w:val="72850298"/>
    <w:rsid w:val="72D521A9"/>
    <w:rsid w:val="72DB0D52"/>
    <w:rsid w:val="72DC3AFD"/>
    <w:rsid w:val="73016BA5"/>
    <w:rsid w:val="731F5D5E"/>
    <w:rsid w:val="733451C0"/>
    <w:rsid w:val="7338355D"/>
    <w:rsid w:val="733D5EFF"/>
    <w:rsid w:val="73503C89"/>
    <w:rsid w:val="736E2F44"/>
    <w:rsid w:val="736F3422"/>
    <w:rsid w:val="73770529"/>
    <w:rsid w:val="737D0804"/>
    <w:rsid w:val="739B0D6D"/>
    <w:rsid w:val="73A62BBC"/>
    <w:rsid w:val="73BC5F3C"/>
    <w:rsid w:val="73C07FC5"/>
    <w:rsid w:val="73CD1EF7"/>
    <w:rsid w:val="73CE5329"/>
    <w:rsid w:val="73DC6E59"/>
    <w:rsid w:val="740F0761"/>
    <w:rsid w:val="741E793C"/>
    <w:rsid w:val="74466305"/>
    <w:rsid w:val="745C41F9"/>
    <w:rsid w:val="74A4534E"/>
    <w:rsid w:val="74DA0D6F"/>
    <w:rsid w:val="74E33939"/>
    <w:rsid w:val="751F49D4"/>
    <w:rsid w:val="75215877"/>
    <w:rsid w:val="753376D2"/>
    <w:rsid w:val="753F41ED"/>
    <w:rsid w:val="758C3ABE"/>
    <w:rsid w:val="758D75E2"/>
    <w:rsid w:val="75BF1D13"/>
    <w:rsid w:val="75DF4163"/>
    <w:rsid w:val="75E05819"/>
    <w:rsid w:val="76362189"/>
    <w:rsid w:val="76364A1F"/>
    <w:rsid w:val="765D70B6"/>
    <w:rsid w:val="767A7F9C"/>
    <w:rsid w:val="768947FB"/>
    <w:rsid w:val="76AB0865"/>
    <w:rsid w:val="76CD0B83"/>
    <w:rsid w:val="76DD06A3"/>
    <w:rsid w:val="76E557A9"/>
    <w:rsid w:val="76F25946"/>
    <w:rsid w:val="7710163B"/>
    <w:rsid w:val="77181DE6"/>
    <w:rsid w:val="77303CE0"/>
    <w:rsid w:val="77392D96"/>
    <w:rsid w:val="77472163"/>
    <w:rsid w:val="774B799D"/>
    <w:rsid w:val="7760553C"/>
    <w:rsid w:val="77726D71"/>
    <w:rsid w:val="77762421"/>
    <w:rsid w:val="777870EE"/>
    <w:rsid w:val="77CA492C"/>
    <w:rsid w:val="77D90FF4"/>
    <w:rsid w:val="780B1240"/>
    <w:rsid w:val="780F09F4"/>
    <w:rsid w:val="78285575"/>
    <w:rsid w:val="787A08FC"/>
    <w:rsid w:val="787A758F"/>
    <w:rsid w:val="787B5EDD"/>
    <w:rsid w:val="789C4F47"/>
    <w:rsid w:val="78A90480"/>
    <w:rsid w:val="78AF4030"/>
    <w:rsid w:val="78D10B92"/>
    <w:rsid w:val="78D74710"/>
    <w:rsid w:val="78E71CAD"/>
    <w:rsid w:val="78EA0B90"/>
    <w:rsid w:val="790D2BFD"/>
    <w:rsid w:val="79204C4C"/>
    <w:rsid w:val="792F71B0"/>
    <w:rsid w:val="797352EE"/>
    <w:rsid w:val="79811327"/>
    <w:rsid w:val="79A24E4F"/>
    <w:rsid w:val="7A364017"/>
    <w:rsid w:val="7A5E5F9F"/>
    <w:rsid w:val="7A8265E1"/>
    <w:rsid w:val="7A9A4854"/>
    <w:rsid w:val="7AE73B26"/>
    <w:rsid w:val="7B151EC2"/>
    <w:rsid w:val="7B686D42"/>
    <w:rsid w:val="7B745866"/>
    <w:rsid w:val="7B762E74"/>
    <w:rsid w:val="7B783090"/>
    <w:rsid w:val="7B841746"/>
    <w:rsid w:val="7B964620"/>
    <w:rsid w:val="7BE31E7A"/>
    <w:rsid w:val="7BFA03FD"/>
    <w:rsid w:val="7C1A7CA3"/>
    <w:rsid w:val="7C2D074C"/>
    <w:rsid w:val="7C431140"/>
    <w:rsid w:val="7CE11F52"/>
    <w:rsid w:val="7D0239FF"/>
    <w:rsid w:val="7D1636D9"/>
    <w:rsid w:val="7D5E40CD"/>
    <w:rsid w:val="7D693BED"/>
    <w:rsid w:val="7D810EF1"/>
    <w:rsid w:val="7D843F76"/>
    <w:rsid w:val="7D850B8D"/>
    <w:rsid w:val="7DCC76C3"/>
    <w:rsid w:val="7E162069"/>
    <w:rsid w:val="7E2701C0"/>
    <w:rsid w:val="7EAC1473"/>
    <w:rsid w:val="7EB36FA4"/>
    <w:rsid w:val="7EDC4772"/>
    <w:rsid w:val="7EDE58EE"/>
    <w:rsid w:val="7F136B0F"/>
    <w:rsid w:val="7F272C4A"/>
    <w:rsid w:val="7FC057FC"/>
    <w:rsid w:val="7FCD1A9D"/>
    <w:rsid w:val="7FE47E50"/>
    <w:rsid w:val="7FE80A85"/>
    <w:rsid w:val="7FED3970"/>
    <w:rsid w:val="7FFE28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unhideWhenUsed="0" w:uiPriority="0" w:semiHidden="0" w:name="caption" w:locked="1"/>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5"/>
    <w:qFormat/>
    <w:locked/>
    <w:uiPriority w:val="0"/>
    <w:pPr>
      <w:keepNext/>
      <w:keepLines/>
      <w:numPr>
        <w:ilvl w:val="1"/>
        <w:numId w:val="1"/>
      </w:numPr>
      <w:tabs>
        <w:tab w:val="left" w:pos="0"/>
      </w:tabs>
      <w:spacing w:before="240" w:after="60"/>
      <w:jc w:val="left"/>
      <w:outlineLvl w:val="1"/>
    </w:pPr>
    <w:rPr>
      <w:rFonts w:eastAsia="黑体"/>
      <w:bCs/>
      <w:sz w:val="28"/>
      <w:szCs w:val="30"/>
    </w:rPr>
  </w:style>
  <w:style w:type="paragraph" w:styleId="4">
    <w:name w:val="heading 3"/>
    <w:basedOn w:val="1"/>
    <w:next w:val="1"/>
    <w:qFormat/>
    <w:locked/>
    <w:uiPriority w:val="0"/>
    <w:pPr>
      <w:keepNext/>
      <w:keepLines/>
      <w:numPr>
        <w:ilvl w:val="2"/>
        <w:numId w:val="1"/>
      </w:numPr>
      <w:spacing w:line="360" w:lineRule="auto"/>
      <w:jc w:val="left"/>
      <w:outlineLvl w:val="2"/>
    </w:pPr>
    <w:rPr>
      <w:b/>
      <w:kern w:val="0"/>
      <w:sz w:val="24"/>
    </w:rPr>
  </w:style>
  <w:style w:type="paragraph" w:styleId="5">
    <w:name w:val="heading 4"/>
    <w:basedOn w:val="1"/>
    <w:next w:val="1"/>
    <w:qFormat/>
    <w:locked/>
    <w:uiPriority w:val="0"/>
    <w:pPr>
      <w:keepNext/>
      <w:keepLines/>
      <w:numPr>
        <w:ilvl w:val="3"/>
        <w:numId w:val="1"/>
      </w:numPr>
      <w:spacing w:line="360" w:lineRule="auto"/>
      <w:ind w:right="210" w:rightChars="100"/>
      <w:jc w:val="left"/>
      <w:outlineLvl w:val="3"/>
    </w:pPr>
    <w:rPr>
      <w:b/>
      <w:bCs/>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pacing w:line="360" w:lineRule="auto"/>
      <w:ind w:firstLine="480" w:firstLineChars="200"/>
    </w:pPr>
    <w:rPr>
      <w:rFonts w:ascii="宋体" w:hAnsi="宋体"/>
      <w:sz w:val="24"/>
    </w:rPr>
  </w:style>
  <w:style w:type="paragraph" w:styleId="7">
    <w:name w:val="Document Map"/>
    <w:basedOn w:val="1"/>
    <w:link w:val="91"/>
    <w:qFormat/>
    <w:uiPriority w:val="0"/>
    <w:rPr>
      <w:rFonts w:ascii="宋体"/>
      <w:sz w:val="18"/>
      <w:szCs w:val="18"/>
    </w:rPr>
  </w:style>
  <w:style w:type="paragraph" w:styleId="8">
    <w:name w:val="annotation text"/>
    <w:basedOn w:val="1"/>
    <w:link w:val="36"/>
    <w:semiHidden/>
    <w:qFormat/>
    <w:uiPriority w:val="0"/>
    <w:pPr>
      <w:jc w:val="left"/>
    </w:pPr>
    <w:rPr>
      <w:kern w:val="0"/>
      <w:sz w:val="20"/>
    </w:rPr>
  </w:style>
  <w:style w:type="paragraph" w:styleId="9">
    <w:name w:val="Body Text"/>
    <w:basedOn w:val="1"/>
    <w:link w:val="45"/>
    <w:qFormat/>
    <w:uiPriority w:val="0"/>
    <w:pPr>
      <w:widowControl/>
      <w:snapToGrid w:val="0"/>
      <w:spacing w:before="60" w:after="160" w:line="259" w:lineRule="auto"/>
      <w:ind w:right="113"/>
    </w:pPr>
    <w:rPr>
      <w:kern w:val="0"/>
      <w:sz w:val="18"/>
      <w:szCs w:val="18"/>
    </w:rPr>
  </w:style>
  <w:style w:type="paragraph" w:styleId="10">
    <w:name w:val="Body Text Indent"/>
    <w:basedOn w:val="1"/>
    <w:next w:val="11"/>
    <w:link w:val="38"/>
    <w:semiHidden/>
    <w:qFormat/>
    <w:uiPriority w:val="0"/>
    <w:pPr>
      <w:spacing w:after="120"/>
      <w:ind w:left="420" w:leftChars="200"/>
    </w:pPr>
  </w:style>
  <w:style w:type="paragraph" w:styleId="11">
    <w:name w:val="Body Text First Indent 2"/>
    <w:basedOn w:val="10"/>
    <w:next w:val="1"/>
    <w:qFormat/>
    <w:uiPriority w:val="99"/>
    <w:pPr>
      <w:ind w:firstLine="420"/>
    </w:pPr>
  </w:style>
  <w:style w:type="paragraph" w:styleId="12">
    <w:name w:val="List Bullet 5"/>
    <w:basedOn w:val="1"/>
    <w:qFormat/>
    <w:uiPriority w:val="0"/>
    <w:pPr>
      <w:numPr>
        <w:ilvl w:val="0"/>
        <w:numId w:val="2"/>
      </w:numPr>
    </w:pPr>
  </w:style>
  <w:style w:type="paragraph" w:styleId="13">
    <w:name w:val="Date"/>
    <w:basedOn w:val="1"/>
    <w:next w:val="1"/>
    <w:link w:val="39"/>
    <w:qFormat/>
    <w:uiPriority w:val="0"/>
    <w:pPr>
      <w:ind w:left="100" w:leftChars="2500"/>
    </w:pPr>
    <w:rPr>
      <w:kern w:val="0"/>
      <w:sz w:val="20"/>
    </w:rPr>
  </w:style>
  <w:style w:type="paragraph" w:styleId="14">
    <w:name w:val="Balloon Text"/>
    <w:basedOn w:val="1"/>
    <w:link w:val="40"/>
    <w:semiHidden/>
    <w:qFormat/>
    <w:uiPriority w:val="0"/>
    <w:rPr>
      <w:sz w:val="18"/>
      <w:szCs w:val="18"/>
    </w:rPr>
  </w:style>
  <w:style w:type="paragraph" w:styleId="15">
    <w:name w:val="footer"/>
    <w:basedOn w:val="1"/>
    <w:next w:val="16"/>
    <w:link w:val="41"/>
    <w:qFormat/>
    <w:uiPriority w:val="0"/>
    <w:pPr>
      <w:tabs>
        <w:tab w:val="center" w:pos="4153"/>
        <w:tab w:val="right" w:pos="8306"/>
      </w:tabs>
      <w:snapToGrid w:val="0"/>
      <w:jc w:val="left"/>
    </w:pPr>
    <w:rPr>
      <w:sz w:val="18"/>
      <w:szCs w:val="18"/>
    </w:rPr>
  </w:style>
  <w:style w:type="paragraph" w:styleId="16">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17">
    <w:name w:val="envelope return"/>
    <w:basedOn w:val="1"/>
    <w:qFormat/>
    <w:uiPriority w:val="0"/>
    <w:pPr>
      <w:snapToGrid w:val="0"/>
    </w:pPr>
    <w:rPr>
      <w:rFonts w:ascii="Arial" w:hAnsi="Arial"/>
    </w:rPr>
  </w:style>
  <w:style w:type="paragraph" w:styleId="18">
    <w:name w:val="toc 1"/>
    <w:basedOn w:val="1"/>
    <w:next w:val="1"/>
    <w:qFormat/>
    <w:locked/>
    <w:uiPriority w:val="0"/>
  </w:style>
  <w:style w:type="paragraph" w:styleId="19">
    <w:name w:val="index heading"/>
    <w:basedOn w:val="1"/>
    <w:next w:val="20"/>
    <w:qFormat/>
    <w:uiPriority w:val="99"/>
    <w:rPr>
      <w:rFonts w:ascii="Arial" w:hAnsi="Arial"/>
      <w:b/>
    </w:rPr>
  </w:style>
  <w:style w:type="paragraph" w:styleId="20">
    <w:name w:val="index 1"/>
    <w:basedOn w:val="1"/>
    <w:next w:val="1"/>
    <w:qFormat/>
    <w:uiPriority w:val="0"/>
  </w:style>
  <w:style w:type="paragraph" w:styleId="21">
    <w:name w:val="table of figures"/>
    <w:basedOn w:val="1"/>
    <w:next w:val="1"/>
    <w:qFormat/>
    <w:uiPriority w:val="0"/>
    <w:pPr>
      <w:spacing w:line="480" w:lineRule="exact"/>
      <w:ind w:firstLine="200" w:firstLineChars="200"/>
      <w:jc w:val="left"/>
    </w:pPr>
    <w:rPr>
      <w:kern w:val="0"/>
    </w:rPr>
  </w:style>
  <w:style w:type="paragraph" w:styleId="22">
    <w:name w:val="toc 2"/>
    <w:basedOn w:val="1"/>
    <w:next w:val="1"/>
    <w:unhideWhenUsed/>
    <w:qFormat/>
    <w:locked/>
    <w:uiPriority w:val="39"/>
    <w:pPr>
      <w:spacing w:line="360" w:lineRule="auto"/>
      <w:ind w:left="200" w:leftChars="200"/>
    </w:pPr>
    <w:rPr>
      <w:spacing w:val="10"/>
      <w:sz w:val="24"/>
    </w:rPr>
  </w:style>
  <w:style w:type="paragraph" w:styleId="23">
    <w:name w:val="Body Text 2"/>
    <w:basedOn w:val="1"/>
    <w:qFormat/>
    <w:uiPriority w:val="0"/>
    <w:pPr>
      <w:spacing w:after="120" w:line="480" w:lineRule="auto"/>
    </w:p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5">
    <w:name w:val="Normal (Web)"/>
    <w:basedOn w:val="1"/>
    <w:next w:val="1"/>
    <w:link w:val="43"/>
    <w:qFormat/>
    <w:uiPriority w:val="0"/>
    <w:pPr>
      <w:widowControl/>
      <w:spacing w:before="100" w:beforeAutospacing="1" w:after="100" w:afterAutospacing="1"/>
      <w:jc w:val="left"/>
    </w:pPr>
    <w:rPr>
      <w:rFonts w:ascii="宋体" w:hAnsi="宋体"/>
      <w:kern w:val="0"/>
      <w:sz w:val="24"/>
    </w:rPr>
  </w:style>
  <w:style w:type="paragraph" w:styleId="26">
    <w:name w:val="annotation subject"/>
    <w:basedOn w:val="8"/>
    <w:next w:val="8"/>
    <w:link w:val="44"/>
    <w:semiHidden/>
    <w:qFormat/>
    <w:uiPriority w:val="0"/>
    <w:rPr>
      <w:b/>
      <w:bCs/>
    </w:rPr>
  </w:style>
  <w:style w:type="paragraph" w:styleId="27">
    <w:name w:val="Body Text First Indent"/>
    <w:basedOn w:val="9"/>
    <w:qFormat/>
    <w:uiPriority w:val="0"/>
    <w:pPr>
      <w:spacing w:after="120"/>
      <w:ind w:firstLine="420" w:firstLineChars="100"/>
    </w:pPr>
    <w:rPr>
      <w:sz w:val="21"/>
      <w:szCs w:val="20"/>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locked/>
    <w:uiPriority w:val="0"/>
    <w:rPr>
      <w:b/>
    </w:rPr>
  </w:style>
  <w:style w:type="character" w:styleId="32">
    <w:name w:val="page number"/>
    <w:basedOn w:val="30"/>
    <w:qFormat/>
    <w:uiPriority w:val="0"/>
  </w:style>
  <w:style w:type="character" w:styleId="33">
    <w:name w:val="Hyperlink"/>
    <w:basedOn w:val="30"/>
    <w:qFormat/>
    <w:uiPriority w:val="0"/>
    <w:rPr>
      <w:color w:val="0000FF"/>
      <w:u w:val="single"/>
    </w:rPr>
  </w:style>
  <w:style w:type="character" w:styleId="34">
    <w:name w:val="annotation reference"/>
    <w:basedOn w:val="30"/>
    <w:semiHidden/>
    <w:qFormat/>
    <w:uiPriority w:val="0"/>
    <w:rPr>
      <w:sz w:val="21"/>
    </w:rPr>
  </w:style>
  <w:style w:type="character" w:customStyle="1" w:styleId="35">
    <w:name w:val="标题 2 Char"/>
    <w:link w:val="3"/>
    <w:qFormat/>
    <w:uiPriority w:val="0"/>
    <w:rPr>
      <w:rFonts w:ascii="Times New Roman" w:hAnsi="Times New Roman" w:eastAsia="黑体"/>
      <w:bCs/>
      <w:sz w:val="28"/>
      <w:szCs w:val="30"/>
    </w:rPr>
  </w:style>
  <w:style w:type="character" w:customStyle="1" w:styleId="36">
    <w:name w:val="批注文字 Char"/>
    <w:link w:val="8"/>
    <w:qFormat/>
    <w:locked/>
    <w:uiPriority w:val="0"/>
    <w:rPr>
      <w:rFonts w:ascii="Times New Roman" w:hAnsi="Times New Roman" w:eastAsia="宋体"/>
      <w:sz w:val="24"/>
    </w:rPr>
  </w:style>
  <w:style w:type="character" w:customStyle="1" w:styleId="37">
    <w:name w:val="Body Text Char"/>
    <w:link w:val="9"/>
    <w:qFormat/>
    <w:locked/>
    <w:uiPriority w:val="0"/>
    <w:rPr>
      <w:sz w:val="18"/>
    </w:rPr>
  </w:style>
  <w:style w:type="character" w:customStyle="1" w:styleId="38">
    <w:name w:val="正文文本缩进 Char"/>
    <w:basedOn w:val="30"/>
    <w:link w:val="10"/>
    <w:semiHidden/>
    <w:qFormat/>
    <w:locked/>
    <w:uiPriority w:val="0"/>
    <w:rPr>
      <w:rFonts w:ascii="Times New Roman" w:hAnsi="Times New Roman" w:eastAsia="宋体" w:cs="Times New Roman"/>
      <w:sz w:val="24"/>
      <w:szCs w:val="24"/>
    </w:rPr>
  </w:style>
  <w:style w:type="character" w:customStyle="1" w:styleId="39">
    <w:name w:val="日期 Char"/>
    <w:link w:val="13"/>
    <w:qFormat/>
    <w:locked/>
    <w:uiPriority w:val="0"/>
    <w:rPr>
      <w:rFonts w:ascii="Times New Roman" w:hAnsi="Times New Roman" w:eastAsia="宋体"/>
      <w:sz w:val="24"/>
    </w:rPr>
  </w:style>
  <w:style w:type="character" w:customStyle="1" w:styleId="40">
    <w:name w:val="批注框文本 Char"/>
    <w:basedOn w:val="30"/>
    <w:link w:val="14"/>
    <w:semiHidden/>
    <w:qFormat/>
    <w:locked/>
    <w:uiPriority w:val="0"/>
    <w:rPr>
      <w:rFonts w:ascii="Times New Roman" w:hAnsi="Times New Roman" w:eastAsia="宋体" w:cs="Times New Roman"/>
      <w:sz w:val="18"/>
      <w:szCs w:val="18"/>
    </w:rPr>
  </w:style>
  <w:style w:type="character" w:customStyle="1" w:styleId="41">
    <w:name w:val="页脚 Char"/>
    <w:basedOn w:val="30"/>
    <w:link w:val="15"/>
    <w:qFormat/>
    <w:locked/>
    <w:uiPriority w:val="0"/>
    <w:rPr>
      <w:rFonts w:cs="Times New Roman"/>
      <w:sz w:val="18"/>
      <w:szCs w:val="18"/>
    </w:rPr>
  </w:style>
  <w:style w:type="character" w:customStyle="1" w:styleId="42">
    <w:name w:val="页眉 Char"/>
    <w:basedOn w:val="30"/>
    <w:link w:val="16"/>
    <w:qFormat/>
    <w:locked/>
    <w:uiPriority w:val="0"/>
    <w:rPr>
      <w:rFonts w:cs="Times New Roman"/>
      <w:sz w:val="18"/>
      <w:szCs w:val="18"/>
    </w:rPr>
  </w:style>
  <w:style w:type="character" w:customStyle="1" w:styleId="43">
    <w:name w:val="普通(网站) Char1"/>
    <w:link w:val="25"/>
    <w:qFormat/>
    <w:locked/>
    <w:uiPriority w:val="0"/>
    <w:rPr>
      <w:rFonts w:ascii="宋体" w:hAnsi="宋体" w:eastAsia="宋体"/>
      <w:sz w:val="24"/>
    </w:rPr>
  </w:style>
  <w:style w:type="character" w:customStyle="1" w:styleId="44">
    <w:name w:val="批注主题 Char"/>
    <w:basedOn w:val="36"/>
    <w:link w:val="26"/>
    <w:semiHidden/>
    <w:qFormat/>
    <w:locked/>
    <w:uiPriority w:val="0"/>
    <w:rPr>
      <w:rFonts w:cs="Times New Roman"/>
      <w:b/>
      <w:bCs/>
      <w:kern w:val="2"/>
      <w:szCs w:val="24"/>
    </w:rPr>
  </w:style>
  <w:style w:type="character" w:customStyle="1" w:styleId="45">
    <w:name w:val="正文文本 Char"/>
    <w:basedOn w:val="30"/>
    <w:link w:val="9"/>
    <w:qFormat/>
    <w:uiPriority w:val="0"/>
    <w:rPr>
      <w:rFonts w:hint="default" w:ascii="Calibri" w:hAnsi="Calibri" w:eastAsia="宋体" w:cs="Times New Roman"/>
      <w:kern w:val="2"/>
      <w:sz w:val="24"/>
      <w:szCs w:val="24"/>
    </w:rPr>
  </w:style>
  <w:style w:type="paragraph" w:customStyle="1" w:styleId="46">
    <w:name w:val="正文."/>
    <w:basedOn w:val="1"/>
    <w:qFormat/>
    <w:uiPriority w:val="0"/>
  </w:style>
  <w:style w:type="paragraph" w:customStyle="1" w:styleId="47">
    <w:name w:val="样式 正文缩进正文缩进2正文缩进 Char Char正文缩进 Char Char Char Char正文缩进 Char ..."/>
    <w:basedOn w:val="6"/>
    <w:qFormat/>
    <w:uiPriority w:val="0"/>
    <w:pPr>
      <w:ind w:firstLine="200"/>
    </w:pPr>
    <w:rPr>
      <w:rFonts w:cs="宋体"/>
    </w:rPr>
  </w:style>
  <w:style w:type="paragraph" w:customStyle="1" w:styleId="48">
    <w:name w:val="Default"/>
    <w:basedOn w:val="49"/>
    <w:qFormat/>
    <w:uiPriority w:val="0"/>
    <w:pPr>
      <w:tabs>
        <w:tab w:val="left" w:pos="0"/>
      </w:tabs>
      <w:autoSpaceDE w:val="0"/>
      <w:autoSpaceDN w:val="0"/>
      <w:adjustRightInd w:val="0"/>
    </w:pPr>
    <w:rPr>
      <w:rFonts w:ascii="Times New Roman" w:hAnsi="Times New Roman" w:eastAsia="宋体"/>
      <w:color w:val="000000"/>
      <w:sz w:val="24"/>
      <w:szCs w:val="24"/>
    </w:rPr>
  </w:style>
  <w:style w:type="paragraph" w:customStyle="1" w:styleId="49">
    <w:name w:val="纯文本1"/>
    <w:basedOn w:val="1"/>
    <w:qFormat/>
    <w:uiPriority w:val="0"/>
    <w:rPr>
      <w:rFonts w:ascii="宋体" w:hAnsi="Courier New" w:eastAsia="Times New Roman"/>
      <w:szCs w:val="21"/>
    </w:rPr>
  </w:style>
  <w:style w:type="paragraph" w:customStyle="1" w:styleId="50">
    <w:name w:val="标题2"/>
    <w:basedOn w:val="3"/>
    <w:qFormat/>
    <w:uiPriority w:val="0"/>
    <w:pPr>
      <w:numPr>
        <w:numId w:val="3"/>
      </w:numPr>
      <w:spacing w:line="440" w:lineRule="exact"/>
    </w:pPr>
    <w:rPr>
      <w:kern w:val="0"/>
    </w:rPr>
  </w:style>
  <w:style w:type="paragraph" w:customStyle="1" w:styleId="51">
    <w:name w:val="1正文段落"/>
    <w:basedOn w:val="1"/>
    <w:qFormat/>
    <w:uiPriority w:val="99"/>
    <w:pPr>
      <w:spacing w:line="360" w:lineRule="auto"/>
      <w:ind w:firstLine="480" w:firstLineChars="200"/>
      <w:jc w:val="left"/>
    </w:pPr>
    <w:rPr>
      <w:snapToGrid w:val="0"/>
      <w:kern w:val="0"/>
      <w:sz w:val="24"/>
    </w:rPr>
  </w:style>
  <w:style w:type="paragraph" w:customStyle="1" w:styleId="52">
    <w:name w:val="表格"/>
    <w:basedOn w:val="53"/>
    <w:next w:val="1"/>
    <w:link w:val="54"/>
    <w:qFormat/>
    <w:uiPriority w:val="0"/>
    <w:pPr>
      <w:adjustRightInd w:val="0"/>
      <w:snapToGrid w:val="0"/>
      <w:spacing w:beforeLines="10" w:afterLines="10" w:line="259" w:lineRule="auto"/>
      <w:jc w:val="center"/>
    </w:pPr>
    <w:rPr>
      <w:kern w:val="0"/>
      <w:sz w:val="20"/>
      <w:szCs w:val="21"/>
    </w:rPr>
  </w:style>
  <w:style w:type="paragraph" w:customStyle="1" w:styleId="53">
    <w:name w:val="Normal Indent1"/>
    <w:basedOn w:val="1"/>
    <w:qFormat/>
    <w:uiPriority w:val="0"/>
    <w:pPr>
      <w:spacing w:line="600" w:lineRule="exact"/>
      <w:ind w:firstLine="420"/>
    </w:pPr>
    <w:rPr>
      <w:rFonts w:ascii="宋体"/>
      <w:sz w:val="32"/>
      <w:szCs w:val="20"/>
    </w:rPr>
  </w:style>
  <w:style w:type="character" w:customStyle="1" w:styleId="54">
    <w:name w:val="表格 Char"/>
    <w:link w:val="52"/>
    <w:qFormat/>
    <w:locked/>
    <w:uiPriority w:val="0"/>
    <w:rPr>
      <w:rFonts w:ascii="宋体"/>
      <w:sz w:val="21"/>
    </w:rPr>
  </w:style>
  <w:style w:type="character" w:customStyle="1" w:styleId="55">
    <w:name w:val="日期 字符"/>
    <w:basedOn w:val="30"/>
    <w:semiHidden/>
    <w:qFormat/>
    <w:uiPriority w:val="0"/>
    <w:rPr>
      <w:rFonts w:ascii="Times New Roman" w:hAnsi="Times New Roman" w:eastAsia="宋体" w:cs="Times New Roman"/>
      <w:sz w:val="24"/>
      <w:szCs w:val="24"/>
    </w:rPr>
  </w:style>
  <w:style w:type="character" w:customStyle="1" w:styleId="56">
    <w:name w:val="正文文本 字符1"/>
    <w:basedOn w:val="30"/>
    <w:semiHidden/>
    <w:qFormat/>
    <w:uiPriority w:val="0"/>
    <w:rPr>
      <w:rFonts w:ascii="Times New Roman" w:hAnsi="Times New Roman" w:eastAsia="宋体" w:cs="Times New Roman"/>
      <w:sz w:val="24"/>
      <w:szCs w:val="24"/>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8">
    <w:name w:val="批注文字 字符1"/>
    <w:basedOn w:val="30"/>
    <w:semiHidden/>
    <w:qFormat/>
    <w:uiPriority w:val="0"/>
    <w:rPr>
      <w:rFonts w:ascii="Times New Roman" w:hAnsi="Times New Roman" w:eastAsia="宋体" w:cs="Times New Roman"/>
      <w:sz w:val="24"/>
      <w:szCs w:val="24"/>
    </w:rPr>
  </w:style>
  <w:style w:type="character" w:customStyle="1" w:styleId="59">
    <w:name w:val="普通(网站) Char"/>
    <w:qFormat/>
    <w:locked/>
    <w:uiPriority w:val="0"/>
    <w:rPr>
      <w:rFonts w:ascii="宋体" w:hAnsi="宋体" w:eastAsia="宋体"/>
      <w:sz w:val="24"/>
    </w:rPr>
  </w:style>
  <w:style w:type="paragraph" w:customStyle="1" w:styleId="60">
    <w:name w:val="正文3"/>
    <w:basedOn w:val="1"/>
    <w:next w:val="1"/>
    <w:qFormat/>
    <w:uiPriority w:val="0"/>
    <w:pPr>
      <w:adjustRightInd w:val="0"/>
      <w:snapToGrid w:val="0"/>
      <w:spacing w:line="360" w:lineRule="auto"/>
      <w:ind w:firstLine="480" w:firstLineChars="200"/>
    </w:pPr>
    <w:rPr>
      <w:rFonts w:ascii="宋体" w:hAnsi="宋体"/>
      <w:kern w:val="0"/>
      <w:sz w:val="24"/>
    </w:rPr>
  </w:style>
  <w:style w:type="paragraph" w:customStyle="1" w:styleId="61">
    <w:name w:val="正文（缩进）"/>
    <w:basedOn w:val="62"/>
    <w:next w:val="1"/>
    <w:qFormat/>
    <w:uiPriority w:val="99"/>
    <w:pPr>
      <w:spacing w:line="360" w:lineRule="auto"/>
      <w:ind w:firstLine="480"/>
    </w:pPr>
    <w:rPr>
      <w:szCs w:val="20"/>
    </w:rPr>
  </w:style>
  <w:style w:type="paragraph" w:customStyle="1" w:styleId="62">
    <w:name w:val="正文(首行缩进)"/>
    <w:basedOn w:val="1"/>
    <w:qFormat/>
    <w:uiPriority w:val="0"/>
    <w:pPr>
      <w:spacing w:line="460" w:lineRule="exact"/>
      <w:ind w:firstLine="560" w:firstLineChars="200"/>
    </w:pPr>
    <w:rPr>
      <w:rFonts w:ascii="宋体" w:hAnsi="宋体"/>
      <w:snapToGrid w:val="0"/>
      <w:color w:val="000000"/>
      <w:kern w:val="0"/>
      <w:sz w:val="24"/>
    </w:rPr>
  </w:style>
  <w:style w:type="paragraph" w:customStyle="1" w:styleId="63">
    <w:name w:val="表格1"/>
    <w:basedOn w:val="1"/>
    <w:qFormat/>
    <w:uiPriority w:val="0"/>
    <w:pPr>
      <w:adjustRightInd w:val="0"/>
      <w:snapToGrid w:val="0"/>
      <w:jc w:val="center"/>
      <w:textAlignment w:val="baseline"/>
    </w:pPr>
    <w:rPr>
      <w:kern w:val="0"/>
      <w:szCs w:val="21"/>
    </w:rPr>
  </w:style>
  <w:style w:type="paragraph" w:customStyle="1" w:styleId="64">
    <w:name w:val="正文文字1"/>
    <w:basedOn w:val="1"/>
    <w:qFormat/>
    <w:uiPriority w:val="0"/>
    <w:pPr>
      <w:snapToGrid w:val="0"/>
      <w:spacing w:line="360" w:lineRule="auto"/>
      <w:ind w:firstLine="480" w:firstLineChars="200"/>
    </w:pPr>
  </w:style>
  <w:style w:type="paragraph" w:customStyle="1" w:styleId="65">
    <w:name w:val="正文（行首缩进2字）"/>
    <w:basedOn w:val="1"/>
    <w:qFormat/>
    <w:uiPriority w:val="0"/>
    <w:pPr>
      <w:spacing w:line="500" w:lineRule="exact"/>
    </w:pPr>
  </w:style>
  <w:style w:type="paragraph" w:styleId="66">
    <w:name w:val="Quote"/>
    <w:basedOn w:val="1"/>
    <w:next w:val="1"/>
    <w:qFormat/>
    <w:uiPriority w:val="29"/>
    <w:pPr>
      <w:spacing w:after="200" w:line="252" w:lineRule="auto"/>
    </w:pPr>
    <w:rPr>
      <w:rFonts w:ascii="Cambria" w:hAnsi="Cambria"/>
      <w:i/>
      <w:iCs/>
      <w:sz w:val="20"/>
      <w:szCs w:val="20"/>
    </w:rPr>
  </w:style>
  <w:style w:type="paragraph" w:customStyle="1" w:styleId="67">
    <w:name w:val="表格标题"/>
    <w:basedOn w:val="1"/>
    <w:qFormat/>
    <w:uiPriority w:val="99"/>
    <w:pPr>
      <w:shd w:val="clear" w:color="auto" w:fill="FFFFFF"/>
      <w:jc w:val="left"/>
    </w:pPr>
    <w:rPr>
      <w:rFonts w:ascii="黑体" w:eastAsia="黑体" w:cs="黑体"/>
      <w:kern w:val="0"/>
      <w:sz w:val="19"/>
      <w:szCs w:val="19"/>
      <w:lang w:val="zh-CN"/>
    </w:rPr>
  </w:style>
  <w:style w:type="character" w:customStyle="1" w:styleId="68">
    <w:name w:val="其他_"/>
    <w:basedOn w:val="30"/>
    <w:link w:val="69"/>
    <w:unhideWhenUsed/>
    <w:qFormat/>
    <w:locked/>
    <w:uiPriority w:val="99"/>
    <w:rPr>
      <w:rFonts w:hint="eastAsia" w:ascii="黑体" w:eastAsia="黑体"/>
      <w:sz w:val="22"/>
      <w:lang w:val="zh-CN"/>
    </w:rPr>
  </w:style>
  <w:style w:type="paragraph" w:customStyle="1" w:styleId="69">
    <w:name w:val="其他"/>
    <w:basedOn w:val="1"/>
    <w:link w:val="68"/>
    <w:unhideWhenUsed/>
    <w:qFormat/>
    <w:uiPriority w:val="99"/>
    <w:pPr>
      <w:shd w:val="clear" w:color="auto" w:fill="FFFFFF"/>
      <w:spacing w:line="437" w:lineRule="auto"/>
      <w:ind w:firstLine="400"/>
    </w:pPr>
    <w:rPr>
      <w:rFonts w:hint="eastAsia" w:ascii="黑体" w:eastAsia="黑体"/>
      <w:sz w:val="22"/>
      <w:lang w:val="zh-CN"/>
    </w:rPr>
  </w:style>
  <w:style w:type="paragraph" w:customStyle="1" w:styleId="70">
    <w:name w:val="报告表格"/>
    <w:basedOn w:val="1"/>
    <w:qFormat/>
    <w:uiPriority w:val="0"/>
    <w:pPr>
      <w:autoSpaceDE w:val="0"/>
      <w:autoSpaceDN w:val="0"/>
      <w:adjustRightInd w:val="0"/>
      <w:jc w:val="center"/>
      <w:textAlignment w:val="baseline"/>
    </w:pPr>
    <w:rPr>
      <w:kern w:val="0"/>
      <w:szCs w:val="20"/>
    </w:rPr>
  </w:style>
  <w:style w:type="character" w:customStyle="1" w:styleId="71">
    <w:name w:val="fontstyle01"/>
    <w:basedOn w:val="30"/>
    <w:qFormat/>
    <w:uiPriority w:val="0"/>
    <w:rPr>
      <w:rFonts w:ascii="宋体" w:hAnsi="宋体" w:eastAsia="宋体" w:cs="宋体"/>
      <w:color w:val="000000"/>
      <w:sz w:val="44"/>
      <w:szCs w:val="44"/>
    </w:rPr>
  </w:style>
  <w:style w:type="character" w:customStyle="1" w:styleId="72">
    <w:name w:val="fontstyle21"/>
    <w:basedOn w:val="30"/>
    <w:qFormat/>
    <w:uiPriority w:val="0"/>
    <w:rPr>
      <w:rFonts w:ascii="SimSun-ExtB" w:hAnsi="SimSun-ExtB" w:eastAsia="SimSun-ExtB" w:cs="SimSun-ExtB"/>
      <w:color w:val="000000"/>
      <w:sz w:val="24"/>
      <w:szCs w:val="24"/>
    </w:rPr>
  </w:style>
  <w:style w:type="character" w:customStyle="1" w:styleId="73">
    <w:name w:val="font21"/>
    <w:qFormat/>
    <w:uiPriority w:val="0"/>
    <w:rPr>
      <w:rFonts w:hint="eastAsia" w:ascii="宋体" w:hAnsi="宋体" w:eastAsia="宋体" w:cs="宋体"/>
      <w:color w:val="000000"/>
      <w:sz w:val="28"/>
      <w:szCs w:val="28"/>
      <w:u w:val="none"/>
      <w:vertAlign w:val="superscript"/>
    </w:rPr>
  </w:style>
  <w:style w:type="character" w:customStyle="1" w:styleId="74">
    <w:name w:val="font71"/>
    <w:qFormat/>
    <w:uiPriority w:val="0"/>
    <w:rPr>
      <w:rFonts w:hint="default" w:ascii="Times New Roman" w:hAnsi="Times New Roman" w:cs="Times New Roman"/>
      <w:color w:val="FF0000"/>
      <w:sz w:val="18"/>
      <w:szCs w:val="18"/>
      <w:u w:val="none"/>
    </w:rPr>
  </w:style>
  <w:style w:type="character" w:customStyle="1" w:styleId="75">
    <w:name w:val="font61"/>
    <w:qFormat/>
    <w:uiPriority w:val="0"/>
    <w:rPr>
      <w:rFonts w:hint="default" w:ascii="Times New Roman" w:hAnsi="Times New Roman" w:cs="Times New Roman"/>
      <w:color w:val="FF0000"/>
      <w:sz w:val="18"/>
      <w:szCs w:val="18"/>
      <w:u w:val="none"/>
      <w:vertAlign w:val="superscript"/>
    </w:rPr>
  </w:style>
  <w:style w:type="character" w:customStyle="1" w:styleId="76">
    <w:name w:val="font51"/>
    <w:qFormat/>
    <w:uiPriority w:val="0"/>
    <w:rPr>
      <w:rFonts w:hint="default" w:ascii="Times New Roman" w:hAnsi="Times New Roman" w:cs="Times New Roman"/>
      <w:color w:val="FF0000"/>
      <w:sz w:val="21"/>
      <w:szCs w:val="21"/>
      <w:u w:val="none"/>
      <w:vertAlign w:val="superscript"/>
    </w:rPr>
  </w:style>
  <w:style w:type="character" w:customStyle="1" w:styleId="77">
    <w:name w:val="font41"/>
    <w:qFormat/>
    <w:uiPriority w:val="0"/>
    <w:rPr>
      <w:rFonts w:ascii="宋体" w:hAnsi="宋体" w:eastAsia="宋体" w:cs="宋体"/>
      <w:color w:val="FF0000"/>
      <w:sz w:val="21"/>
      <w:szCs w:val="21"/>
      <w:u w:val="none"/>
    </w:rPr>
  </w:style>
  <w:style w:type="paragraph" w:customStyle="1" w:styleId="78">
    <w:name w:val="表内文字"/>
    <w:basedOn w:val="1"/>
    <w:qFormat/>
    <w:uiPriority w:val="0"/>
    <w:pPr>
      <w:jc w:val="center"/>
    </w:pPr>
    <w:rPr>
      <w:rFonts w:ascii="宋体" w:hAnsi="宋体"/>
      <w:sz w:val="18"/>
      <w:szCs w:val="18"/>
    </w:rPr>
  </w:style>
  <w:style w:type="paragraph" w:customStyle="1" w:styleId="79">
    <w:name w:val="Q"/>
    <w:basedOn w:val="1"/>
    <w:qFormat/>
    <w:uiPriority w:val="0"/>
    <w:pPr>
      <w:spacing w:line="440" w:lineRule="exact"/>
      <w:ind w:firstLine="200" w:firstLineChars="200"/>
    </w:pPr>
    <w:rPr>
      <w:bCs/>
      <w:spacing w:val="10"/>
      <w:sz w:val="24"/>
    </w:rPr>
  </w:style>
  <w:style w:type="paragraph" w:customStyle="1" w:styleId="80">
    <w:name w:val="表格内容"/>
    <w:basedOn w:val="1"/>
    <w:qFormat/>
    <w:uiPriority w:val="0"/>
    <w:pPr>
      <w:widowControl/>
      <w:jc w:val="center"/>
    </w:pPr>
    <w:rPr>
      <w:rFonts w:hint="eastAsia"/>
      <w:color w:val="000000"/>
      <w:kern w:val="0"/>
      <w:szCs w:val="21"/>
    </w:rPr>
  </w:style>
  <w:style w:type="paragraph" w:customStyle="1" w:styleId="81">
    <w:name w:val="[1]正文"/>
    <w:basedOn w:val="1"/>
    <w:qFormat/>
    <w:uiPriority w:val="0"/>
    <w:pPr>
      <w:autoSpaceDE w:val="0"/>
      <w:autoSpaceDN w:val="0"/>
      <w:ind w:firstLine="200" w:firstLineChars="200"/>
    </w:pPr>
    <w:rPr>
      <w:color w:val="000000"/>
      <w:kern w:val="0"/>
      <w:lang w:val="zh-CN"/>
    </w:rPr>
  </w:style>
  <w:style w:type="paragraph" w:customStyle="1" w:styleId="82">
    <w:name w:val="正文12"/>
    <w:basedOn w:val="83"/>
    <w:qFormat/>
    <w:uiPriority w:val="0"/>
    <w:pPr>
      <w:adjustRightInd w:val="0"/>
      <w:snapToGrid w:val="0"/>
      <w:ind w:firstLine="200"/>
      <w:jc w:val="left"/>
    </w:pPr>
    <w:rPr>
      <w:kern w:val="0"/>
      <w:szCs w:val="21"/>
    </w:rPr>
  </w:style>
  <w:style w:type="paragraph" w:customStyle="1" w:styleId="83">
    <w:name w:val="1-1文"/>
    <w:basedOn w:val="84"/>
    <w:qFormat/>
    <w:uiPriority w:val="0"/>
    <w:pPr>
      <w:ind w:firstLine="480"/>
    </w:pPr>
    <w:rPr>
      <w:color w:val="000000"/>
      <w:sz w:val="24"/>
      <w:szCs w:val="24"/>
    </w:rPr>
  </w:style>
  <w:style w:type="paragraph" w:customStyle="1" w:styleId="84">
    <w:name w:val="1-1正文"/>
    <w:basedOn w:val="85"/>
    <w:qFormat/>
    <w:uiPriority w:val="0"/>
    <w:pPr>
      <w:ind w:firstLine="420"/>
    </w:pPr>
    <w:rPr>
      <w:sz w:val="21"/>
      <w:szCs w:val="21"/>
    </w:rPr>
  </w:style>
  <w:style w:type="paragraph" w:customStyle="1" w:styleId="85">
    <w:name w:val="1-正文"/>
    <w:basedOn w:val="1"/>
    <w:qFormat/>
    <w:uiPriority w:val="0"/>
    <w:pPr>
      <w:spacing w:line="360" w:lineRule="auto"/>
      <w:ind w:firstLine="480" w:firstLineChars="200"/>
    </w:pPr>
    <w:rPr>
      <w:rFonts w:ascii="宋体" w:hAnsi="宋体"/>
      <w:sz w:val="24"/>
    </w:rPr>
  </w:style>
  <w:style w:type="paragraph" w:customStyle="1" w:styleId="86">
    <w:name w:val="环评正文"/>
    <w:basedOn w:val="1"/>
    <w:next w:val="1"/>
    <w:qFormat/>
    <w:uiPriority w:val="0"/>
    <w:pPr>
      <w:spacing w:line="360" w:lineRule="auto"/>
      <w:ind w:firstLine="200" w:firstLineChars="200"/>
    </w:pPr>
    <w:rPr>
      <w:sz w:val="24"/>
    </w:rPr>
  </w:style>
  <w:style w:type="paragraph" w:customStyle="1" w:styleId="87">
    <w:name w:val="Date1"/>
    <w:basedOn w:val="1"/>
    <w:next w:val="1"/>
    <w:qFormat/>
    <w:uiPriority w:val="0"/>
    <w:pPr>
      <w:adjustRightInd w:val="0"/>
      <w:jc w:val="left"/>
      <w:textAlignment w:val="baseline"/>
    </w:pPr>
    <w:rPr>
      <w:rFonts w:ascii="宋体" w:hAnsi="宋体"/>
      <w:sz w:val="28"/>
      <w:szCs w:val="20"/>
    </w:rPr>
  </w:style>
  <w:style w:type="paragraph" w:customStyle="1" w:styleId="88">
    <w:name w:val="Table Paragraph"/>
    <w:basedOn w:val="1"/>
    <w:qFormat/>
    <w:uiPriority w:val="1"/>
    <w:rPr>
      <w:rFonts w:eastAsia="Times New Roman"/>
      <w:lang w:val="zh-CN" w:bidi="zh-CN"/>
    </w:rPr>
  </w:style>
  <w:style w:type="character" w:customStyle="1" w:styleId="89">
    <w:name w:val="font91"/>
    <w:basedOn w:val="30"/>
    <w:qFormat/>
    <w:uiPriority w:val="0"/>
    <w:rPr>
      <w:rFonts w:hint="eastAsia" w:ascii="宋体" w:hAnsi="宋体" w:eastAsia="宋体" w:cs="宋体"/>
      <w:color w:val="000000"/>
      <w:sz w:val="20"/>
      <w:szCs w:val="20"/>
      <w:u w:val="none"/>
      <w:vertAlign w:val="subscript"/>
    </w:rPr>
  </w:style>
  <w:style w:type="paragraph" w:customStyle="1" w:styleId="90">
    <w:name w:val="正文（首行缩进两字）"/>
    <w:basedOn w:val="1"/>
    <w:qFormat/>
    <w:uiPriority w:val="0"/>
    <w:pPr>
      <w:spacing w:line="360" w:lineRule="auto"/>
      <w:ind w:firstLine="420"/>
    </w:pPr>
    <w:rPr>
      <w:sz w:val="28"/>
      <w:szCs w:val="21"/>
    </w:rPr>
  </w:style>
  <w:style w:type="character" w:customStyle="1" w:styleId="91">
    <w:name w:val="文档结构图 Char"/>
    <w:basedOn w:val="30"/>
    <w:link w:val="7"/>
    <w:qFormat/>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footer" Target="footer1.xml"/><Relationship Id="rId39" Type="http://schemas.openxmlformats.org/officeDocument/2006/relationships/image" Target="media/image24.emf"/><Relationship Id="rId38" Type="http://schemas.openxmlformats.org/officeDocument/2006/relationships/oleObject" Target="embeddings/oleObject1.bin"/><Relationship Id="rId37" Type="http://schemas.openxmlformats.org/officeDocument/2006/relationships/image" Target="media/image23.pn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wMjQ2OTExNDk1IiwKCSJHcm91cElkIiA6ICI3NTc2OTU3NzUiLAoJIkltYWdlIiA6ICJpVkJPUncwS0dnb0FBQUFOU1VoRVVnQUFBL0FBQUFJQ0NBWUFBQUJvY2lhb0FBQUFBWE5TUjBJQXJzNGM2UUFBSUFCSlJFRlVlSnpzM1hsY0Z2WCsvLy9uc0tQZ3JxR2k0cTRjTUFRckxldVllYk9QZHRTMFhGSXpMWmN5ajNieWxIWmN5eGI3a2x2Wm9tV3VtZnN4bHl4UGlhbHBtUXFLU29TNUltNll1N0pjelB6K0NLNGZsK3lHWGx6NnVQOFR2T2Q5dmVjMW1BN1BtZmU4Und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bnNyL0FYOHEyRXJ5YXZ1d0FBQUFBRWxGVGtTdVFtQ0MiLAoJIlRoZW1lIiA6ICIiLAoJIlR5cGUiIDogImZsb3ciLAoJIlVzZXJJZCIgOiAiNjU5MzM4MjIxIiwKCSJWZXJzaW9uIiA6ICIxO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105</Pages>
  <Words>10463</Words>
  <Characters>59644</Characters>
  <Lines>497</Lines>
  <Paragraphs>139</Paragraphs>
  <TotalTime>3</TotalTime>
  <ScaleCrop>false</ScaleCrop>
  <LinksUpToDate>false</LinksUpToDate>
  <CharactersWithSpaces>69968</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2025-08-21T01:17:00Z</dcterms:created>
  <dc:creator>lhj</dc:creator>
  <cp:lastModifiedBy>Administrator</cp:lastModifiedBy>
  <cp:lastPrinted>2024-02-28T08:58:00Z</cp:lastPrinted>
  <dcterms:modified xsi:type="dcterms:W3CDTF">2025-08-21T01:49:26Z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400E93808CFF4A8EBABD385D38EA7B80</vt:lpwstr>
  </property>
  <property fmtid="{D5CDD505-2E9C-101B-9397-08002B2CF9AE}" pid="4" name="KSOTemplateDocerSaveRecord">
    <vt:lpwstr>eyJoZGlkIjoiYzhkODE0ODMyYWE5NWExZWViMzIyNjljMTRkMzg5ZjYiLCJ1c2VySWQiOiI2NTkzMzgyMjEifQ==</vt:lpwstr>
  </property>
</Properties>
</file>