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彭阳县新集乡</w:t>
      </w:r>
      <w:bookmarkStart w:id="0" w:name="_Hlk147742715"/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何山村</w:t>
      </w:r>
      <w:bookmarkEnd w:id="0"/>
    </w:p>
    <w:p w14:paraId="18E5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村庄规划（2023-2035年）</w:t>
      </w:r>
    </w:p>
    <w:p w14:paraId="0B2C8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仿宋_GB2312"/>
          <w:b w:val="0"/>
          <w:bCs w:val="0"/>
          <w:sz w:val="32"/>
          <w:szCs w:val="32"/>
        </w:rPr>
      </w:pPr>
    </w:p>
    <w:p w14:paraId="5495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一、项目名称</w:t>
      </w:r>
    </w:p>
    <w:p w14:paraId="6F629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《彭阳县新集乡何山村“多规合一”实用性村庄规划（2023-2035年）》</w:t>
      </w:r>
    </w:p>
    <w:p w14:paraId="01F02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二、规划范围</w:t>
      </w:r>
    </w:p>
    <w:p w14:paraId="19187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本次规划范围为彭阳县新集乡何山村的行政辖区内的全域国土空间。国土总面积为8.02平方公里。</w:t>
      </w:r>
    </w:p>
    <w:p w14:paraId="26F5B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三、规划期限</w:t>
      </w:r>
    </w:p>
    <w:p w14:paraId="3D40F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本次村庄规划以</w:t>
      </w:r>
      <w:r>
        <w:rPr>
          <w:rFonts w:ascii="Times New Roman" w:hAnsi="Times New Roman" w:eastAsia="仿宋_GB2312"/>
          <w:b w:val="0"/>
          <w:bCs w:val="0"/>
          <w:sz w:val="32"/>
        </w:rPr>
        <w:t>202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2年为基期年，规划期限为2023-2035年，规划近期至2025年，远期至2035年。</w:t>
      </w:r>
    </w:p>
    <w:p w14:paraId="372E0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四、规划方案</w:t>
      </w:r>
    </w:p>
    <w:p w14:paraId="5AB7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1、村庄类型</w:t>
      </w:r>
    </w:p>
    <w:p w14:paraId="01611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整治改善类村庄。</w:t>
      </w:r>
    </w:p>
    <w:p w14:paraId="6F5AB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2、规划定位</w:t>
      </w:r>
    </w:p>
    <w:p w14:paraId="38C7E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bookmarkStart w:id="1" w:name="_Toc26930"/>
      <w:r>
        <w:rPr>
          <w:rFonts w:hint="eastAsia" w:ascii="Times New Roman" w:hAnsi="Times New Roman" w:eastAsia="仿宋_GB2312"/>
          <w:b w:val="0"/>
          <w:bCs w:val="0"/>
          <w:sz w:val="32"/>
        </w:rPr>
        <w:t>结合现状自然条件、区位条件、现状产业基础、区域产业布局及政策体系配套情况，以自然保护资源为前提，以农业科技为支撑，以土地综合整治、产业转型升级、人居环境整治、完善村社组织架构为抓手，同时以绿水青山、田园风光、乡土文化等资源为依托，以优化基础设施配套、塑造特色景观风貌、提升公共服务品质为目标，以生态农业和休闲旅游业融合的发展模式，在切实落实耕地保护和节约集约用地前提下，将何山村打造为宜居宜游、生态健康、休闲享受的特色农业展示基地、彭阳县生态宜居示范村。</w:t>
      </w:r>
    </w:p>
    <w:p w14:paraId="21A4F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3、国土空间</w:t>
      </w:r>
      <w:bookmarkEnd w:id="1"/>
      <w:r>
        <w:rPr>
          <w:rFonts w:hint="eastAsia" w:ascii="Times New Roman" w:hAnsi="Times New Roman" w:eastAsia="仿宋_GB2312"/>
          <w:b w:val="0"/>
          <w:bCs w:val="0"/>
          <w:sz w:val="32"/>
        </w:rPr>
        <w:t>底线管控</w:t>
      </w:r>
    </w:p>
    <w:p w14:paraId="7E49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（1）生态保护红线</w:t>
      </w:r>
    </w:p>
    <w:p w14:paraId="4598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根据彭阳县生态保护红线划定成果，何山村共划定生态保护红线共66.94公顷。</w:t>
      </w:r>
    </w:p>
    <w:p w14:paraId="0C25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（2）永久基本农田</w:t>
      </w:r>
    </w:p>
    <w:p w14:paraId="17896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落实上位规划确定的何山村永久基本农田保护面积共计442.52公顷。</w:t>
      </w:r>
    </w:p>
    <w:p w14:paraId="4DFF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（3）村庄建设边界</w:t>
      </w:r>
    </w:p>
    <w:p w14:paraId="2885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至规划期末，何山村划定村庄建设边界规模34.59公顷。</w:t>
      </w:r>
    </w:p>
    <w:p w14:paraId="61E7B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4、国土空间用地布局</w:t>
      </w:r>
    </w:p>
    <w:p w14:paraId="0619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规划城乡建设用地34.59公顷，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均为村庄建设用地</w:t>
      </w:r>
      <w:r>
        <w:rPr>
          <w:rFonts w:ascii="Times New Roman" w:hAnsi="Times New Roman" w:eastAsia="仿宋_GB2312"/>
          <w:b w:val="0"/>
          <w:bCs w:val="0"/>
          <w:sz w:val="32"/>
        </w:rPr>
        <w:t>，区域基础设施建设用地0公顷，其他建设用地0.62公顷。</w:t>
      </w:r>
    </w:p>
    <w:p w14:paraId="016D0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5、产业发展规划</w:t>
      </w:r>
    </w:p>
    <w:p w14:paraId="7618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结合何山村资源特色，发展农业的多样化产业，包括畜牧业、林业，利用农产品副产品，提高资源利用率，促进生态保护和可持续发展，同时引导村庄一三产融合发展，通过打造农产品品牌，提高产品的市场竞争力，打破传统区域限制，将农产品销售拓展到更广阔的市场。</w:t>
      </w:r>
    </w:p>
    <w:p w14:paraId="57216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规划结合村庄地理位置与资源优势，规划提出“一心一轴两片多节点”的产业空间发展格局。</w:t>
      </w:r>
    </w:p>
    <w:p w14:paraId="58F8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一心：农村三产融合发展核，以村委会为核心，打造游客服务中心及非遗文化-秦腔传承基</w:t>
      </w:r>
      <w:bookmarkStart w:id="3" w:name="_GoBack"/>
      <w:bookmarkEnd w:id="3"/>
      <w:r>
        <w:rPr>
          <w:rFonts w:hint="eastAsia" w:ascii="Times New Roman" w:hAnsi="Times New Roman" w:eastAsia="仿宋_GB2312"/>
          <w:b w:val="0"/>
          <w:bCs w:val="0"/>
          <w:sz w:val="32"/>
        </w:rPr>
        <w:t>地。</w:t>
      </w:r>
    </w:p>
    <w:p w14:paraId="38F8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一轴：乡村特色产业发展轴。串联林下经济产业片区以及特色生态农业片区，以道路为基底，打造乡村特色产业发展轴。</w:t>
      </w:r>
    </w:p>
    <w:p w14:paraId="5934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两片：林下经济产业发展片区。片区主要包括西部村域范围，以生态林地为主，可依托现有林地资源，适度发展林下经济。</w:t>
      </w:r>
    </w:p>
    <w:p w14:paraId="3248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特色生态农业发展片区。以村庄现状梯田景观、粮食种植、特色养殖为依托，发展家庭农场、田园观光旅游等产业，同时可结合现状闲置学校，发展农耕文化体验、特色养殖技术教学等。</w:t>
      </w:r>
    </w:p>
    <w:p w14:paraId="1E942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多节点：打造游客服务中心、非遗文化传习所、家庭农场、果蔬采摘基地、梯田景观旅游与观光等产业节点。</w:t>
      </w:r>
    </w:p>
    <w:p w14:paraId="0227E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bookmarkStart w:id="2" w:name="_Toc22517"/>
      <w:r>
        <w:rPr>
          <w:rFonts w:hint="eastAsia" w:ascii="Times New Roman" w:hAnsi="Times New Roman" w:eastAsia="仿宋_GB2312"/>
          <w:b w:val="0"/>
          <w:bCs w:val="0"/>
          <w:sz w:val="32"/>
        </w:rPr>
        <w:t>6、历史文化保护利用及传承</w:t>
      </w:r>
      <w:bookmarkEnd w:id="2"/>
    </w:p>
    <w:p w14:paraId="3EDAF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何山村未涉及文物保护单位。非物质文化遗产方面，现存非物质文化遗产包括唱秦腔等一些民俗活动及其他传统节日。规划将加强对非遗项目的传承保护，完善村庄内部基础设施、停车场、游客服务中心等配套建设。构建村庄观光、休闲度假、文化体验和特色民俗为一体的乡村旅游产品体系。</w:t>
      </w:r>
    </w:p>
    <w:p w14:paraId="20BA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7、用途管制</w:t>
      </w:r>
    </w:p>
    <w:p w14:paraId="25EF3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（1）</w:t>
      </w:r>
      <w:r>
        <w:rPr>
          <w:rFonts w:ascii="Times New Roman" w:hAnsi="Times New Roman" w:eastAsia="仿宋_GB2312"/>
          <w:b w:val="0"/>
          <w:bCs w:val="0"/>
          <w:sz w:val="32"/>
        </w:rPr>
        <w:t>耕地与永久基本农田</w:t>
      </w:r>
    </w:p>
    <w:p w14:paraId="2C93A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 w14:paraId="1C2A2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（2）</w:t>
      </w:r>
      <w:r>
        <w:rPr>
          <w:rFonts w:ascii="Times New Roman" w:hAnsi="Times New Roman" w:eastAsia="仿宋_GB2312"/>
          <w:b w:val="0"/>
          <w:bCs w:val="0"/>
          <w:sz w:val="32"/>
        </w:rPr>
        <w:t>生态保护管控</w:t>
      </w:r>
    </w:p>
    <w:p w14:paraId="1302D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 w14:paraId="7C54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</w:rPr>
        <w:t>（3）</w:t>
      </w:r>
      <w:r>
        <w:rPr>
          <w:rFonts w:ascii="Times New Roman" w:hAnsi="Times New Roman" w:eastAsia="仿宋_GB2312"/>
          <w:b w:val="0"/>
          <w:bCs w:val="0"/>
          <w:sz w:val="32"/>
        </w:rPr>
        <w:t>建设空间管制</w:t>
      </w:r>
    </w:p>
    <w:p w14:paraId="1237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现状村内零星的建设用地建议通过土地整理、宅基地置换等方式逐渐向村庄建设边界内集中。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规划村庄建设用地</w:t>
      </w:r>
      <w:r>
        <w:rPr>
          <w:rFonts w:ascii="Times New Roman" w:hAnsi="Times New Roman" w:eastAsia="仿宋_GB2312"/>
          <w:b w:val="0"/>
          <w:bCs w:val="0"/>
          <w:sz w:val="32"/>
        </w:rPr>
        <w:t>应按照以下规则进行村庄建设用地空间管制。</w:t>
      </w:r>
    </w:p>
    <w:p w14:paraId="2AA81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农村住宅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：</w:t>
      </w:r>
      <w:r>
        <w:rPr>
          <w:rFonts w:ascii="Times New Roman" w:hAnsi="Times New Roman" w:eastAsia="仿宋_GB2312"/>
          <w:b w:val="0"/>
          <w:bCs w:val="0"/>
          <w:sz w:val="32"/>
        </w:rPr>
        <w:t>规划新申请的宅基地，应在划定的宅基地范围内，优先利用村内空闲地、闲置宅基地和未利用地。</w:t>
      </w:r>
    </w:p>
    <w:p w14:paraId="4D9D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根据《宁夏回族自治区土地管理条例》（2022年修订版）要求，新建住宅的宅基地面积（包括附属用房、庭院用地）使用水浇地的，每户不得超过270m</w:t>
      </w:r>
      <w:r>
        <w:rPr>
          <w:rFonts w:ascii="Times New Roman" w:hAnsi="Times New Roman" w:eastAsia="仿宋_GB2312"/>
          <w:b w:val="0"/>
          <w:bCs w:val="0"/>
          <w:sz w:val="32"/>
          <w:vertAlign w:val="superscript"/>
        </w:rPr>
        <w:t>2</w:t>
      </w:r>
      <w:r>
        <w:rPr>
          <w:rFonts w:ascii="Times New Roman" w:hAnsi="Times New Roman" w:eastAsia="仿宋_GB2312"/>
          <w:b w:val="0"/>
          <w:bCs w:val="0"/>
          <w:sz w:val="32"/>
        </w:rPr>
        <w:t>；使用平川旱作耕地的，每户不得超过400m</w:t>
      </w:r>
      <w:r>
        <w:rPr>
          <w:rFonts w:ascii="Times New Roman" w:hAnsi="Times New Roman" w:eastAsia="仿宋_GB2312"/>
          <w:b w:val="0"/>
          <w:bCs w:val="0"/>
          <w:sz w:val="32"/>
          <w:vertAlign w:val="superscript"/>
        </w:rPr>
        <w:t>2</w:t>
      </w:r>
      <w:r>
        <w:rPr>
          <w:rFonts w:ascii="Times New Roman" w:hAnsi="Times New Roman" w:eastAsia="仿宋_GB2312"/>
          <w:b w:val="0"/>
          <w:bCs w:val="0"/>
          <w:sz w:val="32"/>
        </w:rPr>
        <w:t>；使用山坡地的，每户不得超过540m</w:t>
      </w:r>
      <w:r>
        <w:rPr>
          <w:rFonts w:ascii="Times New Roman" w:hAnsi="Times New Roman" w:eastAsia="仿宋_GB2312"/>
          <w:b w:val="0"/>
          <w:bCs w:val="0"/>
          <w:sz w:val="32"/>
          <w:vertAlign w:val="superscript"/>
        </w:rPr>
        <w:t>2</w:t>
      </w:r>
      <w:r>
        <w:rPr>
          <w:rFonts w:ascii="Times New Roman" w:hAnsi="Times New Roman" w:eastAsia="仿宋_GB2312"/>
          <w:b w:val="0"/>
          <w:bCs w:val="0"/>
          <w:sz w:val="32"/>
        </w:rPr>
        <w:t>。住房应体现地方特色，符合村庄整体景观风貌控制性要求。</w:t>
      </w:r>
    </w:p>
    <w:p w14:paraId="1F557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在路边新建农房时，距县道不少于10米，距乡道不少于5米，距村主要道路不少于3米；沿山体周边建设时，不得新增削坡建房，距山体护坡沿不少于6米；沿河溪建房时，距河溪边沿不少于15米。因道路退缩造成原有宅基地无法建房的，由镇、村另行规划村民集中建房用地，确保新农村建设健康有序发展。</w:t>
      </w:r>
    </w:p>
    <w:p w14:paraId="106F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产业发展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：</w:t>
      </w:r>
      <w:r>
        <w:rPr>
          <w:rFonts w:ascii="Times New Roman" w:hAnsi="Times New Roman" w:eastAsia="仿宋_GB2312"/>
          <w:b w:val="0"/>
          <w:bCs w:val="0"/>
          <w:sz w:val="32"/>
        </w:rPr>
        <w:t>经营性建设用地建筑密度需控制在70%以下，建筑高度不超过18米（若该经营性建设用地靠近文保单位，则限高需按文物保护相关控制要求进行调整），容积率不超过2.0。</w:t>
      </w:r>
    </w:p>
    <w:p w14:paraId="5EB78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经营性建设用地调整应经村民小组确认，由村委会审查同意，逐级报村庄规划原审批机关批准。</w:t>
      </w:r>
    </w:p>
    <w:p w14:paraId="46B68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基础设施和公共服务设施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：</w:t>
      </w:r>
      <w:r>
        <w:rPr>
          <w:rFonts w:ascii="Times New Roman" w:hAnsi="Times New Roman" w:eastAsia="仿宋_GB2312"/>
          <w:b w:val="0"/>
          <w:bCs w:val="0"/>
          <w:sz w:val="32"/>
        </w:rPr>
        <w:t>不得占用交通用地建房，在村内主要道路两侧建房应后退3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 w14:paraId="766D2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b w:val="0"/>
          <w:bCs w:val="0"/>
          <w:sz w:val="32"/>
        </w:rPr>
      </w:pPr>
      <w:r>
        <w:rPr>
          <w:rFonts w:ascii="Times New Roman" w:hAnsi="Times New Roman" w:eastAsia="仿宋_GB2312"/>
          <w:b w:val="0"/>
          <w:bCs w:val="0"/>
          <w:sz w:val="32"/>
        </w:rPr>
        <w:t>弹性管控</w:t>
      </w:r>
      <w:r>
        <w:rPr>
          <w:rFonts w:hint="eastAsia" w:ascii="Times New Roman" w:hAnsi="Times New Roman" w:eastAsia="仿宋_GB2312"/>
          <w:b w:val="0"/>
          <w:bCs w:val="0"/>
          <w:sz w:val="32"/>
        </w:rPr>
        <w:t>：</w:t>
      </w:r>
      <w:r>
        <w:rPr>
          <w:rFonts w:ascii="Times New Roman" w:hAnsi="Times New Roman" w:eastAsia="仿宋_GB2312"/>
          <w:b w:val="0"/>
          <w:bCs w:val="0"/>
          <w:sz w:val="32"/>
        </w:rPr>
        <w:t>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4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hanging="42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xMjQwMzI1MTZjZTY5Mjk5Y2IwMTZkODRlMmVjM2UifQ=="/>
  </w:docVars>
  <w:rsids>
    <w:rsidRoot w:val="030F48BA"/>
    <w:rsid w:val="000105A4"/>
    <w:rsid w:val="00074BA5"/>
    <w:rsid w:val="00123763"/>
    <w:rsid w:val="0020346B"/>
    <w:rsid w:val="0045167F"/>
    <w:rsid w:val="005221B0"/>
    <w:rsid w:val="005251F9"/>
    <w:rsid w:val="005E6402"/>
    <w:rsid w:val="006475CA"/>
    <w:rsid w:val="006C0A98"/>
    <w:rsid w:val="008130A3"/>
    <w:rsid w:val="0085558F"/>
    <w:rsid w:val="008A798F"/>
    <w:rsid w:val="008E76E4"/>
    <w:rsid w:val="009D3F57"/>
    <w:rsid w:val="00AC1D43"/>
    <w:rsid w:val="00B6703E"/>
    <w:rsid w:val="00BE3E5E"/>
    <w:rsid w:val="00C42DB3"/>
    <w:rsid w:val="00D13CF8"/>
    <w:rsid w:val="00EA624C"/>
    <w:rsid w:val="00F35370"/>
    <w:rsid w:val="00F801C3"/>
    <w:rsid w:val="030F48BA"/>
    <w:rsid w:val="11F25176"/>
    <w:rsid w:val="17A343A6"/>
    <w:rsid w:val="27D53962"/>
    <w:rsid w:val="3BAB2D63"/>
    <w:rsid w:val="3F244204"/>
    <w:rsid w:val="46F12261"/>
    <w:rsid w:val="49193DBE"/>
    <w:rsid w:val="4D9C14DC"/>
    <w:rsid w:val="4EAE7335"/>
    <w:rsid w:val="50D9724D"/>
    <w:rsid w:val="60A03DE8"/>
    <w:rsid w:val="6AE93DF6"/>
    <w:rsid w:val="78C623FF"/>
    <w:rsid w:val="78E36255"/>
    <w:rsid w:val="792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="50" w:beforeLines="50" w:line="360" w:lineRule="auto"/>
      <w:ind w:firstLine="0"/>
      <w:outlineLvl w:val="0"/>
    </w:pPr>
    <w:rPr>
      <w:rFonts w:ascii="宋体" w:hAnsi="宋体" w:cs="宋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="50" w:beforeLines="50" w:line="360" w:lineRule="auto"/>
      <w:ind w:left="0" w:firstLine="0" w:firstLineChars="200"/>
      <w:outlineLvl w:val="1"/>
    </w:pPr>
    <w:rPr>
      <w:rFonts w:ascii="宋体" w:hAnsi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3"/>
    <w:next w:val="1"/>
    <w:link w:val="15"/>
    <w:semiHidden/>
    <w:unhideWhenUsed/>
    <w:qFormat/>
    <w:uiPriority w:val="0"/>
    <w:pPr>
      <w:numPr>
        <w:ilvl w:val="0"/>
        <w:numId w:val="3"/>
      </w:numPr>
      <w:tabs>
        <w:tab w:val="left" w:pos="0"/>
        <w:tab w:val="clear" w:pos="420"/>
      </w:tabs>
      <w:ind w:left="0" w:firstLine="48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line="360" w:lineRule="auto"/>
      <w:ind w:firstLine="480" w:firstLineChars="200"/>
      <w:outlineLvl w:val="3"/>
    </w:pPr>
    <w:rPr>
      <w:rFonts w:ascii="宋体" w:hAnsi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标题 3 字符"/>
    <w:link w:val="4"/>
    <w:qFormat/>
    <w:uiPriority w:val="0"/>
    <w:rPr>
      <w:rFonts w:ascii="宋体" w:hAnsi="宋体" w:eastAsia="宋体"/>
      <w:b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6">
    <w:name w:val="页眉 字符"/>
    <w:basedOn w:val="14"/>
    <w:link w:val="12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14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2363</Words>
  <Characters>2441</Characters>
  <Lines>18</Lines>
  <Paragraphs>5</Paragraphs>
  <TotalTime>18</TotalTime>
  <ScaleCrop>false</ScaleCrop>
  <LinksUpToDate>false</LinksUpToDate>
  <CharactersWithSpaces>2441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2023-10-09T03:17:00Z</dcterms:created>
  <dc:creator> 猫</dc:creator>
  <cp:lastModifiedBy>俱往矣</cp:lastModifiedBy>
  <dcterms:modified xsi:type="dcterms:W3CDTF">2025-05-21T09:48:40Z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6CE504017EE04ADE845DBB7F9F1D398B_11</vt:lpwstr>
  </property>
  <property fmtid="{D5CDD505-2E9C-101B-9397-08002B2CF9AE}" pid="4" name="KSOTemplateDocerSaveRecord">
    <vt:lpwstr>eyJoZGlkIjoiN2U4ZDJjNGYxYzYxZDMwZjczNGQ1MWFkZmM3NmI0NDMiLCJ1c2VySWQiOiI2MzY0NzA0OTgifQ==</vt:lpwstr>
  </property>
</Properties>
</file>