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彭阳县王洼镇陡沟村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村庄规划（2023-2035年）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黑体" w:hAnsi="黑体" w:eastAsia="黑体" w:cs="黑体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z w:val="32"/>
          <w:szCs w:val="32"/>
        </w:rPr>
        <w:t>一、项目名称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ascii="Times New Roman" w:hAnsi="仿宋_GB2312" w:eastAsia="仿宋_GB2312"/>
          <w:b w:val="0"/>
          <w:bCs w:val="0"/>
          <w:sz w:val="32"/>
          <w:szCs w:val="32"/>
        </w:rPr>
        <w:t>《彭阳县王洼镇陡沟村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“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多规合一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”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实用性村庄规划（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2023-2035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年）》。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z w:val="32"/>
          <w:szCs w:val="32"/>
        </w:rPr>
        <w:t>二、规划范围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ascii="Times New Roman" w:hAnsi="仿宋_GB2312" w:eastAsia="仿宋_GB2312"/>
          <w:b w:val="0"/>
          <w:bCs w:val="0"/>
          <w:sz w:val="32"/>
          <w:szCs w:val="32"/>
        </w:rPr>
        <w:t>本次规划范围为彭阳县王洼镇陡沟村的行政辖区内的全域国土空间，村域国土面积为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1263.62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公顷。辖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3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个村民小组，分别为陡沟组、高老庄组、石头沟组。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z w:val="32"/>
          <w:szCs w:val="32"/>
        </w:rPr>
        <w:t>三、规划期限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ascii="Times New Roman" w:hAnsi="仿宋_GB2312" w:eastAsia="仿宋_GB2312"/>
          <w:b w:val="0"/>
          <w:bCs w:val="0"/>
          <w:sz w:val="32"/>
          <w:szCs w:val="32"/>
        </w:rPr>
        <w:t>本次村庄规划以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2022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年为基期年，规划期限为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2023-2035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年，规划近期至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2025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年，远期至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2035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z w:val="32"/>
          <w:szCs w:val="32"/>
        </w:rPr>
        <w:t>四、规划方案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_GB2312" w:hAnsi="Times New Roman" w:eastAsia="仿宋_GB2312"/>
          <w:b w:val="0"/>
          <w:bCs w:val="0"/>
          <w:sz w:val="32"/>
          <w:szCs w:val="32"/>
        </w:rPr>
      </w:pPr>
      <w:r>
        <w:rPr>
          <w:rFonts w:hint="eastAsia" w:ascii="仿宋_GB2312" w:hAnsi="Times New Roman" w:eastAsia="仿宋_GB2312"/>
          <w:b w:val="0"/>
          <w:bCs w:val="0"/>
          <w:sz w:val="32"/>
          <w:szCs w:val="32"/>
        </w:rPr>
        <w:t>1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</w:rPr>
        <w:t>、村庄类型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ascii="Times New Roman" w:hAnsi="仿宋_GB2312" w:eastAsia="仿宋_GB2312"/>
          <w:b w:val="0"/>
          <w:bCs w:val="0"/>
          <w:sz w:val="32"/>
          <w:szCs w:val="32"/>
        </w:rPr>
        <w:t>规划陡沟村为整治改善类。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_GB2312" w:hAnsi="Times New Roman" w:eastAsia="仿宋_GB2312"/>
          <w:b w:val="0"/>
          <w:bCs w:val="0"/>
          <w:sz w:val="32"/>
          <w:szCs w:val="32"/>
        </w:rPr>
      </w:pPr>
      <w:r>
        <w:rPr>
          <w:rFonts w:ascii="仿宋_GB2312" w:hAnsi="Times New Roman" w:eastAsia="仿宋_GB2312"/>
          <w:b w:val="0"/>
          <w:bCs w:val="0"/>
          <w:sz w:val="32"/>
          <w:szCs w:val="32"/>
        </w:rPr>
        <w:t>2、规划定位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ascii="Times New Roman" w:hAnsi="仿宋_GB2312" w:eastAsia="仿宋_GB2312"/>
          <w:b w:val="0"/>
          <w:bCs w:val="0"/>
          <w:sz w:val="32"/>
          <w:szCs w:val="32"/>
        </w:rPr>
        <w:t>结合陡沟村现状自然条件、区位条件、产业基础、区域产业布局及政策体系配套，以自然资源保护为前提，以农业科技为支撑，以土地综合整治、产业转型升级、人居环境整治、完善村社组织架构为抓手，在切实落实耕地保护和节约集约用地的前提下，依托优越的区位环境和良好的优势资源，将陡沟村建设成基础设施完善，环境优美，现代化农业与规模养殖业联动发展的美丽宜居新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_GB2312" w:hAnsi="Times New Roman" w:eastAsia="仿宋_GB2312"/>
          <w:b w:val="0"/>
          <w:bCs w:val="0"/>
          <w:sz w:val="32"/>
          <w:szCs w:val="32"/>
        </w:rPr>
      </w:pPr>
      <w:bookmarkStart w:id="0" w:name="_Toc26930"/>
      <w:r>
        <w:rPr>
          <w:rFonts w:ascii="仿宋_GB2312" w:hAnsi="Times New Roman" w:eastAsia="仿宋_GB2312"/>
          <w:b w:val="0"/>
          <w:bCs w:val="0"/>
          <w:sz w:val="32"/>
          <w:szCs w:val="32"/>
        </w:rPr>
        <w:t>3、国土空间</w:t>
      </w:r>
      <w:bookmarkEnd w:id="0"/>
      <w:r>
        <w:rPr>
          <w:rFonts w:ascii="仿宋_GB2312" w:hAnsi="Times New Roman" w:eastAsia="仿宋_GB2312"/>
          <w:b w:val="0"/>
          <w:bCs w:val="0"/>
          <w:sz w:val="32"/>
          <w:szCs w:val="32"/>
        </w:rPr>
        <w:t>底线管控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_GB2312" w:hAnsi="Times New Roman" w:eastAsia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/>
          <w:b w:val="0"/>
          <w:bCs w:val="0"/>
          <w:sz w:val="32"/>
          <w:szCs w:val="32"/>
        </w:rPr>
        <w:t>（</w:t>
      </w:r>
      <w:r>
        <w:rPr>
          <w:rFonts w:hint="eastAsia" w:ascii="仿宋_GB2312" w:hAnsi="Times New Roman" w:eastAsia="仿宋_GB2312"/>
          <w:b w:val="0"/>
          <w:bCs w:val="0"/>
          <w:sz w:val="32"/>
          <w:szCs w:val="32"/>
        </w:rPr>
        <w:t>1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</w:rPr>
        <w:t>）生态保护红线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ascii="Times New Roman" w:hAnsi="仿宋_GB2312" w:eastAsia="仿宋_GB2312"/>
          <w:b w:val="0"/>
          <w:bCs w:val="0"/>
          <w:sz w:val="32"/>
          <w:szCs w:val="32"/>
        </w:rPr>
        <w:t>根据彭阳县生态保护红线划定成果，本次规划的陡沟村划定生态保护红线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205.3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公顷。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_GB2312" w:hAnsi="仿宋_GB2312" w:eastAsia="仿宋_GB2312"/>
          <w:b w:val="0"/>
          <w:bCs w:val="0"/>
          <w:sz w:val="32"/>
          <w:szCs w:val="32"/>
        </w:rPr>
      </w:pPr>
      <w:r>
        <w:rPr>
          <w:rFonts w:ascii="仿宋_GB2312" w:hAnsi="仿宋_GB2312" w:eastAsia="仿宋_GB2312"/>
          <w:b w:val="0"/>
          <w:bCs w:val="0"/>
          <w:sz w:val="32"/>
          <w:szCs w:val="32"/>
        </w:rPr>
        <w:t>（2）永久基本农田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ascii="Times New Roman" w:hAnsi="仿宋_GB2312" w:eastAsia="仿宋_GB2312"/>
          <w:b w:val="0"/>
          <w:bCs w:val="0"/>
          <w:sz w:val="32"/>
          <w:szCs w:val="32"/>
        </w:rPr>
        <w:t>本次规划的陡沟村划定永久基本农田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386.78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公顷。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_GB2312" w:hAnsi="Times New Roman" w:eastAsia="仿宋_GB2312"/>
          <w:b w:val="0"/>
          <w:bCs w:val="0"/>
          <w:sz w:val="32"/>
          <w:szCs w:val="32"/>
        </w:rPr>
      </w:pPr>
      <w:r>
        <w:rPr>
          <w:rFonts w:ascii="仿宋_GB2312" w:hAnsi="Times New Roman" w:eastAsia="仿宋_GB2312"/>
          <w:b w:val="0"/>
          <w:bCs w:val="0"/>
          <w:sz w:val="32"/>
          <w:szCs w:val="32"/>
        </w:rPr>
        <w:t>4、国土空间用地布局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ascii="Times New Roman" w:hAnsi="仿宋_GB2312" w:eastAsia="仿宋_GB2312"/>
          <w:b w:val="0"/>
          <w:bCs w:val="0"/>
          <w:sz w:val="32"/>
          <w:szCs w:val="32"/>
        </w:rPr>
        <w:t>规划城乡建设用地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</w:rPr>
        <w:t>26.18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公顷，均为村庄建设用地；区域基础设施建设用地为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14.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</w:rPr>
        <w:t>36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公顷；其他建设用地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0.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</w:rPr>
        <w:t>1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公顷。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_GB2312" w:hAnsi="Times New Roman" w:eastAsia="仿宋_GB2312"/>
          <w:b w:val="0"/>
          <w:bCs w:val="0"/>
          <w:sz w:val="32"/>
          <w:szCs w:val="32"/>
        </w:rPr>
      </w:pPr>
      <w:r>
        <w:rPr>
          <w:rFonts w:ascii="仿宋_GB2312" w:hAnsi="Times New Roman" w:eastAsia="仿宋_GB2312"/>
          <w:b w:val="0"/>
          <w:bCs w:val="0"/>
          <w:sz w:val="32"/>
          <w:szCs w:val="32"/>
        </w:rPr>
        <w:t>5、产业发展规划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ascii="Times New Roman" w:hAnsi="仿宋_GB2312" w:eastAsia="仿宋_GB2312"/>
          <w:b w:val="0"/>
          <w:bCs w:val="0"/>
          <w:sz w:val="32"/>
          <w:szCs w:val="32"/>
        </w:rPr>
        <w:t>结合陡沟村产业特点和村民需求，合理安排村域各类产业用地，以提高效率、保障安全生产、便于治理污染和卫生防疫为目标，因地制宜的合理利用好村内的优质的自然资源和农业资源。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ascii="Times New Roman" w:hAnsi="仿宋_GB2312" w:eastAsia="仿宋_GB2312"/>
          <w:b w:val="0"/>
          <w:bCs w:val="0"/>
          <w:sz w:val="32"/>
          <w:szCs w:val="32"/>
        </w:rPr>
        <w:t>依托陡沟村的自然资源、农业资源，结合村庄产业发展趋势和村民生产需求，合理安排产业布局，在空间上形成有机联系、互为补充的多个产业板块。打造：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 xml:space="preserve"> “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一心引领、三片协同，多点保护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”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的产业空间布局。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ascii="Times New Roman" w:hAnsi="仿宋_GB2312" w:eastAsia="仿宋_GB2312"/>
          <w:b w:val="0"/>
          <w:bCs w:val="0"/>
          <w:sz w:val="32"/>
          <w:szCs w:val="32"/>
        </w:rPr>
        <w:t>一心：以村委会为中心的综合服务中心和民生服务中心。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ascii="Times New Roman" w:hAnsi="仿宋_GB2312" w:eastAsia="仿宋_GB2312"/>
          <w:b w:val="0"/>
          <w:bCs w:val="0"/>
          <w:sz w:val="32"/>
          <w:szCs w:val="32"/>
        </w:rPr>
        <w:t>三片：以陡沟组为片区的特色种植；高老庄组为片区的规模化种植区；石头组为片区的高效节水农业。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ascii="Times New Roman" w:hAnsi="仿宋_GB2312" w:eastAsia="仿宋_GB2312"/>
          <w:b w:val="0"/>
          <w:bCs w:val="0"/>
          <w:sz w:val="32"/>
          <w:szCs w:val="32"/>
        </w:rPr>
        <w:t>多点：结合村域生态保护红线较分散的情况，用多点、多样的保护</w:t>
      </w:r>
      <w:bookmarkStart w:id="1" w:name="_GoBack"/>
      <w:bookmarkEnd w:id="1"/>
      <w:r>
        <w:rPr>
          <w:rFonts w:ascii="Times New Roman" w:hAnsi="仿宋_GB2312" w:eastAsia="仿宋_GB2312"/>
          <w:b w:val="0"/>
          <w:bCs w:val="0"/>
          <w:sz w:val="32"/>
          <w:szCs w:val="32"/>
        </w:rPr>
        <w:t>，让保护生态成为新型产业。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_GB2312" w:hAnsi="Times New Roman" w:eastAsia="仿宋_GB2312"/>
          <w:b w:val="0"/>
          <w:bCs w:val="0"/>
          <w:sz w:val="32"/>
          <w:szCs w:val="32"/>
        </w:rPr>
      </w:pPr>
      <w:r>
        <w:rPr>
          <w:rFonts w:ascii="仿宋_GB2312" w:hAnsi="Times New Roman" w:eastAsia="仿宋_GB2312"/>
          <w:b w:val="0"/>
          <w:bCs w:val="0"/>
          <w:sz w:val="32"/>
          <w:szCs w:val="32"/>
        </w:rPr>
        <w:t>6、用途管制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_GB2312" w:hAnsi="仿宋_GB2312" w:eastAsia="仿宋_GB2312"/>
          <w:b w:val="0"/>
          <w:bCs w:val="0"/>
          <w:sz w:val="32"/>
          <w:szCs w:val="32"/>
        </w:rPr>
      </w:pPr>
      <w:r>
        <w:rPr>
          <w:rFonts w:ascii="仿宋_GB2312" w:hAnsi="仿宋_GB2312" w:eastAsia="仿宋_GB2312"/>
          <w:b w:val="0"/>
          <w:bCs w:val="0"/>
          <w:sz w:val="32"/>
          <w:szCs w:val="32"/>
        </w:rPr>
        <w:t>（1）耕地与永久基本农田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ascii="Times New Roman" w:hAnsi="仿宋_GB2312" w:eastAsia="仿宋_GB2312"/>
          <w:b w:val="0"/>
          <w:bCs w:val="0"/>
          <w:sz w:val="32"/>
          <w:szCs w:val="32"/>
        </w:rPr>
        <w:t>任何单位和个人不得擅自占用或改变用途。村民不得随意占用耕地，确需占用的，应经村民小组确认，村委会审查同意出具书面意见后，由镇政府按程序办理相关报批手续。未经批准，不得在园地、林地及其他农用地进行非农建设活动，不得进行毁林开垦、采石、挖沙、采矿、取土等活动。本村内划定的设施农用地应按规定要求兴建设施和使用土地，不得擅自或变相将设施农用地用于其他非农建设，并采取措施防止对土壤耕作层破坏和污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_GB2312" w:hAnsi="仿宋_GB2312" w:eastAsia="仿宋_GB2312"/>
          <w:b w:val="0"/>
          <w:bCs w:val="0"/>
          <w:sz w:val="32"/>
          <w:szCs w:val="32"/>
        </w:rPr>
      </w:pPr>
      <w:r>
        <w:rPr>
          <w:rFonts w:ascii="仿宋_GB2312" w:hAnsi="仿宋_GB2312" w:eastAsia="仿宋_GB2312"/>
          <w:b w:val="0"/>
          <w:bCs w:val="0"/>
          <w:sz w:val="32"/>
          <w:szCs w:val="32"/>
        </w:rPr>
        <w:t>（2）生态保护管控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ascii="Times New Roman" w:hAnsi="仿宋_GB2312" w:eastAsia="仿宋_GB2312"/>
          <w:b w:val="0"/>
          <w:bCs w:val="0"/>
          <w:sz w:val="32"/>
          <w:szCs w:val="32"/>
        </w:rPr>
        <w:t>禁止在红线范围内从事不符合国家规定的活动。严格保护村内林地、湿地、陆地水域、其他自然保留地等生态用地，不得进行破坏生态景观、污染环境的开发建设活动，做到慎砍树、禁挖山、不填湖。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_GB2312" w:hAnsi="仿宋_GB2312" w:eastAsia="仿宋_GB2312"/>
          <w:b w:val="0"/>
          <w:bCs w:val="0"/>
          <w:sz w:val="32"/>
          <w:szCs w:val="32"/>
        </w:rPr>
      </w:pPr>
      <w:r>
        <w:rPr>
          <w:rFonts w:ascii="仿宋_GB2312" w:hAnsi="仿宋_GB2312" w:eastAsia="仿宋_GB2312"/>
          <w:b w:val="0"/>
          <w:bCs w:val="0"/>
          <w:sz w:val="32"/>
          <w:szCs w:val="32"/>
        </w:rPr>
        <w:t>（3）建设空间管制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ascii="Times New Roman" w:hAnsi="仿宋_GB2312" w:eastAsia="仿宋_GB2312"/>
          <w:b w:val="0"/>
          <w:bCs w:val="0"/>
          <w:sz w:val="32"/>
          <w:szCs w:val="32"/>
        </w:rPr>
        <w:t>现状村内零星的建设用地建议通过土地整理、宅基地置换等方式逐渐向村庄建设边界内集中。规划村庄建设用地应按照以下规则进行村庄建设用地空间管制。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ascii="Times New Roman" w:hAnsi="仿宋_GB2312" w:eastAsia="仿宋_GB2312"/>
          <w:b w:val="0"/>
          <w:bCs w:val="0"/>
          <w:sz w:val="32"/>
          <w:szCs w:val="32"/>
        </w:rPr>
        <w:t>农村住宅：规划新申请的宅基地，应在划定的宅基地范围内，优先利用村内空闲地、闲置宅基地和未利用地。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ascii="Times New Roman" w:hAnsi="仿宋_GB2312" w:eastAsia="仿宋_GB2312"/>
          <w:b w:val="0"/>
          <w:bCs w:val="0"/>
          <w:sz w:val="32"/>
          <w:szCs w:val="32"/>
        </w:rPr>
        <w:t>根据《宁夏回族自治区土地管理条例》（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2022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年修订版）要求，新建住宅的宅基地面积（包括附属用房、庭院用地）使用水浇地的，每户不得超过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270</w:t>
      </w:r>
      <w:r>
        <w:rPr>
          <w:rFonts w:hint="eastAsia" w:ascii="宋体" w:hAnsi="宋体" w:cs="宋体"/>
          <w:b w:val="0"/>
          <w:bCs w:val="0"/>
          <w:sz w:val="32"/>
          <w:szCs w:val="32"/>
        </w:rPr>
        <w:t>㎡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；使用平川旱作耕地的，每户不得超过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400</w:t>
      </w:r>
      <w:r>
        <w:rPr>
          <w:rFonts w:hint="eastAsia" w:ascii="宋体" w:hAnsi="宋体" w:cs="宋体"/>
          <w:b w:val="0"/>
          <w:bCs w:val="0"/>
          <w:sz w:val="32"/>
          <w:szCs w:val="32"/>
        </w:rPr>
        <w:t>㎡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；使用山坡地的，每户不得超过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540</w:t>
      </w:r>
      <w:r>
        <w:rPr>
          <w:rFonts w:hint="eastAsia" w:ascii="宋体" w:hAnsi="宋体" w:cs="宋体"/>
          <w:b w:val="0"/>
          <w:bCs w:val="0"/>
          <w:sz w:val="32"/>
          <w:szCs w:val="32"/>
        </w:rPr>
        <w:t>㎡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。住房应体现地方特色，符合村庄整体景观风貌控制性要求。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ascii="Times New Roman" w:hAnsi="仿宋_GB2312" w:eastAsia="仿宋_GB2312"/>
          <w:b w:val="0"/>
          <w:bCs w:val="0"/>
          <w:sz w:val="32"/>
          <w:szCs w:val="32"/>
        </w:rPr>
        <w:t>在路边新建农房时，距县道不少于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10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米，距乡道不少于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5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米，距村主要道路不少于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3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米；沿山体周边建设时，不得新增削坡建房，距山体护坡沿不少于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6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米；沿河溪建房时，距河溪边沿不少于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15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米。因道路退缩造成原有宅基地无法建房的，由镇、村另行规划村民集中建房用地，确保新农村建设健康有序发展。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ascii="Times New Roman" w:hAnsi="仿宋_GB2312" w:eastAsia="仿宋_GB2312"/>
          <w:b w:val="0"/>
          <w:bCs w:val="0"/>
          <w:sz w:val="32"/>
          <w:szCs w:val="32"/>
        </w:rPr>
        <w:t>产业发展：经营性建设用地建筑密度需控制在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70%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以下，建筑高度不超过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18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米（若该经营性建设用地靠近文保单位，则限高需按文物保护相关控制要求进行调整），容积率不超过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2.0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ascii="Times New Roman" w:hAnsi="仿宋_GB2312" w:eastAsia="仿宋_GB2312"/>
          <w:b w:val="0"/>
          <w:bCs w:val="0"/>
          <w:sz w:val="32"/>
          <w:szCs w:val="32"/>
        </w:rPr>
        <w:t>经营性建设用地调整应经村民小组确认，由村委会审查同意，逐级报村庄规划原审批机关批准。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ascii="Times New Roman" w:hAnsi="仿宋_GB2312" w:eastAsia="仿宋_GB2312"/>
          <w:b w:val="0"/>
          <w:bCs w:val="0"/>
          <w:sz w:val="32"/>
          <w:szCs w:val="32"/>
        </w:rPr>
        <w:t>基础设施和公共服务设施：不得占用交通用地建房，在村内主要道路两侧建房应后退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3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米。村内供水、污水处理设施以及房屋排水接口需经村委会确认后再进行建设。村民不得随意占用垃圾收集点、公厕、污水处理设施等基础设施用地及综合服务站、基层综合性文化服务中心、卫生室、养老和教育等公共服务设施用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/>
          <w:b w:val="0"/>
          <w:bCs w:val="0"/>
          <w:sz w:val="32"/>
          <w:szCs w:val="32"/>
        </w:rPr>
      </w:pPr>
      <w:r>
        <w:rPr>
          <w:rFonts w:ascii="Times New Roman" w:hAnsi="仿宋_GB2312" w:eastAsia="仿宋_GB2312"/>
          <w:b w:val="0"/>
          <w:bCs w:val="0"/>
          <w:sz w:val="32"/>
          <w:szCs w:val="32"/>
        </w:rPr>
        <w:t>弹性管控：对规划期内确定使用，但暂时无法明确具体规划用途的建设用地，采取留白方式处理，暂不确定具体规划用地性质，为未来的布局优化、项目落地预留空间。后续使用留白用地，应符合国家和自治区相关规定要求。暂时无法明确具体地块及规模边界的项目，在用地规划图中采用点位预制的方法，表达项目的类别和意向性位置，并纳入项目清单管理，后续可根据项目建设需要再确定具体边界、规模和相应的规划管控要求。在不突破规划建设用地规模、不占用永久基本农田和生态保护红线的前提下，村庄规划中预留一定比例的建设用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146C886"/>
    <w:multiLevelType w:val="singleLevel"/>
    <w:tmpl w:val="A146C886"/>
    <w:lvl w:ilvl="0" w:tentative="0">
      <w:start w:val="1"/>
      <w:numFmt w:val="decimal"/>
      <w:pStyle w:val="4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E438E90E"/>
    <w:multiLevelType w:val="multilevel"/>
    <w:tmpl w:val="E438E90E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2">
    <w:nsid w:val="23EF4573"/>
    <w:multiLevelType w:val="multilevel"/>
    <w:tmpl w:val="23EF4573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 w:ascii="宋体" w:hAnsi="宋体" w:eastAsia="宋体" w:cs="宋体"/>
      </w:rPr>
    </w:lvl>
    <w:lvl w:ilvl="1" w:tentative="0">
      <w:start w:val="1"/>
      <w:numFmt w:val="none"/>
      <w:pStyle w:val="3"/>
      <w:lvlText w:val="(%1)"/>
      <w:lvlJc w:val="left"/>
      <w:pPr>
        <w:tabs>
          <w:tab w:val="left" w:pos="840"/>
        </w:tabs>
        <w:ind w:left="840" w:hanging="420"/>
      </w:pPr>
      <w:rPr>
        <w:rFonts w:hint="default" w:ascii="宋体" w:hAnsi="宋体" w:eastAsia="宋体" w:cs="宋体"/>
      </w:rPr>
    </w:lvl>
    <w:lvl w:ilvl="2" w:tentative="0">
      <w:start w:val="1"/>
      <w:numFmt w:val="decimal"/>
      <w:lvlText w:val="%3)"/>
      <w:lvlJc w:val="left"/>
      <w:pPr>
        <w:tabs>
          <w:tab w:val="left" w:pos="1260"/>
        </w:tabs>
        <w:ind w:left="1260" w:hanging="420"/>
      </w:pPr>
      <w:rPr>
        <w:rFonts w:hint="default" w:ascii="宋体" w:hAnsi="宋体" w:eastAsia="宋体" w:cs="宋体"/>
      </w:rPr>
    </w:lvl>
    <w:lvl w:ilvl="3" w:tentative="0">
      <w:start w:val="1"/>
      <w:numFmt w:val="lowerLetter"/>
      <w:lvlText w:val="%4."/>
      <w:lvlJc w:val="left"/>
      <w:pPr>
        <w:tabs>
          <w:tab w:val="left" w:pos="1680"/>
        </w:tabs>
        <w:ind w:left="1680" w:hanging="420"/>
      </w:pPr>
      <w:rPr>
        <w:rFonts w:hint="default" w:ascii="宋体" w:hAnsi="宋体" w:eastAsia="宋体" w:cs="宋体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 w:ascii="宋体" w:hAnsi="宋体" w:eastAsia="宋体" w:cs="宋体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 w:ascii="宋体" w:hAnsi="宋体" w:eastAsia="宋体" w:cs="宋体"/>
      </w:rPr>
    </w:lvl>
    <w:lvl w:ilvl="6" w:tentative="0">
      <w:start w:val="1"/>
      <w:numFmt w:val="lowerRoman"/>
      <w:lvlText w:val="%7)"/>
      <w:lvlJc w:val="left"/>
      <w:pPr>
        <w:tabs>
          <w:tab w:val="left" w:pos="2940"/>
        </w:tabs>
        <w:ind w:left="2940" w:hanging="420"/>
      </w:pPr>
      <w:rPr>
        <w:rFonts w:hint="default" w:ascii="宋体" w:hAnsi="宋体" w:eastAsia="宋体" w:cs="宋体"/>
      </w:rPr>
    </w:lvl>
    <w:lvl w:ilvl="7" w:tentative="0">
      <w:start w:val="1"/>
      <w:numFmt w:val="lowerLetter"/>
      <w:lvlText w:val="%8."/>
      <w:lvlJc w:val="left"/>
      <w:pPr>
        <w:tabs>
          <w:tab w:val="left" w:pos="3360"/>
        </w:tabs>
        <w:ind w:left="3360" w:hanging="420"/>
      </w:pPr>
      <w:rPr>
        <w:rFonts w:hint="default" w:ascii="宋体" w:hAnsi="宋体" w:eastAsia="宋体" w:cs="宋体"/>
      </w:rPr>
    </w:lvl>
    <w:lvl w:ilvl="8" w:tentative="0">
      <w:start w:val="1"/>
      <w:numFmt w:val="lowerLetter"/>
      <w:lvlText w:val="%9)"/>
      <w:lvlJc w:val="left"/>
      <w:pPr>
        <w:tabs>
          <w:tab w:val="left" w:pos="3780"/>
        </w:tabs>
        <w:ind w:left="3780" w:hanging="420"/>
      </w:pPr>
      <w:rPr>
        <w:rFonts w:hint="default" w:ascii="宋体" w:hAnsi="宋体" w:eastAsia="宋体" w:cs="宋体"/>
      </w:rPr>
    </w:lvl>
  </w:abstractNum>
  <w:abstractNum w:abstractNumId="3">
    <w:nsid w:val="28DFF3E3"/>
    <w:multiLevelType w:val="singleLevel"/>
    <w:tmpl w:val="28DFF3E3"/>
    <w:lvl w:ilvl="0" w:tentative="0">
      <w:start w:val="1"/>
      <w:numFmt w:val="decimal"/>
      <w:pStyle w:val="2"/>
      <w:suff w:val="nothing"/>
      <w:lvlText w:val="%1．"/>
      <w:lvlJc w:val="left"/>
      <w:pPr>
        <w:ind w:left="0" w:firstLine="400"/>
      </w:pPr>
      <w:rPr>
        <w:rFonts w:hint="default"/>
        <w:b/>
        <w:bCs/>
      </w:rPr>
    </w:lvl>
  </w:abstractNum>
  <w:abstractNum w:abstractNumId="4">
    <w:nsid w:val="58654B64"/>
    <w:multiLevelType w:val="singleLevel"/>
    <w:tmpl w:val="58654B64"/>
    <w:lvl w:ilvl="0" w:tentative="0">
      <w:start w:val="1"/>
      <w:numFmt w:val="decimal"/>
      <w:pStyle w:val="5"/>
      <w:lvlText w:val="(%1)"/>
      <w:lvlJc w:val="left"/>
      <w:pPr>
        <w:tabs>
          <w:tab w:val="left" w:pos="0"/>
        </w:tabs>
        <w:ind w:left="0" w:firstLine="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kxMjQwMzI1MTZjZTY5Mjk5Y2IwMTZkODRlMmVjM2UifQ=="/>
  </w:docVars>
  <w:rsids>
    <w:rsidRoot w:val="030F48BA"/>
    <w:rsid w:val="000C5731"/>
    <w:rsid w:val="001815C9"/>
    <w:rsid w:val="001C3A84"/>
    <w:rsid w:val="00234152"/>
    <w:rsid w:val="00336E8D"/>
    <w:rsid w:val="00375635"/>
    <w:rsid w:val="003E0041"/>
    <w:rsid w:val="0049382A"/>
    <w:rsid w:val="004F509A"/>
    <w:rsid w:val="00507561"/>
    <w:rsid w:val="005F21C6"/>
    <w:rsid w:val="0077665D"/>
    <w:rsid w:val="007B1E1A"/>
    <w:rsid w:val="007B34C7"/>
    <w:rsid w:val="007D58FF"/>
    <w:rsid w:val="007F0F06"/>
    <w:rsid w:val="007F63DB"/>
    <w:rsid w:val="008A3545"/>
    <w:rsid w:val="00984707"/>
    <w:rsid w:val="009D710E"/>
    <w:rsid w:val="00A15A23"/>
    <w:rsid w:val="00A3157F"/>
    <w:rsid w:val="00A919B9"/>
    <w:rsid w:val="00AB6C82"/>
    <w:rsid w:val="00AC2C79"/>
    <w:rsid w:val="00AE0364"/>
    <w:rsid w:val="00BB5523"/>
    <w:rsid w:val="00C51136"/>
    <w:rsid w:val="00C57A14"/>
    <w:rsid w:val="00D54C11"/>
    <w:rsid w:val="00D73119"/>
    <w:rsid w:val="00EA425A"/>
    <w:rsid w:val="00F04747"/>
    <w:rsid w:val="00FE1D92"/>
    <w:rsid w:val="0220586E"/>
    <w:rsid w:val="030F48BA"/>
    <w:rsid w:val="11F25176"/>
    <w:rsid w:val="163B0AEA"/>
    <w:rsid w:val="1E453F83"/>
    <w:rsid w:val="27D53962"/>
    <w:rsid w:val="2F194CF3"/>
    <w:rsid w:val="38FD08FD"/>
    <w:rsid w:val="3BAB2D63"/>
    <w:rsid w:val="3BD16BBF"/>
    <w:rsid w:val="3E263682"/>
    <w:rsid w:val="3F244204"/>
    <w:rsid w:val="4349180B"/>
    <w:rsid w:val="46F12261"/>
    <w:rsid w:val="49193DBE"/>
    <w:rsid w:val="4A825765"/>
    <w:rsid w:val="50D9724D"/>
    <w:rsid w:val="580C5452"/>
    <w:rsid w:val="5D163392"/>
    <w:rsid w:val="5F532459"/>
    <w:rsid w:val="6515111C"/>
    <w:rsid w:val="66C562F8"/>
    <w:rsid w:val="689C3844"/>
    <w:rsid w:val="6AE93DF6"/>
    <w:rsid w:val="6F2C471C"/>
    <w:rsid w:val="73092C77"/>
    <w:rsid w:val="74940C50"/>
    <w:rsid w:val="75AB44BA"/>
    <w:rsid w:val="78C623FF"/>
    <w:rsid w:val="78E36255"/>
    <w:rsid w:val="79231D4F"/>
    <w:rsid w:val="7B0070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napToGrid w:val="0"/>
      <w:spacing w:beforeLines="50" w:line="360" w:lineRule="auto"/>
      <w:ind w:firstLine="0"/>
      <w:outlineLvl w:val="0"/>
    </w:pPr>
    <w:rPr>
      <w:rFonts w:ascii="宋体" w:hAnsi="宋体" w:cs="宋体"/>
      <w:b/>
      <w:color w:val="000000" w:themeColor="text1"/>
      <w:kern w:val="44"/>
      <w:sz w:val="28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2"/>
      </w:numPr>
      <w:tabs>
        <w:tab w:val="left" w:pos="420"/>
        <w:tab w:val="clear" w:pos="840"/>
      </w:tabs>
      <w:adjustRightInd w:val="0"/>
      <w:spacing w:beforeLines="50" w:line="360" w:lineRule="auto"/>
      <w:ind w:left="0" w:firstLine="0" w:firstLineChars="200"/>
      <w:outlineLvl w:val="1"/>
    </w:pPr>
    <w:rPr>
      <w:rFonts w:ascii="宋体" w:hAnsi="宋体" w:cs="宋体"/>
      <w:b/>
      <w:bCs/>
      <w:color w:val="000000" w:themeColor="text1"/>
      <w:sz w:val="24"/>
      <w:szCs w:val="32"/>
    </w:rPr>
  </w:style>
  <w:style w:type="paragraph" w:styleId="4">
    <w:name w:val="heading 3"/>
    <w:basedOn w:val="3"/>
    <w:next w:val="1"/>
    <w:link w:val="16"/>
    <w:semiHidden/>
    <w:unhideWhenUsed/>
    <w:qFormat/>
    <w:uiPriority w:val="0"/>
    <w:pPr>
      <w:numPr>
        <w:ilvl w:val="0"/>
        <w:numId w:val="3"/>
      </w:numPr>
      <w:tabs>
        <w:tab w:val="left" w:pos="0"/>
        <w:tab w:val="clear" w:pos="420"/>
      </w:tabs>
      <w:ind w:left="0" w:firstLine="480"/>
      <w:outlineLvl w:val="2"/>
    </w:p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0"/>
        <w:numId w:val="4"/>
      </w:numPr>
      <w:spacing w:line="360" w:lineRule="auto"/>
      <w:ind w:firstLine="480" w:firstLineChars="200"/>
      <w:outlineLvl w:val="3"/>
    </w:pPr>
    <w:rPr>
      <w:rFonts w:ascii="宋体" w:hAnsi="宋体"/>
      <w:color w:val="000000" w:themeColor="text1"/>
      <w:sz w:val="24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5"/>
      </w:numPr>
      <w:spacing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5"/>
      </w:numPr>
      <w:spacing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5"/>
      </w:numPr>
      <w:spacing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5"/>
      </w:numPr>
      <w:spacing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5"/>
      </w:numPr>
      <w:spacing w:line="317" w:lineRule="auto"/>
      <w:outlineLvl w:val="8"/>
    </w:pPr>
    <w:rPr>
      <w:rFonts w:ascii="Arial" w:hAnsi="Arial" w:eastAsia="黑体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next w:val="1"/>
    <w:link w:val="20"/>
    <w:qFormat/>
    <w:uiPriority w:val="0"/>
    <w:pPr>
      <w:spacing w:line="360" w:lineRule="auto"/>
    </w:pPr>
    <w:rPr>
      <w:rFonts w:ascii="宋体" w:hAnsi="宋体"/>
      <w:sz w:val="28"/>
    </w:rPr>
  </w:style>
  <w:style w:type="paragraph" w:styleId="12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6">
    <w:name w:val="标题 3 Char"/>
    <w:link w:val="4"/>
    <w:qFormat/>
    <w:uiPriority w:val="0"/>
    <w:rPr>
      <w:rFonts w:ascii="宋体" w:hAnsi="宋体" w:eastAsia="宋体"/>
      <w:b/>
      <w:color w:val="000000" w:themeColor="text1"/>
      <w:sz w:val="24"/>
    </w:rPr>
  </w:style>
  <w:style w:type="character" w:customStyle="1" w:styleId="17">
    <w:name w:val="页眉 Char"/>
    <w:basedOn w:val="14"/>
    <w:link w:val="1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8">
    <w:name w:val="页脚 Char"/>
    <w:basedOn w:val="14"/>
    <w:link w:val="12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9">
    <w:name w:val="正文文本 Char"/>
    <w:basedOn w:val="14"/>
    <w:link w:val="11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20">
    <w:name w:val="正文文本 Char1"/>
    <w:link w:val="11"/>
    <w:qFormat/>
    <w:uiPriority w:val="0"/>
    <w:rPr>
      <w:rFonts w:ascii="宋体" w:hAnsi="宋体" w:eastAsia="宋体" w:cs="Times New Roman"/>
      <w:kern w:val="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321</Words>
  <Characters>1835</Characters>
  <Lines>15</Lines>
  <Paragraphs>4</Paragraphs>
  <TotalTime>150</TotalTime>
  <ScaleCrop>false</ScaleCrop>
  <LinksUpToDate>false</LinksUpToDate>
  <CharactersWithSpaces>2152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2023-10-08T08:47:00Z</dcterms:created>
  <dc:creator> 猫</dc:creator>
  <cp:lastModifiedBy>彭阳局信息员</cp:lastModifiedBy>
  <dcterms:modified xsi:type="dcterms:W3CDTF">2023-11-12T10:22:33Z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751862450B0047288B1840B1F40351E5_13</vt:lpwstr>
  </property>
</Properties>
</file>