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彭阳县王洼镇北洼村、李寨村、姚岔村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《彭阳县王洼镇北洼村、李寨村、姚岔村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本次规划范围为彭阳县王洼镇北洼村、李寨村、姚岔村的行政辖区内的全域国土空间，村域国土面积为</w:t>
      </w:r>
      <w:r>
        <w:rPr>
          <w:rFonts w:ascii="Times New Roman" w:hAnsi="Times New Roman" w:eastAsia="仿宋_GB2312"/>
          <w:b w:val="0"/>
          <w:bCs w:val="0"/>
          <w:sz w:val="32"/>
          <w:szCs w:val="32"/>
        </w:rPr>
        <w:t>3745.23</w:t>
      </w:r>
      <w:r>
        <w:rPr>
          <w:rFonts w:ascii="Times New Roman" w:hAnsi="仿宋_GB2312" w:eastAsia="仿宋_GB2312"/>
          <w:b w:val="0"/>
          <w:bCs w:val="0"/>
          <w:sz w:val="32"/>
          <w:szCs w:val="32"/>
        </w:rPr>
        <w:t>公顷，分别为北洼村</w:t>
      </w:r>
      <w:r>
        <w:rPr>
          <w:rFonts w:ascii="Times New Roman" w:hAnsi="Times New Roman" w:eastAsia="仿宋_GB2312"/>
          <w:b w:val="0"/>
          <w:bCs w:val="0"/>
          <w:sz w:val="32"/>
          <w:szCs w:val="32"/>
        </w:rPr>
        <w:t>898.93</w:t>
      </w:r>
      <w:r>
        <w:rPr>
          <w:rFonts w:ascii="Times New Roman" w:hAnsi="仿宋_GB2312" w:eastAsia="仿宋_GB2312"/>
          <w:b w:val="0"/>
          <w:bCs w:val="0"/>
          <w:sz w:val="32"/>
          <w:szCs w:val="32"/>
        </w:rPr>
        <w:t>公顷、李寨村</w:t>
      </w:r>
      <w:r>
        <w:rPr>
          <w:rFonts w:ascii="Times New Roman" w:hAnsi="Times New Roman" w:eastAsia="仿宋_GB2312"/>
          <w:b w:val="0"/>
          <w:bCs w:val="0"/>
          <w:sz w:val="32"/>
          <w:szCs w:val="32"/>
        </w:rPr>
        <w:t>1756.39</w:t>
      </w:r>
      <w:r>
        <w:rPr>
          <w:rFonts w:ascii="Times New Roman" w:hAnsi="仿宋_GB2312" w:eastAsia="仿宋_GB2312"/>
          <w:b w:val="0"/>
          <w:bCs w:val="0"/>
          <w:sz w:val="32"/>
          <w:szCs w:val="32"/>
        </w:rPr>
        <w:t>公顷、姚岔村</w:t>
      </w:r>
      <w:r>
        <w:rPr>
          <w:rFonts w:ascii="Times New Roman" w:hAnsi="Times New Roman" w:eastAsia="仿宋_GB2312"/>
          <w:b w:val="0"/>
          <w:bCs w:val="0"/>
          <w:sz w:val="32"/>
          <w:szCs w:val="32"/>
        </w:rPr>
        <w:t>1089.90</w:t>
      </w:r>
      <w:r>
        <w:rPr>
          <w:rFonts w:ascii="Times New Roman" w:hAnsi="仿宋_GB2312" w:eastAsia="仿宋_GB2312"/>
          <w:b w:val="0"/>
          <w:bCs w:val="0"/>
          <w:sz w:val="32"/>
          <w:szCs w:val="32"/>
        </w:rPr>
        <w:t>公顷。北洼村辖</w:t>
      </w:r>
      <w:r>
        <w:rPr>
          <w:rFonts w:ascii="Times New Roman" w:hAnsi="Times New Roman" w:eastAsia="仿宋_GB2312"/>
          <w:b w:val="0"/>
          <w:bCs w:val="0"/>
          <w:sz w:val="32"/>
          <w:szCs w:val="32"/>
        </w:rPr>
        <w:t>4</w:t>
      </w:r>
      <w:r>
        <w:rPr>
          <w:rFonts w:ascii="Times New Roman" w:hAnsi="仿宋_GB2312" w:eastAsia="仿宋_GB2312"/>
          <w:b w:val="0"/>
          <w:bCs w:val="0"/>
          <w:sz w:val="32"/>
          <w:szCs w:val="32"/>
        </w:rPr>
        <w:t>个村民小组，分别为万寨组、胶湾村、后沟组、北洼组；李寨村辖</w:t>
      </w:r>
      <w:r>
        <w:rPr>
          <w:rFonts w:ascii="Times New Roman" w:hAnsi="Times New Roman" w:eastAsia="仿宋_GB2312"/>
          <w:b w:val="0"/>
          <w:bCs w:val="0"/>
          <w:sz w:val="32"/>
          <w:szCs w:val="32"/>
        </w:rPr>
        <w:t>5</w:t>
      </w:r>
      <w:r>
        <w:rPr>
          <w:rFonts w:ascii="Times New Roman" w:hAnsi="仿宋_GB2312" w:eastAsia="仿宋_GB2312"/>
          <w:b w:val="0"/>
          <w:bCs w:val="0"/>
          <w:sz w:val="32"/>
          <w:szCs w:val="32"/>
        </w:rPr>
        <w:t>个村民小组，分别为豌豆沟组、雅儿沟组、水泉组、李寨组、崾岘组；姚岔村辖</w:t>
      </w:r>
      <w:r>
        <w:rPr>
          <w:rFonts w:hint="eastAsia" w:ascii="Times New Roman" w:hAnsi="Times New Roman" w:eastAsia="仿宋_GB2312"/>
          <w:b w:val="0"/>
          <w:bCs w:val="0"/>
          <w:sz w:val="32"/>
          <w:szCs w:val="32"/>
        </w:rPr>
        <w:t>2</w:t>
      </w:r>
      <w:r>
        <w:rPr>
          <w:rFonts w:ascii="Times New Roman" w:hAnsi="仿宋_GB2312" w:eastAsia="仿宋_GB2312"/>
          <w:b w:val="0"/>
          <w:bCs w:val="0"/>
          <w:sz w:val="32"/>
          <w:szCs w:val="32"/>
        </w:rPr>
        <w:t>个村民小组，分别为姚岔组、阳洼组。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bookmarkStart w:id="1" w:name="_GoBack"/>
      <w:bookmarkEnd w:id="1"/>
      <w:r>
        <w:rPr>
          <w:rFonts w:ascii="Times New Roman" w:hAnsi="仿宋_GB2312" w:eastAsia="仿宋_GB2312"/>
          <w:b w:val="0"/>
          <w:bCs w:val="0"/>
          <w:sz w:val="32"/>
          <w:szCs w:val="32"/>
        </w:rPr>
        <w:t>规划李寨村、姚岔村为集聚提升类、北洼村为城郊融合类。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北洼村、李寨村、姚岔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北洼村、李寨村、姚岔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根据彭阳县生态保护红线划定成果，本次规划的北洼村、李寨村、姚岔村无生态保护红线。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本次规划的北洼村、李寨村、姚岔村划定永久基本农田</w:t>
      </w:r>
      <w:r>
        <w:rPr>
          <w:rFonts w:ascii="Times New Roman" w:hAnsi="Times New Roman" w:eastAsia="仿宋_GB2312"/>
          <w:b w:val="0"/>
          <w:bCs w:val="0"/>
          <w:sz w:val="32"/>
          <w:szCs w:val="32"/>
        </w:rPr>
        <w:t>894.8</w:t>
      </w:r>
      <w:r>
        <w:rPr>
          <w:rFonts w:ascii="Times New Roman" w:hAnsi="仿宋_GB2312" w:eastAsia="仿宋_GB2312"/>
          <w:b w:val="0"/>
          <w:bCs w:val="0"/>
          <w:sz w:val="32"/>
          <w:szCs w:val="32"/>
        </w:rPr>
        <w:t>公顷，分别为北洼村</w:t>
      </w:r>
      <w:r>
        <w:rPr>
          <w:rFonts w:ascii="Times New Roman" w:hAnsi="Times New Roman" w:eastAsia="仿宋_GB2312"/>
          <w:b w:val="0"/>
          <w:bCs w:val="0"/>
          <w:sz w:val="32"/>
          <w:szCs w:val="32"/>
        </w:rPr>
        <w:t>159.28</w:t>
      </w:r>
      <w:r>
        <w:rPr>
          <w:rFonts w:ascii="Times New Roman" w:hAnsi="仿宋_GB2312" w:eastAsia="仿宋_GB2312"/>
          <w:b w:val="0"/>
          <w:bCs w:val="0"/>
          <w:sz w:val="32"/>
          <w:szCs w:val="32"/>
        </w:rPr>
        <w:t>公顷、李寨村</w:t>
      </w:r>
      <w:r>
        <w:rPr>
          <w:rFonts w:ascii="Times New Roman" w:hAnsi="Times New Roman" w:eastAsia="仿宋_GB2312"/>
          <w:b w:val="0"/>
          <w:bCs w:val="0"/>
          <w:sz w:val="32"/>
          <w:szCs w:val="32"/>
        </w:rPr>
        <w:t>482.03</w:t>
      </w:r>
      <w:r>
        <w:rPr>
          <w:rFonts w:ascii="Times New Roman" w:hAnsi="仿宋_GB2312" w:eastAsia="仿宋_GB2312"/>
          <w:b w:val="0"/>
          <w:bCs w:val="0"/>
          <w:sz w:val="32"/>
          <w:szCs w:val="32"/>
        </w:rPr>
        <w:t>公顷、姚岔村</w:t>
      </w:r>
      <w:r>
        <w:rPr>
          <w:rFonts w:ascii="Times New Roman" w:hAnsi="Times New Roman" w:eastAsia="仿宋_GB2312"/>
          <w:b w:val="0"/>
          <w:bCs w:val="0"/>
          <w:sz w:val="32"/>
          <w:szCs w:val="32"/>
        </w:rPr>
        <w:t>253.49</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281.48</w:t>
      </w:r>
      <w:r>
        <w:rPr>
          <w:rFonts w:ascii="Times New Roman" w:hAnsi="仿宋_GB2312" w:eastAsia="仿宋_GB2312"/>
          <w:b w:val="0"/>
          <w:bCs w:val="0"/>
          <w:sz w:val="32"/>
          <w:szCs w:val="32"/>
        </w:rPr>
        <w:t>公顷，分别为北洼村</w:t>
      </w:r>
      <w:r>
        <w:rPr>
          <w:rFonts w:hint="eastAsia" w:ascii="Times New Roman" w:hAnsi="Times New Roman" w:eastAsia="仿宋_GB2312"/>
          <w:b w:val="0"/>
          <w:bCs w:val="0"/>
          <w:sz w:val="32"/>
          <w:szCs w:val="32"/>
        </w:rPr>
        <w:t>164.10</w:t>
      </w:r>
      <w:r>
        <w:rPr>
          <w:rFonts w:ascii="Times New Roman" w:hAnsi="仿宋_GB2312" w:eastAsia="仿宋_GB2312"/>
          <w:b w:val="0"/>
          <w:bCs w:val="0"/>
          <w:sz w:val="32"/>
          <w:szCs w:val="32"/>
        </w:rPr>
        <w:t>公顷、李寨村</w:t>
      </w:r>
      <w:r>
        <w:rPr>
          <w:rFonts w:hint="eastAsia" w:ascii="Times New Roman" w:hAnsi="Times New Roman" w:eastAsia="仿宋_GB2312"/>
          <w:b w:val="0"/>
          <w:bCs w:val="0"/>
          <w:sz w:val="32"/>
          <w:szCs w:val="32"/>
        </w:rPr>
        <w:t>32.95</w:t>
      </w:r>
      <w:r>
        <w:rPr>
          <w:rFonts w:ascii="Times New Roman" w:hAnsi="仿宋_GB2312" w:eastAsia="仿宋_GB2312"/>
          <w:b w:val="0"/>
          <w:bCs w:val="0"/>
          <w:sz w:val="32"/>
          <w:szCs w:val="32"/>
        </w:rPr>
        <w:t>公顷、姚岔村</w:t>
      </w:r>
      <w:r>
        <w:rPr>
          <w:rFonts w:hint="eastAsia" w:ascii="Times New Roman" w:hAnsi="Times New Roman" w:eastAsia="仿宋_GB2312"/>
          <w:b w:val="0"/>
          <w:bCs w:val="0"/>
          <w:sz w:val="32"/>
          <w:szCs w:val="32"/>
        </w:rPr>
        <w:t>84.42</w:t>
      </w:r>
      <w:r>
        <w:rPr>
          <w:rFonts w:ascii="Times New Roman" w:hAnsi="仿宋_GB2312" w:eastAsia="仿宋_GB2312"/>
          <w:b w:val="0"/>
          <w:bCs w:val="0"/>
          <w:sz w:val="32"/>
          <w:szCs w:val="32"/>
        </w:rPr>
        <w:t>公顷</w:t>
      </w:r>
      <w:r>
        <w:rPr>
          <w:rFonts w:hint="eastAsia" w:ascii="Times New Roman" w:hAnsi="仿宋_GB2312" w:eastAsia="仿宋_GB2312"/>
          <w:b w:val="0"/>
          <w:bCs w:val="0"/>
          <w:sz w:val="32"/>
          <w:szCs w:val="32"/>
        </w:rPr>
        <w:t>，其中</w:t>
      </w:r>
      <w:r>
        <w:rPr>
          <w:rFonts w:hint="eastAsia" w:ascii="仿宋_GB2312" w:hAnsi="仿宋_GB2312" w:eastAsia="仿宋_GB2312" w:cs="仿宋_GB2312"/>
          <w:b w:val="0"/>
          <w:bCs w:val="0"/>
          <w:sz w:val="32"/>
          <w:szCs w:val="32"/>
        </w:rPr>
        <w:t>城镇建设用地为</w:t>
      </w:r>
      <w:r>
        <w:rPr>
          <w:rFonts w:hint="eastAsia" w:ascii="Times New Roman" w:hAnsi="Times New Roman" w:eastAsia="仿宋_GB2312"/>
          <w:b w:val="0"/>
          <w:bCs w:val="0"/>
          <w:sz w:val="32"/>
          <w:szCs w:val="32"/>
        </w:rPr>
        <w:t>133.08</w:t>
      </w:r>
      <w:r>
        <w:rPr>
          <w:rFonts w:hint="eastAsia" w:ascii="仿宋_GB2312" w:hAnsi="仿宋_GB2312" w:eastAsia="仿宋_GB2312" w:cs="仿宋_GB2312"/>
          <w:b w:val="0"/>
          <w:bCs w:val="0"/>
          <w:sz w:val="32"/>
          <w:szCs w:val="32"/>
        </w:rPr>
        <w:t>公顷，</w:t>
      </w:r>
      <w:r>
        <w:rPr>
          <w:rFonts w:ascii="Times New Roman" w:hAnsi="仿宋_GB2312" w:eastAsia="仿宋_GB2312"/>
          <w:b w:val="0"/>
          <w:bCs w:val="0"/>
          <w:sz w:val="32"/>
          <w:szCs w:val="32"/>
        </w:rPr>
        <w:t>分别为北洼村</w:t>
      </w:r>
      <w:r>
        <w:rPr>
          <w:rFonts w:hint="eastAsia" w:ascii="Times New Roman" w:hAnsi="Times New Roman" w:eastAsia="仿宋_GB2312"/>
          <w:b w:val="0"/>
          <w:bCs w:val="0"/>
          <w:sz w:val="32"/>
          <w:szCs w:val="32"/>
        </w:rPr>
        <w:t>123.01</w:t>
      </w:r>
      <w:r>
        <w:rPr>
          <w:rFonts w:ascii="Times New Roman" w:hAnsi="仿宋_GB2312" w:eastAsia="仿宋_GB2312"/>
          <w:b w:val="0"/>
          <w:bCs w:val="0"/>
          <w:sz w:val="32"/>
          <w:szCs w:val="32"/>
        </w:rPr>
        <w:t>公顷、姚岔村</w:t>
      </w:r>
      <w:r>
        <w:rPr>
          <w:rFonts w:hint="eastAsia" w:ascii="Times New Roman" w:hAnsi="Times New Roman" w:eastAsia="仿宋_GB2312"/>
          <w:b w:val="0"/>
          <w:bCs w:val="0"/>
          <w:sz w:val="32"/>
          <w:szCs w:val="32"/>
        </w:rPr>
        <w:t>10.07</w:t>
      </w:r>
      <w:r>
        <w:rPr>
          <w:rFonts w:ascii="Times New Roman" w:hAnsi="仿宋_GB2312" w:eastAsia="仿宋_GB2312"/>
          <w:b w:val="0"/>
          <w:bCs w:val="0"/>
          <w:sz w:val="32"/>
          <w:szCs w:val="32"/>
        </w:rPr>
        <w:t>公顷</w:t>
      </w:r>
      <w:r>
        <w:rPr>
          <w:rFonts w:hint="eastAsia" w:ascii="仿宋_GB2312" w:hAnsi="仿宋_GB2312" w:eastAsia="仿宋_GB2312" w:cs="仿宋_GB2312"/>
          <w:b w:val="0"/>
          <w:bCs w:val="0"/>
          <w:sz w:val="32"/>
          <w:szCs w:val="32"/>
        </w:rPr>
        <w:t>，村庄建设用地为</w:t>
      </w:r>
      <w:r>
        <w:rPr>
          <w:rFonts w:hint="eastAsia" w:ascii="Times New Roman" w:hAnsi="Times New Roman" w:eastAsia="仿宋_GB2312"/>
          <w:b w:val="0"/>
          <w:bCs w:val="0"/>
          <w:sz w:val="32"/>
          <w:szCs w:val="32"/>
        </w:rPr>
        <w:t>148.4</w:t>
      </w:r>
      <w:r>
        <w:rPr>
          <w:rFonts w:hint="eastAsia" w:ascii="仿宋_GB2312" w:hAnsi="仿宋_GB2312" w:eastAsia="仿宋_GB2312" w:cs="仿宋_GB2312"/>
          <w:b w:val="0"/>
          <w:bCs w:val="0"/>
          <w:sz w:val="32"/>
          <w:szCs w:val="32"/>
        </w:rPr>
        <w:t>公顷，</w:t>
      </w:r>
      <w:r>
        <w:rPr>
          <w:rFonts w:ascii="Times New Roman" w:hAnsi="仿宋_GB2312" w:eastAsia="仿宋_GB2312"/>
          <w:b w:val="0"/>
          <w:bCs w:val="0"/>
          <w:sz w:val="32"/>
          <w:szCs w:val="32"/>
        </w:rPr>
        <w:t>分别为北洼村</w:t>
      </w:r>
      <w:r>
        <w:rPr>
          <w:rFonts w:hint="eastAsia" w:ascii="Times New Roman" w:hAnsi="Times New Roman" w:eastAsia="仿宋_GB2312"/>
          <w:b w:val="0"/>
          <w:bCs w:val="0"/>
          <w:sz w:val="32"/>
          <w:szCs w:val="32"/>
        </w:rPr>
        <w:t>41.10</w:t>
      </w:r>
      <w:r>
        <w:rPr>
          <w:rFonts w:ascii="Times New Roman" w:hAnsi="仿宋_GB2312" w:eastAsia="仿宋_GB2312"/>
          <w:b w:val="0"/>
          <w:bCs w:val="0"/>
          <w:sz w:val="32"/>
          <w:szCs w:val="32"/>
        </w:rPr>
        <w:t>公顷、李寨村</w:t>
      </w:r>
      <w:r>
        <w:rPr>
          <w:rFonts w:hint="eastAsia" w:ascii="Times New Roman" w:hAnsi="Times New Roman" w:eastAsia="仿宋_GB2312"/>
          <w:b w:val="0"/>
          <w:bCs w:val="0"/>
          <w:sz w:val="32"/>
          <w:szCs w:val="32"/>
        </w:rPr>
        <w:t>32.95</w:t>
      </w:r>
      <w:r>
        <w:rPr>
          <w:rFonts w:ascii="Times New Roman" w:hAnsi="仿宋_GB2312" w:eastAsia="仿宋_GB2312"/>
          <w:b w:val="0"/>
          <w:bCs w:val="0"/>
          <w:sz w:val="32"/>
          <w:szCs w:val="32"/>
        </w:rPr>
        <w:t>公顷、姚岔村</w:t>
      </w:r>
      <w:r>
        <w:rPr>
          <w:rFonts w:hint="eastAsia" w:ascii="Times New Roman" w:hAnsi="Times New Roman" w:eastAsia="仿宋_GB2312"/>
          <w:b w:val="0"/>
          <w:bCs w:val="0"/>
          <w:sz w:val="32"/>
          <w:szCs w:val="32"/>
        </w:rPr>
        <w:t>74.35</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110.12</w:t>
      </w:r>
      <w:r>
        <w:rPr>
          <w:rFonts w:ascii="Times New Roman" w:hAnsi="仿宋_GB2312" w:eastAsia="仿宋_GB2312"/>
          <w:b w:val="0"/>
          <w:bCs w:val="0"/>
          <w:sz w:val="32"/>
          <w:szCs w:val="32"/>
        </w:rPr>
        <w:t>公顷，分别为北洼村</w:t>
      </w:r>
      <w:r>
        <w:rPr>
          <w:rFonts w:hint="eastAsia" w:ascii="Times New Roman" w:hAnsi="Times New Roman" w:eastAsia="仿宋_GB2312"/>
          <w:b w:val="0"/>
          <w:bCs w:val="0"/>
          <w:sz w:val="32"/>
          <w:szCs w:val="32"/>
        </w:rPr>
        <w:t>38.22</w:t>
      </w:r>
      <w:r>
        <w:rPr>
          <w:rFonts w:ascii="Times New Roman" w:hAnsi="仿宋_GB2312" w:eastAsia="仿宋_GB2312"/>
          <w:b w:val="0"/>
          <w:bCs w:val="0"/>
          <w:sz w:val="32"/>
          <w:szCs w:val="32"/>
        </w:rPr>
        <w:t>公顷、李寨村</w:t>
      </w:r>
      <w:r>
        <w:rPr>
          <w:rFonts w:hint="eastAsia" w:ascii="Times New Roman" w:hAnsi="Times New Roman" w:eastAsia="仿宋_GB2312"/>
          <w:b w:val="0"/>
          <w:bCs w:val="0"/>
          <w:sz w:val="32"/>
          <w:szCs w:val="32"/>
        </w:rPr>
        <w:t>8.78</w:t>
      </w:r>
      <w:r>
        <w:rPr>
          <w:rFonts w:ascii="Times New Roman" w:hAnsi="仿宋_GB2312" w:eastAsia="仿宋_GB2312"/>
          <w:b w:val="0"/>
          <w:bCs w:val="0"/>
          <w:sz w:val="32"/>
          <w:szCs w:val="32"/>
        </w:rPr>
        <w:t>公顷、姚岔村</w:t>
      </w:r>
      <w:r>
        <w:rPr>
          <w:rFonts w:hint="eastAsia" w:ascii="Times New Roman" w:hAnsi="Times New Roman" w:eastAsia="仿宋_GB2312"/>
          <w:b w:val="0"/>
          <w:bCs w:val="0"/>
          <w:sz w:val="32"/>
          <w:szCs w:val="32"/>
        </w:rPr>
        <w:t>63.12</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11.39</w:t>
      </w:r>
      <w:r>
        <w:rPr>
          <w:rFonts w:ascii="Times New Roman" w:hAnsi="仿宋_GB2312" w:eastAsia="仿宋_GB2312"/>
          <w:b w:val="0"/>
          <w:bCs w:val="0"/>
          <w:sz w:val="32"/>
          <w:szCs w:val="32"/>
        </w:rPr>
        <w:t>公顷，分别为北洼村</w:t>
      </w:r>
      <w:r>
        <w:rPr>
          <w:rFonts w:hint="eastAsia" w:ascii="Times New Roman" w:hAnsi="Times New Roman" w:eastAsia="仿宋_GB2312"/>
          <w:b w:val="0"/>
          <w:bCs w:val="0"/>
          <w:sz w:val="32"/>
          <w:szCs w:val="32"/>
        </w:rPr>
        <w:t>10.68</w:t>
      </w:r>
      <w:r>
        <w:rPr>
          <w:rFonts w:ascii="Times New Roman" w:hAnsi="仿宋_GB2312" w:eastAsia="仿宋_GB2312"/>
          <w:b w:val="0"/>
          <w:bCs w:val="0"/>
          <w:sz w:val="32"/>
          <w:szCs w:val="32"/>
        </w:rPr>
        <w:t>公顷、李寨村</w:t>
      </w:r>
      <w:r>
        <w:rPr>
          <w:rFonts w:hint="eastAsia" w:ascii="Times New Roman" w:hAnsi="Times New Roman" w:eastAsia="仿宋_GB2312"/>
          <w:b w:val="0"/>
          <w:bCs w:val="0"/>
          <w:sz w:val="32"/>
          <w:szCs w:val="32"/>
        </w:rPr>
        <w:t>0.43</w:t>
      </w:r>
      <w:r>
        <w:rPr>
          <w:rFonts w:ascii="Times New Roman" w:hAnsi="仿宋_GB2312" w:eastAsia="仿宋_GB2312"/>
          <w:b w:val="0"/>
          <w:bCs w:val="0"/>
          <w:sz w:val="32"/>
          <w:szCs w:val="32"/>
        </w:rPr>
        <w:t>公顷、姚岔村</w:t>
      </w:r>
      <w:r>
        <w:rPr>
          <w:rFonts w:hint="eastAsia" w:ascii="Times New Roman" w:hAnsi="Times New Roman" w:eastAsia="仿宋_GB2312"/>
          <w:b w:val="0"/>
          <w:bCs w:val="0"/>
          <w:sz w:val="32"/>
          <w:szCs w:val="32"/>
        </w:rPr>
        <w:t>0.28</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结合北洼村、李寨村、姚岔村产业特点和村民需求，合理安排村域各类产业用地，以提高效率、保障安全生产、便于治理污染和卫生防疫为目标，因地制宜的合理利用好村内的优质的自然资源和农业资源。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依托北洼村、李寨村、姚岔村的自然资源、农业资源，结合村庄产业发展趋势和村民生产需求，合理安排产业布局，在空间上形成有机联系、互为补充的多个产业板块。打造：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三心、一轴、多片区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三心：以北洼村、李寨村、姚岔村村委会驻地及周边公共服务设施为依托的民生和综合服务中心。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一轴：以连接北洼村、李寨村、姚岔村之间的主要村道为主的经济发展轴；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kern w:val="0"/>
          <w:sz w:val="32"/>
          <w:szCs w:val="32"/>
          <w:shd w:val="clear" w:color="auto" w:fill="FFFFFF"/>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73F66"/>
    <w:rsid w:val="001108E2"/>
    <w:rsid w:val="001227FB"/>
    <w:rsid w:val="00234152"/>
    <w:rsid w:val="002F27EF"/>
    <w:rsid w:val="00320C42"/>
    <w:rsid w:val="00325102"/>
    <w:rsid w:val="003639A5"/>
    <w:rsid w:val="003A0F8A"/>
    <w:rsid w:val="003D4B2C"/>
    <w:rsid w:val="00444AC4"/>
    <w:rsid w:val="004464B1"/>
    <w:rsid w:val="00482D36"/>
    <w:rsid w:val="0049382A"/>
    <w:rsid w:val="004D2A3B"/>
    <w:rsid w:val="004F509A"/>
    <w:rsid w:val="00530669"/>
    <w:rsid w:val="00581EED"/>
    <w:rsid w:val="00606A35"/>
    <w:rsid w:val="006104AC"/>
    <w:rsid w:val="00614721"/>
    <w:rsid w:val="00614E25"/>
    <w:rsid w:val="00623ACE"/>
    <w:rsid w:val="006E52F7"/>
    <w:rsid w:val="00751BC9"/>
    <w:rsid w:val="00751FCD"/>
    <w:rsid w:val="0077665D"/>
    <w:rsid w:val="007C5446"/>
    <w:rsid w:val="007C5976"/>
    <w:rsid w:val="007F5B6F"/>
    <w:rsid w:val="007F63DB"/>
    <w:rsid w:val="0083330D"/>
    <w:rsid w:val="0087086B"/>
    <w:rsid w:val="00912916"/>
    <w:rsid w:val="009138C5"/>
    <w:rsid w:val="009143CA"/>
    <w:rsid w:val="0094529A"/>
    <w:rsid w:val="009E2517"/>
    <w:rsid w:val="00A01C12"/>
    <w:rsid w:val="00AB2E0B"/>
    <w:rsid w:val="00AB6C82"/>
    <w:rsid w:val="00AE64E0"/>
    <w:rsid w:val="00BD15AC"/>
    <w:rsid w:val="00BE67E5"/>
    <w:rsid w:val="00BF4321"/>
    <w:rsid w:val="00C05413"/>
    <w:rsid w:val="00C1514D"/>
    <w:rsid w:val="00C462F3"/>
    <w:rsid w:val="00C51136"/>
    <w:rsid w:val="00C678D4"/>
    <w:rsid w:val="00C94C44"/>
    <w:rsid w:val="00CA058B"/>
    <w:rsid w:val="00CC5835"/>
    <w:rsid w:val="00CD4C63"/>
    <w:rsid w:val="00D20D6F"/>
    <w:rsid w:val="00D6443B"/>
    <w:rsid w:val="00D73119"/>
    <w:rsid w:val="00D944CB"/>
    <w:rsid w:val="00DB4594"/>
    <w:rsid w:val="00DE4C5F"/>
    <w:rsid w:val="00E02764"/>
    <w:rsid w:val="00E2504D"/>
    <w:rsid w:val="00E34BAF"/>
    <w:rsid w:val="00E41A95"/>
    <w:rsid w:val="00E543C6"/>
    <w:rsid w:val="00E81EE2"/>
    <w:rsid w:val="00EF5427"/>
    <w:rsid w:val="00F4293A"/>
    <w:rsid w:val="00F9101B"/>
    <w:rsid w:val="00FB3457"/>
    <w:rsid w:val="00FD72A0"/>
    <w:rsid w:val="0220586E"/>
    <w:rsid w:val="030F48BA"/>
    <w:rsid w:val="11F25176"/>
    <w:rsid w:val="13B14617"/>
    <w:rsid w:val="163B0AEA"/>
    <w:rsid w:val="27D53962"/>
    <w:rsid w:val="2F194CF3"/>
    <w:rsid w:val="38FD08FD"/>
    <w:rsid w:val="3BAB2D63"/>
    <w:rsid w:val="3BD16BBF"/>
    <w:rsid w:val="3E263682"/>
    <w:rsid w:val="3F244204"/>
    <w:rsid w:val="46F12261"/>
    <w:rsid w:val="49193DBE"/>
    <w:rsid w:val="50D9724D"/>
    <w:rsid w:val="580C5452"/>
    <w:rsid w:val="5A2D6EC2"/>
    <w:rsid w:val="5D163392"/>
    <w:rsid w:val="5F532459"/>
    <w:rsid w:val="6515111C"/>
    <w:rsid w:val="66C562F8"/>
    <w:rsid w:val="689C3844"/>
    <w:rsid w:val="6AE93DF6"/>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396</Words>
  <Characters>2259</Characters>
  <Lines>18</Lines>
  <Paragraphs>5</Paragraphs>
  <TotalTime>216</TotalTime>
  <ScaleCrop>false</ScaleCrop>
  <LinksUpToDate>false</LinksUpToDate>
  <CharactersWithSpaces>2650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2023-11-12T10:09:50Z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