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彭阳县罗洼乡马涝坝村、张湾村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村庄规划（2023-2035年）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《彭阳县罗洼乡马涝坝村、张湾村</w:t>
      </w:r>
      <w:r>
        <w:rPr>
          <w:rFonts w:ascii="Times New Roman" w:hAnsi="Times New Roman" w:eastAsia="仿宋_GB2312"/>
          <w:b w:val="0"/>
          <w:bCs w:val="0"/>
          <w:sz w:val="32"/>
          <w:szCs w:val="32"/>
        </w:rPr>
        <w:t>“</w:t>
      </w:r>
      <w:r>
        <w:rPr>
          <w:rFonts w:ascii="Times New Roman" w:hAnsi="仿宋_GB2312" w:eastAsia="仿宋_GB2312"/>
          <w:b w:val="0"/>
          <w:bCs w:val="0"/>
          <w:sz w:val="32"/>
          <w:szCs w:val="32"/>
        </w:rPr>
        <w:t>多规合一</w:t>
      </w:r>
      <w:r>
        <w:rPr>
          <w:rFonts w:ascii="Times New Roman" w:hAnsi="Times New Roman" w:eastAsia="仿宋_GB2312"/>
          <w:b w:val="0"/>
          <w:bCs w:val="0"/>
          <w:sz w:val="32"/>
          <w:szCs w:val="32"/>
        </w:rPr>
        <w:t>”</w:t>
      </w:r>
      <w:r>
        <w:rPr>
          <w:rFonts w:ascii="Times New Roman" w:hAnsi="仿宋_GB2312" w:eastAsia="仿宋_GB2312"/>
          <w:b w:val="0"/>
          <w:bCs w:val="0"/>
          <w:sz w:val="32"/>
          <w:szCs w:val="32"/>
        </w:rPr>
        <w:t>实用性村庄规划（</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二、规划范围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本次规划范围为彭阳县罗洼乡马涝坝村、张湾村的行政辖区内的全域国土空间，村域国土面积</w:t>
      </w:r>
      <w:r>
        <w:rPr>
          <w:rFonts w:ascii="Times New Roman" w:hAnsi="Times New Roman" w:eastAsia="仿宋_GB2312"/>
          <w:b w:val="0"/>
          <w:bCs w:val="0"/>
          <w:sz w:val="32"/>
          <w:szCs w:val="32"/>
        </w:rPr>
        <w:t>3706.60</w:t>
      </w:r>
      <w:r>
        <w:rPr>
          <w:rFonts w:ascii="Times New Roman" w:hAnsi="仿宋_GB2312" w:eastAsia="仿宋_GB2312"/>
          <w:b w:val="0"/>
          <w:bCs w:val="0"/>
          <w:sz w:val="32"/>
          <w:szCs w:val="32"/>
        </w:rPr>
        <w:t>公顷，分别为马涝村</w:t>
      </w:r>
      <w:r>
        <w:rPr>
          <w:rFonts w:ascii="Times New Roman" w:hAnsi="Times New Roman" w:eastAsia="仿宋_GB2312"/>
          <w:b w:val="0"/>
          <w:bCs w:val="0"/>
          <w:sz w:val="32"/>
          <w:szCs w:val="32"/>
        </w:rPr>
        <w:t>1582.8</w:t>
      </w:r>
      <w:r>
        <w:rPr>
          <w:rFonts w:ascii="Times New Roman" w:hAnsi="仿宋_GB2312" w:eastAsia="仿宋_GB2312"/>
          <w:b w:val="0"/>
          <w:bCs w:val="0"/>
          <w:sz w:val="32"/>
          <w:szCs w:val="32"/>
        </w:rPr>
        <w:t>公顷、张湾村</w:t>
      </w:r>
      <w:r>
        <w:rPr>
          <w:rFonts w:ascii="Times New Roman" w:hAnsi="Times New Roman" w:eastAsia="仿宋_GB2312"/>
          <w:b w:val="0"/>
          <w:bCs w:val="0"/>
          <w:sz w:val="32"/>
          <w:szCs w:val="32"/>
        </w:rPr>
        <w:t>2123.8</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三、规划期限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本次村庄规划以</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年为基期年，规划期限为</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年，规划近期至</w:t>
      </w:r>
      <w:r>
        <w:rPr>
          <w:rFonts w:ascii="Times New Roman" w:hAnsi="Times New Roman" w:eastAsia="仿宋_GB2312"/>
          <w:b w:val="0"/>
          <w:bCs w:val="0"/>
          <w:sz w:val="32"/>
          <w:szCs w:val="32"/>
        </w:rPr>
        <w:t>2025</w:t>
      </w:r>
      <w:r>
        <w:rPr>
          <w:rFonts w:ascii="Times New Roman" w:hAnsi="仿宋_GB2312" w:eastAsia="仿宋_GB2312"/>
          <w:b w:val="0"/>
          <w:bCs w:val="0"/>
          <w:sz w:val="32"/>
          <w:szCs w:val="32"/>
        </w:rPr>
        <w:t>年，远期至</w:t>
      </w:r>
      <w:r>
        <w:rPr>
          <w:rFonts w:ascii="Times New Roman" w:hAnsi="Times New Roman" w:eastAsia="仿宋_GB2312"/>
          <w:b w:val="0"/>
          <w:bCs w:val="0"/>
          <w:sz w:val="32"/>
          <w:szCs w:val="32"/>
        </w:rPr>
        <w:t>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四、规划方案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、村庄类型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bookmarkStart w:id="1" w:name="_GoBack"/>
      <w:bookmarkEnd w:id="1"/>
      <w:r>
        <w:rPr>
          <w:rFonts w:ascii="Times New Roman" w:hAnsi="仿宋_GB2312" w:eastAsia="仿宋_GB2312"/>
          <w:b w:val="0"/>
          <w:bCs w:val="0"/>
          <w:sz w:val="32"/>
          <w:szCs w:val="32"/>
        </w:rPr>
        <w:t>规划马涝坝村为整治改善类、张湾村为特色保护类。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2、规划定位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马涝坝村、张湾村现状自然条件、区位条件、产业基础、区域产业布局及政策体系配套，以自然资源保护为前提，以农业科技为支撑，以土地综合整治、产业转型升级、人居环境整治、完善村社组织架构为抓手，在切实落实耕地保护和节约集约用地的前提下，依托优越的区位环境和良好的优势资源，将马涝坝村、张湾村建设成基础设施完善，环境优美，现代化农业与规模养殖业联动发展的美丽宜居新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bookmarkStart w:id="0" w:name="_Toc26930"/>
      <w:r>
        <w:rPr>
          <w:rFonts w:ascii="仿宋_GB2312" w:hAnsi="Times New Roman" w:eastAsia="仿宋_GB2312"/>
          <w:b w:val="0"/>
          <w:bCs w:val="0"/>
          <w:sz w:val="32"/>
          <w:szCs w:val="32"/>
        </w:rPr>
        <w:t>3、国土空间</w:t>
      </w:r>
      <w:bookmarkEnd w:id="0"/>
      <w:r>
        <w:rPr>
          <w:rFonts w:ascii="仿宋_GB2312" w:hAnsi="Times New Roman" w:eastAsia="仿宋_GB2312"/>
          <w:b w:val="0"/>
          <w:bCs w:val="0"/>
          <w:sz w:val="32"/>
          <w:szCs w:val="32"/>
        </w:rPr>
        <w:t>底线管控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仿宋_GB2312" w:eastAsia="仿宋_GB2312"/>
          <w:b w:val="0"/>
          <w:bCs w:val="0"/>
          <w:sz w:val="32"/>
          <w:szCs w:val="32"/>
        </w:rPr>
        <w:t>（</w:t>
      </w: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）生态保护红线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根据彭阳县生态保护红线划定成果，本次规划的马涝坝村、张湾村划定的生态保护红线</w:t>
      </w:r>
      <w:r>
        <w:rPr>
          <w:rFonts w:ascii="Times New Roman" w:hAnsi="Times New Roman" w:eastAsia="仿宋_GB2312"/>
          <w:b w:val="0"/>
          <w:bCs w:val="0"/>
          <w:sz w:val="32"/>
          <w:szCs w:val="32"/>
        </w:rPr>
        <w:t>1174.58</w:t>
      </w:r>
      <w:r>
        <w:rPr>
          <w:rFonts w:ascii="Times New Roman" w:hAnsi="仿宋_GB2312" w:eastAsia="仿宋_GB2312"/>
          <w:b w:val="0"/>
          <w:bCs w:val="0"/>
          <w:sz w:val="32"/>
          <w:szCs w:val="32"/>
        </w:rPr>
        <w:t>公顷，分别为马涝坝村</w:t>
      </w:r>
      <w:r>
        <w:rPr>
          <w:rFonts w:ascii="Times New Roman" w:hAnsi="Times New Roman" w:eastAsia="仿宋_GB2312"/>
          <w:b w:val="0"/>
          <w:bCs w:val="0"/>
          <w:sz w:val="32"/>
          <w:szCs w:val="32"/>
        </w:rPr>
        <w:t>232.33</w:t>
      </w:r>
      <w:r>
        <w:rPr>
          <w:rFonts w:ascii="Times New Roman" w:hAnsi="仿宋_GB2312" w:eastAsia="仿宋_GB2312"/>
          <w:b w:val="0"/>
          <w:bCs w:val="0"/>
          <w:sz w:val="32"/>
          <w:szCs w:val="32"/>
        </w:rPr>
        <w:t>公顷、张湾村</w:t>
      </w:r>
      <w:r>
        <w:rPr>
          <w:rFonts w:ascii="Times New Roman" w:hAnsi="Times New Roman" w:eastAsia="仿宋_GB2312"/>
          <w:b w:val="0"/>
          <w:bCs w:val="0"/>
          <w:sz w:val="32"/>
          <w:szCs w:val="32"/>
        </w:rPr>
        <w:t>942.25</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本次规划的马涝坝村、张湾村划定永久基本农田</w:t>
      </w:r>
      <w:r>
        <w:rPr>
          <w:rFonts w:ascii="Times New Roman" w:hAnsi="Times New Roman" w:eastAsia="仿宋_GB2312"/>
          <w:b w:val="0"/>
          <w:bCs w:val="0"/>
          <w:sz w:val="32"/>
          <w:szCs w:val="32"/>
        </w:rPr>
        <w:t>484.62</w:t>
      </w:r>
      <w:r>
        <w:rPr>
          <w:rFonts w:ascii="Times New Roman" w:hAnsi="仿宋_GB2312" w:eastAsia="仿宋_GB2312"/>
          <w:b w:val="0"/>
          <w:bCs w:val="0"/>
          <w:sz w:val="32"/>
          <w:szCs w:val="32"/>
        </w:rPr>
        <w:t>公顷，分别为马涝坝村</w:t>
      </w:r>
      <w:r>
        <w:rPr>
          <w:rFonts w:ascii="Times New Roman" w:hAnsi="Times New Roman" w:eastAsia="仿宋_GB2312"/>
          <w:b w:val="0"/>
          <w:bCs w:val="0"/>
          <w:sz w:val="32"/>
          <w:szCs w:val="32"/>
        </w:rPr>
        <w:t>261.36</w:t>
      </w:r>
      <w:r>
        <w:rPr>
          <w:rFonts w:ascii="Times New Roman" w:hAnsi="仿宋_GB2312" w:eastAsia="仿宋_GB2312"/>
          <w:b w:val="0"/>
          <w:bCs w:val="0"/>
          <w:sz w:val="32"/>
          <w:szCs w:val="32"/>
        </w:rPr>
        <w:t>公顷、张湾村</w:t>
      </w:r>
      <w:r>
        <w:rPr>
          <w:rFonts w:ascii="Times New Roman" w:hAnsi="Times New Roman" w:eastAsia="仿宋_GB2312"/>
          <w:b w:val="0"/>
          <w:bCs w:val="0"/>
          <w:sz w:val="32"/>
          <w:szCs w:val="32"/>
        </w:rPr>
        <w:t>223.26</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4、国土空间用地布局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规划城乡建设用地</w:t>
      </w:r>
      <w:r>
        <w:rPr>
          <w:rFonts w:hint="eastAsia" w:ascii="Times New Roman" w:hAnsi="Times New Roman" w:eastAsia="仿宋_GB2312"/>
          <w:b w:val="0"/>
          <w:bCs w:val="0"/>
          <w:sz w:val="32"/>
          <w:szCs w:val="32"/>
        </w:rPr>
        <w:t>15.81</w:t>
      </w:r>
      <w:r>
        <w:rPr>
          <w:rFonts w:ascii="Times New Roman" w:hAnsi="仿宋_GB2312" w:eastAsia="仿宋_GB2312"/>
          <w:b w:val="0"/>
          <w:bCs w:val="0"/>
          <w:sz w:val="32"/>
          <w:szCs w:val="32"/>
        </w:rPr>
        <w:t>公顷，均为村庄建设用地，</w:t>
      </w:r>
      <w:r>
        <w:rPr>
          <w:rFonts w:hint="eastAsia" w:ascii="Times New Roman" w:hAnsi="仿宋_GB2312" w:eastAsia="仿宋_GB2312"/>
          <w:b w:val="0"/>
          <w:bCs w:val="0"/>
          <w:sz w:val="32"/>
          <w:szCs w:val="32"/>
        </w:rPr>
        <w:t>其中</w:t>
      </w:r>
      <w:r>
        <w:rPr>
          <w:rFonts w:ascii="Times New Roman" w:hAnsi="仿宋_GB2312" w:eastAsia="仿宋_GB2312"/>
          <w:b w:val="0"/>
          <w:bCs w:val="0"/>
          <w:sz w:val="32"/>
          <w:szCs w:val="32"/>
        </w:rPr>
        <w:t>马涝坝村</w:t>
      </w:r>
      <w:r>
        <w:rPr>
          <w:rFonts w:ascii="Times New Roman" w:hAnsi="Times New Roman" w:eastAsia="仿宋_GB2312"/>
          <w:b w:val="0"/>
          <w:bCs w:val="0"/>
          <w:sz w:val="32"/>
          <w:szCs w:val="32"/>
        </w:rPr>
        <w:t>7.</w:t>
      </w:r>
      <w:r>
        <w:rPr>
          <w:rFonts w:hint="eastAsia" w:ascii="Times New Roman" w:hAnsi="Times New Roman" w:eastAsia="仿宋_GB2312"/>
          <w:b w:val="0"/>
          <w:bCs w:val="0"/>
          <w:sz w:val="32"/>
          <w:szCs w:val="32"/>
        </w:rPr>
        <w:t>62</w:t>
      </w:r>
      <w:r>
        <w:rPr>
          <w:rFonts w:ascii="Times New Roman" w:hAnsi="仿宋_GB2312" w:eastAsia="仿宋_GB2312"/>
          <w:b w:val="0"/>
          <w:bCs w:val="0"/>
          <w:sz w:val="32"/>
          <w:szCs w:val="32"/>
        </w:rPr>
        <w:t>公顷、张湾村</w:t>
      </w:r>
      <w:r>
        <w:rPr>
          <w:rFonts w:ascii="Times New Roman" w:hAnsi="Times New Roman" w:eastAsia="仿宋_GB2312"/>
          <w:b w:val="0"/>
          <w:bCs w:val="0"/>
          <w:sz w:val="32"/>
          <w:szCs w:val="32"/>
        </w:rPr>
        <w:t>8.</w:t>
      </w:r>
      <w:r>
        <w:rPr>
          <w:rFonts w:hint="eastAsia" w:ascii="Times New Roman" w:hAnsi="Times New Roman" w:eastAsia="仿宋_GB2312"/>
          <w:b w:val="0"/>
          <w:bCs w:val="0"/>
          <w:sz w:val="32"/>
          <w:szCs w:val="32"/>
        </w:rPr>
        <w:t>19</w:t>
      </w:r>
      <w:r>
        <w:rPr>
          <w:rFonts w:ascii="Times New Roman" w:hAnsi="仿宋_GB2312" w:eastAsia="仿宋_GB2312"/>
          <w:b w:val="0"/>
          <w:bCs w:val="0"/>
          <w:sz w:val="32"/>
          <w:szCs w:val="32"/>
        </w:rPr>
        <w:t>公顷；区域基础设施建设用地为</w:t>
      </w:r>
      <w:r>
        <w:rPr>
          <w:rFonts w:hint="eastAsia" w:ascii="Times New Roman" w:hAnsi="Times New Roman" w:eastAsia="仿宋_GB2312"/>
          <w:b w:val="0"/>
          <w:bCs w:val="0"/>
          <w:sz w:val="32"/>
          <w:szCs w:val="32"/>
        </w:rPr>
        <w:t>0</w:t>
      </w:r>
      <w:r>
        <w:rPr>
          <w:rFonts w:ascii="Times New Roman" w:hAnsi="仿宋_GB2312" w:eastAsia="仿宋_GB2312"/>
          <w:b w:val="0"/>
          <w:bCs w:val="0"/>
          <w:sz w:val="32"/>
          <w:szCs w:val="32"/>
        </w:rPr>
        <w:t>公顷；其他建设用地</w:t>
      </w:r>
      <w:r>
        <w:rPr>
          <w:rFonts w:hint="eastAsia" w:ascii="Times New Roman" w:hAnsi="Times New Roman" w:eastAsia="仿宋_GB2312"/>
          <w:b w:val="0"/>
          <w:bCs w:val="0"/>
          <w:sz w:val="32"/>
          <w:szCs w:val="32"/>
        </w:rPr>
        <w:t>0.4</w:t>
      </w:r>
      <w:r>
        <w:rPr>
          <w:rFonts w:ascii="Times New Roman" w:hAnsi="仿宋_GB2312" w:eastAsia="仿宋_GB2312"/>
          <w:b w:val="0"/>
          <w:bCs w:val="0"/>
          <w:sz w:val="32"/>
          <w:szCs w:val="32"/>
        </w:rPr>
        <w:t>公顷，分别为马涝坝村</w:t>
      </w:r>
      <w:r>
        <w:rPr>
          <w:rFonts w:hint="eastAsia" w:ascii="Times New Roman" w:hAnsi="Times New Roman" w:eastAsia="仿宋_GB2312"/>
          <w:b w:val="0"/>
          <w:bCs w:val="0"/>
          <w:sz w:val="32"/>
          <w:szCs w:val="32"/>
        </w:rPr>
        <w:t>0.27</w:t>
      </w:r>
      <w:r>
        <w:rPr>
          <w:rFonts w:ascii="Times New Roman" w:hAnsi="仿宋_GB2312" w:eastAsia="仿宋_GB2312"/>
          <w:b w:val="0"/>
          <w:bCs w:val="0"/>
          <w:sz w:val="32"/>
          <w:szCs w:val="32"/>
        </w:rPr>
        <w:t>公顷、张湾村</w:t>
      </w:r>
      <w:r>
        <w:rPr>
          <w:rFonts w:hint="eastAsia" w:ascii="Times New Roman" w:hAnsi="Times New Roman" w:eastAsia="仿宋_GB2312"/>
          <w:b w:val="0"/>
          <w:bCs w:val="0"/>
          <w:sz w:val="32"/>
          <w:szCs w:val="32"/>
        </w:rPr>
        <w:t>0.13</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5、产业发展规划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结合马涝坝村、张湾村产业特点和村民需求，合理安排村域各类产业用地，以提高效率、保障安全生产、便于治理污染和卫生防疫为目标，因地制宜的合理利用好村内的优质的自然资源和农业资源。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依托马涝坝村、张湾村的自然资源、农业资源，结合村庄产业发展趋势和村民生产需求，合理安排产业布局，在空间上形成有机联系、互为补充的多个产业板块。打造：</w:t>
      </w:r>
      <w:r>
        <w:rPr>
          <w:rFonts w:ascii="Times New Roman" w:hAnsi="Times New Roman" w:eastAsia="仿宋_GB2312"/>
          <w:b w:val="0"/>
          <w:bCs w:val="0"/>
          <w:sz w:val="32"/>
          <w:szCs w:val="32"/>
        </w:rPr>
        <w:t xml:space="preserve"> “</w:t>
      </w:r>
      <w:r>
        <w:rPr>
          <w:rFonts w:ascii="Times New Roman" w:hAnsi="仿宋_GB2312" w:eastAsia="仿宋_GB2312"/>
          <w:b w:val="0"/>
          <w:bCs w:val="0"/>
          <w:sz w:val="32"/>
          <w:szCs w:val="32"/>
        </w:rPr>
        <w:t>两心、一轴、多片区</w:t>
      </w:r>
      <w:r>
        <w:rPr>
          <w:rFonts w:ascii="Times New Roman" w:hAnsi="Times New Roman" w:eastAsia="仿宋_GB2312"/>
          <w:b w:val="0"/>
          <w:bCs w:val="0"/>
          <w:sz w:val="32"/>
          <w:szCs w:val="32"/>
        </w:rPr>
        <w:t>”</w:t>
      </w:r>
      <w:r>
        <w:rPr>
          <w:rFonts w:ascii="Times New Roman" w:hAnsi="仿宋_GB2312" w:eastAsia="仿宋_GB2312"/>
          <w:b w:val="0"/>
          <w:bCs w:val="0"/>
          <w:sz w:val="32"/>
          <w:szCs w:val="32"/>
        </w:rPr>
        <w:t>的产业空间布局。</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两心：以马涝坝村、张湾村村委会驻地及周边公共服务设施为依托的民生和综合服务中心。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一轴：以连接两村间的交通通道为主的经济发展轴；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片区：居民生活片区、现代农业片区、生态涵养片区。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居住生活片区：以人居环境优美、设施配套齐全的村民居住生产生活区为主要功能的片区。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现代农业片区：以生产设施齐全、现代化水平高的粮食作物种植和畜牧养殖为主要功能的片区。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生态涵养片区：以生态脆弱区域生态修复为主要功能的片区。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6、用途管制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（1）耕地与永久基本农田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任何单位和个人不得擅自占用或改变用途。村民不得随意占用耕地，确需占用的，应经村民小组确认，村委会审查同意出具书面意见后，由镇政府按程序办理相关报批手续。未经批准，不得在园地、林地及其他农用地进行非农建设活动，不得进行毁林开垦、采石、挖沙、采矿、取土等活动。本村内划定的设施农用地应按规定要求兴建设施和使用土地，不得擅自或变相将设施农用地用于其他非农建设，并采取措施防止对土壤耕作层破坏和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（2）生态保护管控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禁止在红线范围内从事不符合国家规定的活动。严格保护村内林地、湿地、陆地水域、其他自然保留地等生态用地，不得进行破坏生态景观、污染环境的开发建设活动，做到慎砍树、禁挖山、不填湖。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（3）建设空间管制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现状村内零星的建设用地建议通过土地整理、宅基地置换等方式逐渐向村庄建设边界内集中。规划村庄建设用地应按照以下规则进行村庄建设用地空间管制。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农村住宅：规划新申请的宅基地，应在划定的宅基地范围内，优先利用村内空闲地、闲置宅基地和未利用地。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根据《宁夏回族自治区土地管理条例》（</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年修订版）要求，新建住宅的宅基地面积（包括附属用房、庭院用地）使用水浇地的，每户不得超过</w:t>
      </w:r>
      <w:r>
        <w:rPr>
          <w:rFonts w:ascii="Times New Roman" w:hAnsi="Times New Roman" w:eastAsia="仿宋_GB2312"/>
          <w:b w:val="0"/>
          <w:bCs w:val="0"/>
          <w:sz w:val="32"/>
          <w:szCs w:val="32"/>
        </w:rPr>
        <w:t>270</w:t>
      </w:r>
      <w:r>
        <w:rPr>
          <w:rFonts w:hint="eastAsia" w:ascii="宋体" w:hAnsi="宋体" w:cs="宋体"/>
          <w:b w:val="0"/>
          <w:bCs w:val="0"/>
          <w:sz w:val="32"/>
          <w:szCs w:val="32"/>
        </w:rPr>
        <w:t>㎡</w:t>
      </w:r>
      <w:r>
        <w:rPr>
          <w:rFonts w:ascii="Times New Roman" w:hAnsi="仿宋_GB2312" w:eastAsia="仿宋_GB2312"/>
          <w:b w:val="0"/>
          <w:bCs w:val="0"/>
          <w:sz w:val="32"/>
          <w:szCs w:val="32"/>
        </w:rPr>
        <w:t>；使用平川旱作耕地的，每户不得超过</w:t>
      </w:r>
      <w:r>
        <w:rPr>
          <w:rFonts w:ascii="Times New Roman" w:hAnsi="Times New Roman" w:eastAsia="仿宋_GB2312"/>
          <w:b w:val="0"/>
          <w:bCs w:val="0"/>
          <w:sz w:val="32"/>
          <w:szCs w:val="32"/>
        </w:rPr>
        <w:t>400</w:t>
      </w:r>
      <w:r>
        <w:rPr>
          <w:rFonts w:hint="eastAsia" w:ascii="宋体" w:hAnsi="宋体" w:cs="宋体"/>
          <w:b w:val="0"/>
          <w:bCs w:val="0"/>
          <w:sz w:val="32"/>
          <w:szCs w:val="32"/>
        </w:rPr>
        <w:t>㎡</w:t>
      </w:r>
      <w:r>
        <w:rPr>
          <w:rFonts w:ascii="Times New Roman" w:hAnsi="仿宋_GB2312" w:eastAsia="仿宋_GB2312"/>
          <w:b w:val="0"/>
          <w:bCs w:val="0"/>
          <w:sz w:val="32"/>
          <w:szCs w:val="32"/>
        </w:rPr>
        <w:t>；使用山坡地的，每户不得超过</w:t>
      </w:r>
      <w:r>
        <w:rPr>
          <w:rFonts w:ascii="Times New Roman" w:hAnsi="Times New Roman" w:eastAsia="仿宋_GB2312"/>
          <w:b w:val="0"/>
          <w:bCs w:val="0"/>
          <w:sz w:val="32"/>
          <w:szCs w:val="32"/>
        </w:rPr>
        <w:t>540</w:t>
      </w:r>
      <w:r>
        <w:rPr>
          <w:rFonts w:hint="eastAsia" w:ascii="宋体" w:hAnsi="宋体" w:cs="宋体"/>
          <w:b w:val="0"/>
          <w:bCs w:val="0"/>
          <w:sz w:val="32"/>
          <w:szCs w:val="32"/>
        </w:rPr>
        <w:t>㎡</w:t>
      </w:r>
      <w:r>
        <w:rPr>
          <w:rFonts w:ascii="Times New Roman" w:hAnsi="仿宋_GB2312" w:eastAsia="仿宋_GB2312"/>
          <w:b w:val="0"/>
          <w:bCs w:val="0"/>
          <w:sz w:val="32"/>
          <w:szCs w:val="32"/>
        </w:rPr>
        <w:t>。住房应体现地方特色，符合村庄整体景观风貌控制性要求。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在路边新建农房时，距县道不少于</w:t>
      </w:r>
      <w:r>
        <w:rPr>
          <w:rFonts w:ascii="Times New Roman" w:hAnsi="Times New Roman" w:eastAsia="仿宋_GB2312"/>
          <w:b w:val="0"/>
          <w:bCs w:val="0"/>
          <w:sz w:val="32"/>
          <w:szCs w:val="32"/>
        </w:rPr>
        <w:t>10</w:t>
      </w:r>
      <w:r>
        <w:rPr>
          <w:rFonts w:ascii="Times New Roman" w:hAnsi="仿宋_GB2312" w:eastAsia="仿宋_GB2312"/>
          <w:b w:val="0"/>
          <w:bCs w:val="0"/>
          <w:sz w:val="32"/>
          <w:szCs w:val="32"/>
        </w:rPr>
        <w:t>米，距乡道不少于</w:t>
      </w:r>
      <w:r>
        <w:rPr>
          <w:rFonts w:ascii="Times New Roman" w:hAnsi="Times New Roman" w:eastAsia="仿宋_GB2312"/>
          <w:b w:val="0"/>
          <w:bCs w:val="0"/>
          <w:sz w:val="32"/>
          <w:szCs w:val="32"/>
        </w:rPr>
        <w:t>5</w:t>
      </w:r>
      <w:r>
        <w:rPr>
          <w:rFonts w:ascii="Times New Roman" w:hAnsi="仿宋_GB2312" w:eastAsia="仿宋_GB2312"/>
          <w:b w:val="0"/>
          <w:bCs w:val="0"/>
          <w:sz w:val="32"/>
          <w:szCs w:val="32"/>
        </w:rPr>
        <w:t>米，距村主要道路不少于</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米；沿山体周边建设时，不得新增削坡建房，距山体护坡沿不少于</w:t>
      </w:r>
      <w:r>
        <w:rPr>
          <w:rFonts w:ascii="Times New Roman" w:hAnsi="Times New Roman" w:eastAsia="仿宋_GB2312"/>
          <w:b w:val="0"/>
          <w:bCs w:val="0"/>
          <w:sz w:val="32"/>
          <w:szCs w:val="32"/>
        </w:rPr>
        <w:t>6</w:t>
      </w:r>
      <w:r>
        <w:rPr>
          <w:rFonts w:ascii="Times New Roman" w:hAnsi="仿宋_GB2312" w:eastAsia="仿宋_GB2312"/>
          <w:b w:val="0"/>
          <w:bCs w:val="0"/>
          <w:sz w:val="32"/>
          <w:szCs w:val="32"/>
        </w:rPr>
        <w:t>米；沿河溪建房时，距河溪边沿不少于</w:t>
      </w:r>
      <w:r>
        <w:rPr>
          <w:rFonts w:ascii="Times New Roman" w:hAnsi="Times New Roman" w:eastAsia="仿宋_GB2312"/>
          <w:b w:val="0"/>
          <w:bCs w:val="0"/>
          <w:sz w:val="32"/>
          <w:szCs w:val="32"/>
        </w:rPr>
        <w:t>15</w:t>
      </w:r>
      <w:r>
        <w:rPr>
          <w:rFonts w:ascii="Times New Roman" w:hAnsi="仿宋_GB2312" w:eastAsia="仿宋_GB2312"/>
          <w:b w:val="0"/>
          <w:bCs w:val="0"/>
          <w:sz w:val="32"/>
          <w:szCs w:val="32"/>
        </w:rPr>
        <w:t>米。因道路退缩造成原有宅基地无法建房的，由镇、村另行规划村民集中建房用地，确保新农村建设健康有序发展。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产业发展：经营性建设用地建筑密度需控制在</w:t>
      </w:r>
      <w:r>
        <w:rPr>
          <w:rFonts w:ascii="Times New Roman" w:hAnsi="Times New Roman" w:eastAsia="仿宋_GB2312"/>
          <w:b w:val="0"/>
          <w:bCs w:val="0"/>
          <w:sz w:val="32"/>
          <w:szCs w:val="32"/>
        </w:rPr>
        <w:t>70%</w:t>
      </w:r>
      <w:r>
        <w:rPr>
          <w:rFonts w:ascii="Times New Roman" w:hAnsi="仿宋_GB2312" w:eastAsia="仿宋_GB2312"/>
          <w:b w:val="0"/>
          <w:bCs w:val="0"/>
          <w:sz w:val="32"/>
          <w:szCs w:val="32"/>
        </w:rPr>
        <w:t>以下，建筑高度不超过</w:t>
      </w:r>
      <w:r>
        <w:rPr>
          <w:rFonts w:ascii="Times New Roman" w:hAnsi="Times New Roman" w:eastAsia="仿宋_GB2312"/>
          <w:b w:val="0"/>
          <w:bCs w:val="0"/>
          <w:sz w:val="32"/>
          <w:szCs w:val="32"/>
        </w:rPr>
        <w:t>18</w:t>
      </w:r>
      <w:r>
        <w:rPr>
          <w:rFonts w:ascii="Times New Roman" w:hAnsi="仿宋_GB2312" w:eastAsia="仿宋_GB2312"/>
          <w:b w:val="0"/>
          <w:bCs w:val="0"/>
          <w:sz w:val="32"/>
          <w:szCs w:val="32"/>
        </w:rPr>
        <w:t>米（若该经营性建设用地靠近文保单位，则限高需按文物保护相关控制要求进行调整），容积率不超过</w:t>
      </w:r>
      <w:r>
        <w:rPr>
          <w:rFonts w:ascii="Times New Roman" w:hAnsi="Times New Roman" w:eastAsia="仿宋_GB2312"/>
          <w:b w:val="0"/>
          <w:bCs w:val="0"/>
          <w:sz w:val="32"/>
          <w:szCs w:val="32"/>
        </w:rPr>
        <w:t>2.0</w:t>
      </w:r>
      <w:r>
        <w:rPr>
          <w:rFonts w:ascii="Times New Roman" w:hAnsi="仿宋_GB2312"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经营性建设用地调整应经村民小组确认，由村委会审查同意，逐级报村庄规划原审批机关批准。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基础设施和公共服务设施：不得占用交通用地建房，在村内主要道路两侧建房应后退</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村内供水、污水处理设施以及房屋排水接口需经村委会确认后再进行建设。村民不得随意占用垃圾收集点、公厕、污水处理设施等基础设施用地及综合服务站、基层综合性文化服务中心、卫生室、养老和教育等公共服务设施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弹性管控：对规划期内确定使用，但暂时无法明确具体规划用途的建设用地，采取留白方式处理，暂不确定具体规划用地性质，为未来的布局优化、项目落地预留空间。后续使用留白用地，应符合国家和自治区相关规定要求。暂时无法明确具体地块及规模边界的项目，在用地规划图中采用点位预制的方法，表达项目的类别和意向性位置，并纳入项目清单管理，后续可根据项目建设需要再确定具体边界、规模和相应的规划管控要求。在不突破规划建设用地规模、不占用永久基本农田和生态保护红线的前提下，村庄规划中预留一定比例的建设用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6C886"/>
    <w:multiLevelType w:val="singleLevel"/>
    <w:tmpl w:val="A146C886"/>
    <w:lvl w:ilvl="0" w:tentative="0">
      <w:start w:val="1"/>
      <w:numFmt w:val="decimal"/>
      <w:pStyle w:val="4"/>
      <w:lvlText w:val="%1)"/>
      <w:lvlJc w:val="left"/>
      <w:pPr>
        <w:ind w:left="425" w:hanging="425"/>
      </w:pPr>
      <w:rPr>
        <w:rFonts w:hint="default"/>
      </w:rPr>
    </w:lvl>
  </w:abstractNum>
  <w:abstractNum w:abstractNumId="1">
    <w:nsid w:val="E438E90E"/>
    <w:multiLevelType w:val="multilevel"/>
    <w:tmpl w:val="E438E90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23EF4573"/>
    <w:multiLevelType w:val="multilevel"/>
    <w:tmpl w:val="23EF4573"/>
    <w:lvl w:ilvl="0" w:tentative="0">
      <w:start w:val="1"/>
      <w:numFmt w:val="decimal"/>
      <w:lvlText w:val="%1."/>
      <w:lvlJc w:val="left"/>
      <w:pPr>
        <w:tabs>
          <w:tab w:val="left" w:pos="420"/>
        </w:tabs>
        <w:ind w:left="425" w:hanging="425"/>
      </w:pPr>
      <w:rPr>
        <w:rFonts w:hint="default" w:ascii="宋体" w:hAnsi="宋体" w:eastAsia="宋体" w:cs="宋体"/>
      </w:rPr>
    </w:lvl>
    <w:lvl w:ilvl="1" w:tentative="0">
      <w:start w:val="1"/>
      <w:numFmt w:val="none"/>
      <w:pStyle w:val="3"/>
      <w:lvlText w:val="(%1)"/>
      <w:lvlJc w:val="left"/>
      <w:pPr>
        <w:tabs>
          <w:tab w:val="left" w:pos="840"/>
        </w:tabs>
        <w:ind w:left="840" w:hanging="420"/>
      </w:pPr>
      <w:rPr>
        <w:rFonts w:hint="default" w:ascii="宋体" w:hAnsi="宋体" w:eastAsia="宋体" w:cs="宋体"/>
      </w:rPr>
    </w:lvl>
    <w:lvl w:ilvl="2" w:tentative="0">
      <w:start w:val="1"/>
      <w:numFmt w:val="decimal"/>
      <w:lvlText w:val="%3)"/>
      <w:lvlJc w:val="left"/>
      <w:pPr>
        <w:tabs>
          <w:tab w:val="left" w:pos="1260"/>
        </w:tabs>
        <w:ind w:left="1260" w:hanging="420"/>
      </w:pPr>
      <w:rPr>
        <w:rFonts w:hint="default" w:ascii="宋体" w:hAnsi="宋体" w:eastAsia="宋体" w:cs="宋体"/>
      </w:rPr>
    </w:lvl>
    <w:lvl w:ilvl="3" w:tentative="0">
      <w:start w:val="1"/>
      <w:numFmt w:val="lowerLetter"/>
      <w:lvlText w:val="%4."/>
      <w:lvlJc w:val="left"/>
      <w:pPr>
        <w:tabs>
          <w:tab w:val="left" w:pos="1680"/>
        </w:tabs>
        <w:ind w:left="1680" w:hanging="420"/>
      </w:pPr>
      <w:rPr>
        <w:rFonts w:hint="default" w:ascii="宋体" w:hAnsi="宋体" w:eastAsia="宋体" w:cs="宋体"/>
      </w:rPr>
    </w:lvl>
    <w:lvl w:ilvl="4" w:tentative="0">
      <w:start w:val="1"/>
      <w:numFmt w:val="lowerLetter"/>
      <w:lvlText w:val="%5)"/>
      <w:lvlJc w:val="left"/>
      <w:pPr>
        <w:tabs>
          <w:tab w:val="left" w:pos="2100"/>
        </w:tabs>
        <w:ind w:left="2100" w:hanging="420"/>
      </w:pPr>
      <w:rPr>
        <w:rFonts w:hint="default" w:ascii="宋体" w:hAnsi="宋体" w:eastAsia="宋体" w:cs="宋体"/>
      </w:rPr>
    </w:lvl>
    <w:lvl w:ilvl="5" w:tentative="0">
      <w:start w:val="1"/>
      <w:numFmt w:val="lowerRoman"/>
      <w:lvlText w:val="%6."/>
      <w:lvlJc w:val="left"/>
      <w:pPr>
        <w:tabs>
          <w:tab w:val="left" w:pos="2520"/>
        </w:tabs>
        <w:ind w:left="2520" w:hanging="420"/>
      </w:pPr>
      <w:rPr>
        <w:rFonts w:hint="default" w:ascii="宋体" w:hAnsi="宋体" w:eastAsia="宋体" w:cs="宋体"/>
      </w:rPr>
    </w:lvl>
    <w:lvl w:ilvl="6" w:tentative="0">
      <w:start w:val="1"/>
      <w:numFmt w:val="lowerRoman"/>
      <w:lvlText w:val="%7)"/>
      <w:lvlJc w:val="left"/>
      <w:pPr>
        <w:tabs>
          <w:tab w:val="left" w:pos="2940"/>
        </w:tabs>
        <w:ind w:left="2940" w:hanging="420"/>
      </w:pPr>
      <w:rPr>
        <w:rFonts w:hint="default" w:ascii="宋体" w:hAnsi="宋体" w:eastAsia="宋体" w:cs="宋体"/>
      </w:rPr>
    </w:lvl>
    <w:lvl w:ilvl="7" w:tentative="0">
      <w:start w:val="1"/>
      <w:numFmt w:val="lowerLetter"/>
      <w:lvlText w:val="%8."/>
      <w:lvlJc w:val="left"/>
      <w:pPr>
        <w:tabs>
          <w:tab w:val="left" w:pos="3360"/>
        </w:tabs>
        <w:ind w:left="3360" w:hanging="420"/>
      </w:pPr>
      <w:rPr>
        <w:rFonts w:hint="default" w:ascii="宋体" w:hAnsi="宋体" w:eastAsia="宋体" w:cs="宋体"/>
      </w:rPr>
    </w:lvl>
    <w:lvl w:ilvl="8" w:tentative="0">
      <w:start w:val="1"/>
      <w:numFmt w:val="lowerLetter"/>
      <w:lvlText w:val="%9)"/>
      <w:lvlJc w:val="left"/>
      <w:pPr>
        <w:tabs>
          <w:tab w:val="left" w:pos="3780"/>
        </w:tabs>
        <w:ind w:left="3780" w:hanging="420"/>
      </w:pPr>
      <w:rPr>
        <w:rFonts w:hint="default" w:ascii="宋体" w:hAnsi="宋体" w:eastAsia="宋体" w:cs="宋体"/>
      </w:rPr>
    </w:lvl>
  </w:abstractNum>
  <w:abstractNum w:abstractNumId="3">
    <w:nsid w:val="28DFF3E3"/>
    <w:multiLevelType w:val="singleLevel"/>
    <w:tmpl w:val="28DFF3E3"/>
    <w:lvl w:ilvl="0" w:tentative="0">
      <w:start w:val="1"/>
      <w:numFmt w:val="decimal"/>
      <w:pStyle w:val="2"/>
      <w:suff w:val="nothing"/>
      <w:lvlText w:val="%1．"/>
      <w:lvlJc w:val="left"/>
      <w:pPr>
        <w:ind w:left="0" w:firstLine="400"/>
      </w:pPr>
      <w:rPr>
        <w:rFonts w:hint="default"/>
        <w:b/>
        <w:bCs/>
      </w:rPr>
    </w:lvl>
  </w:abstractNum>
  <w:abstractNum w:abstractNumId="4">
    <w:nsid w:val="58654B64"/>
    <w:multiLevelType w:val="singleLevel"/>
    <w:tmpl w:val="58654B64"/>
    <w:lvl w:ilvl="0" w:tentative="0">
      <w:start w:val="1"/>
      <w:numFmt w:val="decimal"/>
      <w:pStyle w:val="5"/>
      <w:lvlText w:val="(%1)"/>
      <w:lvlJc w:val="left"/>
      <w:pPr>
        <w:tabs>
          <w:tab w:val="left" w:pos="0"/>
        </w:tabs>
        <w:ind w:left="0" w:firstLine="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xMjQwMzI1MTZjZTY5Mjk5Y2IwMTZkODRlMmVjM2UifQ=="/>
  </w:docVars>
  <w:rsids>
    <w:rsidRoot w:val="030F48BA"/>
    <w:rsid w:val="00007B9E"/>
    <w:rsid w:val="00047AEF"/>
    <w:rsid w:val="000611BF"/>
    <w:rsid w:val="000B4798"/>
    <w:rsid w:val="000B4B24"/>
    <w:rsid w:val="000C23E0"/>
    <w:rsid w:val="0010123B"/>
    <w:rsid w:val="00154A57"/>
    <w:rsid w:val="00174DB4"/>
    <w:rsid w:val="001A56D9"/>
    <w:rsid w:val="00234152"/>
    <w:rsid w:val="002C4C1F"/>
    <w:rsid w:val="002F27EF"/>
    <w:rsid w:val="00350F50"/>
    <w:rsid w:val="00362351"/>
    <w:rsid w:val="003C30BD"/>
    <w:rsid w:val="00483080"/>
    <w:rsid w:val="0048498A"/>
    <w:rsid w:val="0048674C"/>
    <w:rsid w:val="0049382A"/>
    <w:rsid w:val="004B5DA5"/>
    <w:rsid w:val="004F509A"/>
    <w:rsid w:val="00510686"/>
    <w:rsid w:val="006001A2"/>
    <w:rsid w:val="0060286D"/>
    <w:rsid w:val="00635588"/>
    <w:rsid w:val="00660698"/>
    <w:rsid w:val="006616C4"/>
    <w:rsid w:val="006B4494"/>
    <w:rsid w:val="007466E1"/>
    <w:rsid w:val="00751BC9"/>
    <w:rsid w:val="00751FCD"/>
    <w:rsid w:val="0077665D"/>
    <w:rsid w:val="007B6AC3"/>
    <w:rsid w:val="007D6612"/>
    <w:rsid w:val="007F63DB"/>
    <w:rsid w:val="008B0B39"/>
    <w:rsid w:val="00907D40"/>
    <w:rsid w:val="009138C5"/>
    <w:rsid w:val="009616AC"/>
    <w:rsid w:val="009709D7"/>
    <w:rsid w:val="009C2504"/>
    <w:rsid w:val="00A01006"/>
    <w:rsid w:val="00A27342"/>
    <w:rsid w:val="00A6489A"/>
    <w:rsid w:val="00A93464"/>
    <w:rsid w:val="00AB6C82"/>
    <w:rsid w:val="00BA6BC3"/>
    <w:rsid w:val="00BB3081"/>
    <w:rsid w:val="00BE67E5"/>
    <w:rsid w:val="00C010AD"/>
    <w:rsid w:val="00C366FD"/>
    <w:rsid w:val="00C51136"/>
    <w:rsid w:val="00C82949"/>
    <w:rsid w:val="00CC7DD4"/>
    <w:rsid w:val="00D20F1C"/>
    <w:rsid w:val="00D664D9"/>
    <w:rsid w:val="00D71C8B"/>
    <w:rsid w:val="00D73119"/>
    <w:rsid w:val="00DB5049"/>
    <w:rsid w:val="00DC06F3"/>
    <w:rsid w:val="00DD642B"/>
    <w:rsid w:val="00DE2A06"/>
    <w:rsid w:val="00E07489"/>
    <w:rsid w:val="00E63096"/>
    <w:rsid w:val="00F97132"/>
    <w:rsid w:val="0220586E"/>
    <w:rsid w:val="030F48BA"/>
    <w:rsid w:val="11F25176"/>
    <w:rsid w:val="163B0AEA"/>
    <w:rsid w:val="1E08587A"/>
    <w:rsid w:val="27D53962"/>
    <w:rsid w:val="2F194CF3"/>
    <w:rsid w:val="38FD08FD"/>
    <w:rsid w:val="3BAB2D63"/>
    <w:rsid w:val="3BD16BBF"/>
    <w:rsid w:val="3E263682"/>
    <w:rsid w:val="3F244204"/>
    <w:rsid w:val="46F12261"/>
    <w:rsid w:val="49193DBE"/>
    <w:rsid w:val="50D9724D"/>
    <w:rsid w:val="580C5452"/>
    <w:rsid w:val="5D163392"/>
    <w:rsid w:val="5F532459"/>
    <w:rsid w:val="6515111C"/>
    <w:rsid w:val="66C562F8"/>
    <w:rsid w:val="689C3844"/>
    <w:rsid w:val="6AE93DF6"/>
    <w:rsid w:val="6D03057C"/>
    <w:rsid w:val="6F2C471C"/>
    <w:rsid w:val="73092C77"/>
    <w:rsid w:val="74940C50"/>
    <w:rsid w:val="75AB44BA"/>
    <w:rsid w:val="78C623FF"/>
    <w:rsid w:val="78E36255"/>
    <w:rsid w:val="79231D4F"/>
    <w:rsid w:val="7B007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napToGrid w:val="0"/>
      <w:spacing w:beforeLines="50" w:line="360" w:lineRule="auto"/>
      <w:ind w:firstLine="0"/>
      <w:outlineLvl w:val="0"/>
    </w:pPr>
    <w:rPr>
      <w:rFonts w:ascii="宋体" w:hAnsi="宋体" w:cs="宋体"/>
      <w:b/>
      <w:color w:val="000000" w:themeColor="text1"/>
      <w:kern w:val="44"/>
      <w:sz w:val="28"/>
    </w:rPr>
  </w:style>
  <w:style w:type="paragraph" w:styleId="3">
    <w:name w:val="heading 2"/>
    <w:basedOn w:val="1"/>
    <w:next w:val="1"/>
    <w:semiHidden/>
    <w:unhideWhenUsed/>
    <w:qFormat/>
    <w:uiPriority w:val="0"/>
    <w:pPr>
      <w:keepNext/>
      <w:keepLines/>
      <w:numPr>
        <w:ilvl w:val="1"/>
        <w:numId w:val="2"/>
      </w:numPr>
      <w:tabs>
        <w:tab w:val="left" w:pos="420"/>
        <w:tab w:val="clear" w:pos="840"/>
      </w:tabs>
      <w:adjustRightInd w:val="0"/>
      <w:spacing w:beforeLines="50" w:line="360" w:lineRule="auto"/>
      <w:ind w:left="0" w:firstLine="0" w:firstLineChars="200"/>
      <w:outlineLvl w:val="1"/>
    </w:pPr>
    <w:rPr>
      <w:rFonts w:ascii="宋体" w:hAnsi="宋体" w:cs="宋体"/>
      <w:b/>
      <w:bCs/>
      <w:color w:val="000000" w:themeColor="text1"/>
      <w:sz w:val="24"/>
      <w:szCs w:val="32"/>
    </w:rPr>
  </w:style>
  <w:style w:type="paragraph" w:styleId="4">
    <w:name w:val="heading 3"/>
    <w:basedOn w:val="3"/>
    <w:next w:val="1"/>
    <w:link w:val="16"/>
    <w:semiHidden/>
    <w:unhideWhenUsed/>
    <w:qFormat/>
    <w:uiPriority w:val="0"/>
    <w:pPr>
      <w:numPr>
        <w:ilvl w:val="0"/>
        <w:numId w:val="3"/>
      </w:numPr>
      <w:tabs>
        <w:tab w:val="left" w:pos="0"/>
        <w:tab w:val="clear" w:pos="420"/>
      </w:tabs>
      <w:ind w:left="0" w:firstLine="480"/>
      <w:outlineLvl w:val="2"/>
    </w:pPr>
  </w:style>
  <w:style w:type="paragraph" w:styleId="5">
    <w:name w:val="heading 4"/>
    <w:basedOn w:val="1"/>
    <w:next w:val="1"/>
    <w:semiHidden/>
    <w:unhideWhenUsed/>
    <w:qFormat/>
    <w:uiPriority w:val="0"/>
    <w:pPr>
      <w:keepNext/>
      <w:keepLines/>
      <w:numPr>
        <w:ilvl w:val="0"/>
        <w:numId w:val="4"/>
      </w:numPr>
      <w:spacing w:line="360" w:lineRule="auto"/>
      <w:ind w:firstLine="480" w:firstLineChars="200"/>
      <w:outlineLvl w:val="3"/>
    </w:pPr>
    <w:rPr>
      <w:rFonts w:ascii="宋体" w:hAnsi="宋体"/>
      <w:color w:val="000000" w:themeColor="text1"/>
      <w:sz w:val="24"/>
    </w:rPr>
  </w:style>
  <w:style w:type="paragraph" w:styleId="6">
    <w:name w:val="heading 5"/>
    <w:basedOn w:val="1"/>
    <w:next w:val="1"/>
    <w:semiHidden/>
    <w:unhideWhenUsed/>
    <w:qFormat/>
    <w:uiPriority w:val="0"/>
    <w:pPr>
      <w:keepNext/>
      <w:keepLines/>
      <w:numPr>
        <w:ilvl w:val="4"/>
        <w:numId w:val="5"/>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5"/>
      </w:numPr>
      <w:spacing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5"/>
      </w:numPr>
      <w:spacing w:line="317" w:lineRule="auto"/>
      <w:outlineLvl w:val="6"/>
    </w:pPr>
    <w:rPr>
      <w:b/>
      <w:sz w:val="24"/>
    </w:rPr>
  </w:style>
  <w:style w:type="paragraph" w:styleId="9">
    <w:name w:val="heading 8"/>
    <w:basedOn w:val="1"/>
    <w:next w:val="1"/>
    <w:semiHidden/>
    <w:unhideWhenUsed/>
    <w:qFormat/>
    <w:uiPriority w:val="0"/>
    <w:pPr>
      <w:keepNext/>
      <w:keepLines/>
      <w:numPr>
        <w:ilvl w:val="7"/>
        <w:numId w:val="5"/>
      </w:numPr>
      <w:spacing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5"/>
      </w:numPr>
      <w:spacing w:line="317" w:lineRule="auto"/>
      <w:outlineLvl w:val="8"/>
    </w:pPr>
    <w:rPr>
      <w:rFonts w:ascii="Arial" w:hAnsi="Arial" w:eastAsia="黑体"/>
    </w:rPr>
  </w:style>
  <w:style w:type="character" w:default="1" w:styleId="14">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next w:val="1"/>
    <w:link w:val="20"/>
    <w:qFormat/>
    <w:uiPriority w:val="0"/>
    <w:pPr>
      <w:spacing w:line="360" w:lineRule="auto"/>
    </w:pPr>
    <w:rPr>
      <w:rFonts w:ascii="宋体" w:hAnsi="宋体"/>
      <w:sz w:val="28"/>
    </w:rPr>
  </w:style>
  <w:style w:type="paragraph" w:styleId="12">
    <w:name w:val="footer"/>
    <w:basedOn w:val="1"/>
    <w:link w:val="18"/>
    <w:qFormat/>
    <w:uiPriority w:val="0"/>
    <w:pPr>
      <w:tabs>
        <w:tab w:val="center" w:pos="4153"/>
        <w:tab w:val="right" w:pos="8306"/>
      </w:tabs>
      <w:snapToGrid w:val="0"/>
      <w:jc w:val="left"/>
    </w:pPr>
    <w:rPr>
      <w:sz w:val="18"/>
      <w:szCs w:val="18"/>
    </w:rPr>
  </w:style>
  <w:style w:type="paragraph" w:styleId="1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标题 3 Char"/>
    <w:link w:val="4"/>
    <w:qFormat/>
    <w:uiPriority w:val="0"/>
    <w:rPr>
      <w:rFonts w:ascii="宋体" w:hAnsi="宋体" w:eastAsia="宋体"/>
      <w:b/>
      <w:color w:val="000000" w:themeColor="text1"/>
      <w:sz w:val="24"/>
    </w:rPr>
  </w:style>
  <w:style w:type="character" w:customStyle="1" w:styleId="17">
    <w:name w:val="页眉 Char"/>
    <w:basedOn w:val="14"/>
    <w:link w:val="13"/>
    <w:qFormat/>
    <w:uiPriority w:val="0"/>
    <w:rPr>
      <w:rFonts w:ascii="Calibri" w:hAnsi="Calibri" w:eastAsia="宋体" w:cs="Times New Roman"/>
      <w:kern w:val="2"/>
      <w:sz w:val="18"/>
      <w:szCs w:val="18"/>
    </w:rPr>
  </w:style>
  <w:style w:type="character" w:customStyle="1" w:styleId="18">
    <w:name w:val="页脚 Char"/>
    <w:basedOn w:val="14"/>
    <w:link w:val="12"/>
    <w:qFormat/>
    <w:uiPriority w:val="0"/>
    <w:rPr>
      <w:rFonts w:ascii="Calibri" w:hAnsi="Calibri" w:eastAsia="宋体" w:cs="Times New Roman"/>
      <w:kern w:val="2"/>
      <w:sz w:val="18"/>
      <w:szCs w:val="18"/>
    </w:rPr>
  </w:style>
  <w:style w:type="character" w:customStyle="1" w:styleId="19">
    <w:name w:val="正文文本 Char"/>
    <w:basedOn w:val="14"/>
    <w:link w:val="11"/>
    <w:qFormat/>
    <w:uiPriority w:val="0"/>
    <w:rPr>
      <w:rFonts w:ascii="Calibri" w:hAnsi="Calibri" w:eastAsia="宋体" w:cs="Times New Roman"/>
      <w:kern w:val="2"/>
      <w:sz w:val="21"/>
      <w:szCs w:val="24"/>
    </w:rPr>
  </w:style>
  <w:style w:type="character" w:customStyle="1" w:styleId="20">
    <w:name w:val="正文文本 Char1"/>
    <w:link w:val="11"/>
    <w:qFormat/>
    <w:uiPriority w:val="0"/>
    <w:rPr>
      <w:rFonts w:ascii="宋体" w:hAnsi="宋体" w:eastAsia="宋体" w:cs="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355</Words>
  <Characters>2030</Characters>
  <Lines>16</Lines>
  <Paragraphs>4</Paragraphs>
  <TotalTime>397</TotalTime>
  <ScaleCrop>false</ScaleCrop>
  <LinksUpToDate>false</LinksUpToDate>
  <CharactersWithSpaces>2381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2023-10-08T08:47:00Z</dcterms:created>
  <dc:creator> 猫</dc:creator>
  <cp:lastModifiedBy>彭阳局信息员</cp:lastModifiedBy>
  <dcterms:modified xsi:type="dcterms:W3CDTF">2023-11-12T10:07:04Z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751862450B0047288B1840B1F40351E5_13</vt:lpwstr>
  </property>
</Properties>
</file>