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彭阳县古城镇罗山村、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eastAsia="zh-CN"/>
        </w:rPr>
        <w:t>甘海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村、王大户村、丁岗堡村村庄规划（2023-2035年）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《彭阳县古城镇罗山村、甘海村、王大户村、丁岗堡村“多规合一”实用性村庄规划（2023-2035年）》。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本次规划范围为彭阳县古城镇罗山村、甘海村、王大户村、丁岗堡村四村连片的行政辖区内的全域国土空间，四村村域总面积为7299.56公顷。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其中罗山村国土面积为3112.87公顷，辖5个村民小组，分别为天喜湾组、罗山组、石湾组、党阳洼组和吴渠组。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甘海村国土面积为857.63公顷，辖4个村民小组，分别为姚湾组、甘海组、白杨庄组和杨庄组。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王大户村国土面积为1799.07公顷，辖1个村民小组为王大户组。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丁岗堡村国土面积为1529.99公顷，辖7个村民小组，分别为崾岘组、阳山组、里湾组、堡子组、南山组、酸刺湾组和涝子湾组。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本次村庄规划以2022年为基期年，规划期限2023-2035年，规划近期至2025年，远期至2035年。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规划王大户村和罗山村为特色保护类村庄，丁岗堡村和甘海村为整治改善类村庄。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四村的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罗山村、甘海村、王大户村、丁岗堡村四村连片区域定位为：固原市红梅杏种植及养殖基地、彭阳县生态宜居美丽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93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3、国土空间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落实上位规划定的生态保护红线5094.96公顷。其中，罗山村涉及2539.55公顷，甘海村涉及410.10公顷，王大户村涉及1479.85公顷，丁岗堡村涉及665.46公顷。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落实上位规划定的永久基本农田875.85公顷。其中，罗山村涉及159.11公顷，甘海村涉及190.60公顷，王大户村涉及105.03公顷，丁岗堡村涉及421.11公顷。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至规划期末，划定罗山村、甘海村、王大户村、丁岗堡村村庄建设边界规模53.9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9公顷，其中罗山村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11.16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公顷、甘海村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17.66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公顷、王大户村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公顷、丁岗堡村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19.15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规划城乡建设用地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53.99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公顷，均为村庄建设用地，其中罗山村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11.16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公顷、甘海村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17.66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公顷、王大户村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公顷、丁岗堡村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19.15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公顷；区域基础设施建设用地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28.70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公顷，其中罗山村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20.63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公顷、甘海村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5.95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公顷、王大户村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公顷、丁岗堡村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公顷；其他建设用地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0.44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公顷，其中罗山村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公顷、甘海村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公顷、王大户村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公顷、丁岗堡村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结合四个村庄资源特色，打破村庄孤立发展局面，统筹四个村庄的定位和主题，引导村庄错位发展，让游客感受不同的景观和体验，使四个村产业互补，跨村协同发展。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结合四个村庄地理位置，</w:t>
      </w:r>
      <w:bookmarkStart w:id="1" w:name="_Toc22517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规划提出“一带三区，一芯多节点”的产业空间发展格局。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一带：依托川口河河谷流域耕地及滨水资源，引导建设农旅产业综合示范带。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三区：结合现状资源特色及产业布局打造传统农业种植区、生态林地养生区和产业综合服务区三大功能区，依托各区产业定位及合理规划产业发展节点。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一芯：四村中部甘海村内，建设产业服务中心，为农产品在地加工、产业链延伸做好配套。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多节点：依托四村内资源条件，构筑产业联动轴，促进资源高效利用。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连片规划的四个村庄中，共涉及2处文物保护单位，其中1处为省级文物保护单位圪垯梁遗址，位于罗山村天喜湾组；1处为县级文物保护单位王大户墓地，位于王大户村王大户组。非物质文化遗产主要以秦腔和窑洞营造技艺为主，在罗山村、甘海村、王大户村、丁岗堡村均有涉及。历史环境要素有古树、古地道等。其中有古柏树1棵，树龄为一千多年，位于王大户村王大户组；有古地道1处，为同治年前修建，位于王大户村王大户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2022年修订版）要求，新建住宅的宅基地面积（包括附属用房、庭院用地）使用水浇地的，每户不得超过270㎡；使用平川旱作耕地的，每户不得超过400㎡；使用山坡地的，每户不得超过540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10米，距乡道不少于5米，距村主要道路不少于3米；沿山体周边建设时，不得新增削坡建房，距山体护坡沿不少于6米；沿河溪建房时，距河溪边沿不少于15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产业发展：经营性建设用地建筑密度需控制在70%以下，建筑高度不超过18米（若该经营性建设用地靠近文保单位，则限高需按文物保护相关控制要求进行调整），容积率不超过2.0。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3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QwMzI1MTZjZTY5Mjk5Y2IwMTZkODRlMmVjM2UifQ=="/>
  </w:docVars>
  <w:rsids>
    <w:rsidRoot w:val="030F48BA"/>
    <w:rsid w:val="030F48BA"/>
    <w:rsid w:val="0E0E6405"/>
    <w:rsid w:val="0FBD5762"/>
    <w:rsid w:val="11F25176"/>
    <w:rsid w:val="19752203"/>
    <w:rsid w:val="1DA34073"/>
    <w:rsid w:val="27D53962"/>
    <w:rsid w:val="32C41E73"/>
    <w:rsid w:val="35920ADE"/>
    <w:rsid w:val="365E4AAD"/>
    <w:rsid w:val="3BAB2D63"/>
    <w:rsid w:val="3D9218EF"/>
    <w:rsid w:val="3EC66E2E"/>
    <w:rsid w:val="3F244204"/>
    <w:rsid w:val="46F12261"/>
    <w:rsid w:val="49193DBE"/>
    <w:rsid w:val="4E272F2C"/>
    <w:rsid w:val="50D9724D"/>
    <w:rsid w:val="51C72BFC"/>
    <w:rsid w:val="57610906"/>
    <w:rsid w:val="5E800492"/>
    <w:rsid w:val="60794A1B"/>
    <w:rsid w:val="6AE93DF6"/>
    <w:rsid w:val="74C16DC5"/>
    <w:rsid w:val="78C623FF"/>
    <w:rsid w:val="78E36255"/>
    <w:rsid w:val="79231D4F"/>
    <w:rsid w:val="7B2716A4"/>
    <w:rsid w:val="7BE62314"/>
    <w:rsid w:val="7D4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6CE504017EE04ADE845DBB7F9F1D398B_11</vt:lpwstr>
  </property>
</Properties>
</file>