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4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彭阳县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2024年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社会保险基金预算编制说明</w:t>
      </w:r>
    </w:p>
    <w:p>
      <w:pPr>
        <w:pStyle w:val="10"/>
        <w:spacing w:line="500" w:lineRule="atLeast"/>
        <w:ind w:right="-57"/>
        <w:jc w:val="center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2024年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社会保险基金预算按险种分别编制，由于企业职工基本养老保险基金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纳入区级统筹，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城镇职工基本医疗保险基金（生育保险基金）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城乡居民基本医疗保险基金纳入市级统筹，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所以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县本级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编制城乡居民社会养老保险基金、机关事业单位基本养老保险基金、工伤保险基金、失业保险基金收支预算，现将编制情况说明如下：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一、收入预算情况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根据社会保险参保人数、社会保险费率、上年社会平均工资水平、工资增长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社会保险缴费基数变化、社会保险政策调整等因素合理确定社会保险费收入。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2024年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全县社会保险基金总收入预算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" w:eastAsia="zh-CN"/>
        </w:rPr>
        <w:t>41775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同比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增长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29.25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%。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其中：社会保险基金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预算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17043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万元，财政补贴收入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23996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万元，利息收入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375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委托投资收益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340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，转移收入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21万元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。分险种收入情况为：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 w:val="0"/>
          <w:bCs/>
          <w:color w:val="auto"/>
          <w:sz w:val="32"/>
          <w:szCs w:val="32"/>
          <w:highlight w:val="none"/>
        </w:rPr>
        <w:t>（一）城乡居民养老保险基金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2024年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城乡居民养老保险基金收入预算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11644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同比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增长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12.63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%。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其中：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社会保险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费收入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2133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万元，财政补贴收入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8863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万元，利息收入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308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委托投资收益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340万元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，转移收入1万元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 w:val="0"/>
          <w:bCs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" w:cs="Times New Roman"/>
          <w:b w:val="0"/>
          <w:bCs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楷体" w:cs="Times New Roman"/>
          <w:b w:val="0"/>
          <w:bCs/>
          <w:color w:val="auto"/>
          <w:sz w:val="32"/>
          <w:szCs w:val="32"/>
          <w:highlight w:val="none"/>
        </w:rPr>
        <w:t>）机关事业单位基本养老保险基金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2024年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机关事业单位基本养老保险基金收入预算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2626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同比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增长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42.81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%。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其中：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基本养老保险费收入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1325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财政补贴收入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12920万元，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利息收入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，转移收入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20万元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 w:val="0"/>
          <w:bCs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" w:cs="Times New Roman"/>
          <w:b w:val="0"/>
          <w:bCs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楷体" w:cs="Times New Roman"/>
          <w:b w:val="0"/>
          <w:bCs/>
          <w:color w:val="auto"/>
          <w:sz w:val="32"/>
          <w:szCs w:val="32"/>
          <w:highlight w:val="none"/>
        </w:rPr>
        <w:t>）工伤保险基金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2024年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工伤保险基金收入预算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1835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同比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增长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108.93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%。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其中：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工伤保险费收入为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455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，财政补贴收入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1379万元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，利息收入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 w:val="0"/>
          <w:bCs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" w:cs="Times New Roman"/>
          <w:b w:val="0"/>
          <w:bCs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default" w:ascii="Times New Roman" w:hAnsi="Times New Roman" w:eastAsia="楷体" w:cs="Times New Roman"/>
          <w:b w:val="0"/>
          <w:bCs/>
          <w:color w:val="auto"/>
          <w:sz w:val="32"/>
          <w:szCs w:val="32"/>
          <w:highlight w:val="none"/>
        </w:rPr>
        <w:t>）失业保险基金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2024年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失业保险基金总收入预算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2035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同比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增长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79.93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%。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其中：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失业保险费收入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1200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财政补贴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843万元，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利息收入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二、支出预算情况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2024年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全县社会养老保险基金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预算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34833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同比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增长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3.19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%。分险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种支出情况为：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/>
          <w:color w:val="auto"/>
          <w:sz w:val="32"/>
          <w:szCs w:val="32"/>
        </w:rPr>
        <w:t>（一）城乡居民社会养老保险基金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2024年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城乡居民养老保险基金支出预算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8998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同比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增长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18.1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%。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其中：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基础养老金支出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807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万元，个人账户养老金支出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633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万元，丧葬抚恤补助支出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287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万元，转移支出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 w:val="0"/>
          <w:bCs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" w:cs="Times New Roman"/>
          <w:b w:val="0"/>
          <w:bCs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楷体" w:cs="Times New Roman"/>
          <w:b w:val="0"/>
          <w:bCs/>
          <w:color w:val="auto"/>
          <w:sz w:val="32"/>
          <w:szCs w:val="32"/>
          <w:highlight w:val="none"/>
        </w:rPr>
        <w:t>）机关事业单位基本养老保险基金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2024年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机关事业单位养老保险基金支出预算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21965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同比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增长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8.87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%，全部为基本养老金支出。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 w:val="0"/>
          <w:bCs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" w:cs="Times New Roman"/>
          <w:b w:val="0"/>
          <w:bCs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楷体" w:cs="Times New Roman"/>
          <w:b w:val="0"/>
          <w:bCs/>
          <w:color w:val="auto"/>
          <w:sz w:val="32"/>
          <w:szCs w:val="32"/>
          <w:highlight w:val="none"/>
        </w:rPr>
        <w:t>）工伤保险基金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2024年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工伤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保险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基金总支出预算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1835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同比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增长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134.15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%。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其中：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工伤保险待遇支出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1369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工伤预防费支出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10万元，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上解上级支出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456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 w:val="0"/>
          <w:bCs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" w:cs="Times New Roman"/>
          <w:b w:val="0"/>
          <w:bCs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default" w:ascii="Times New Roman" w:hAnsi="Times New Roman" w:eastAsia="楷体" w:cs="Times New Roman"/>
          <w:b w:val="0"/>
          <w:bCs/>
          <w:color w:val="auto"/>
          <w:sz w:val="32"/>
          <w:szCs w:val="32"/>
          <w:highlight w:val="none"/>
        </w:rPr>
        <w:t>）失业保险基金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2024年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失业保险基金总支出预算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2035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同比增长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94.25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%。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其中：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失业保险金支出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448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基本医疗保险费支出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128万元，其他费用支出4万元，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稳定岗位补贴支出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248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，技能提升支出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3万元，其他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上解上级支出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1201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经汇总，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2024年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预算执行结果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社会保险基金收入预算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41775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万元，社会保险基金支出预算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34833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万元，收支相抵后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，当年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结余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6942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万元，年末滚存结余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36892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需要说明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事项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因随物价和工资指数的增长，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以及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机关事业单位到龄退休人员增加等因素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影响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预计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机关事业单位基本养老保险基金当年出现缺口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11000万元，需要县级财力进行弥补。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（二）由于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编制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2024年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社会保险基金预算时，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社会保险基金决算尚未编报，年度对比分析时使用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初步汇总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执行数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；上级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财政部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尚未下达2024年社会保险基金预算任务，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填报口径、参数等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未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最终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确定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因此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，编制的2024年社会保险基金预算数据和2023年的执行数，会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与最终上报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自治区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财政厅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审定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批复的数据有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所变化。对此，将在年度调整预算时，向人大常委会进行专题汇报。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588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420" w:leftChars="200" w:right="420" w:rightChars="200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91584"/>
    <w:rsid w:val="00006F42"/>
    <w:rsid w:val="00091C9E"/>
    <w:rsid w:val="001123DF"/>
    <w:rsid w:val="00133DFA"/>
    <w:rsid w:val="001E7B15"/>
    <w:rsid w:val="00220775"/>
    <w:rsid w:val="002645CB"/>
    <w:rsid w:val="002F21AB"/>
    <w:rsid w:val="00321709"/>
    <w:rsid w:val="00367AE5"/>
    <w:rsid w:val="003A148F"/>
    <w:rsid w:val="003F4977"/>
    <w:rsid w:val="00404587"/>
    <w:rsid w:val="004233EA"/>
    <w:rsid w:val="004273F0"/>
    <w:rsid w:val="00477954"/>
    <w:rsid w:val="0048584E"/>
    <w:rsid w:val="004B6A52"/>
    <w:rsid w:val="00515B4D"/>
    <w:rsid w:val="0053685D"/>
    <w:rsid w:val="00566458"/>
    <w:rsid w:val="005C138B"/>
    <w:rsid w:val="00665CF9"/>
    <w:rsid w:val="00677C62"/>
    <w:rsid w:val="0068525F"/>
    <w:rsid w:val="006868CF"/>
    <w:rsid w:val="006A4F33"/>
    <w:rsid w:val="006B1428"/>
    <w:rsid w:val="006D5B2D"/>
    <w:rsid w:val="00700D6C"/>
    <w:rsid w:val="00742982"/>
    <w:rsid w:val="00793215"/>
    <w:rsid w:val="007A3F3F"/>
    <w:rsid w:val="008032E8"/>
    <w:rsid w:val="00840ED4"/>
    <w:rsid w:val="008471B2"/>
    <w:rsid w:val="0085075B"/>
    <w:rsid w:val="008769FB"/>
    <w:rsid w:val="008D461A"/>
    <w:rsid w:val="00991584"/>
    <w:rsid w:val="009A715C"/>
    <w:rsid w:val="00A54C2F"/>
    <w:rsid w:val="00A54D12"/>
    <w:rsid w:val="00A63340"/>
    <w:rsid w:val="00AE60A6"/>
    <w:rsid w:val="00B04492"/>
    <w:rsid w:val="00B35DEA"/>
    <w:rsid w:val="00B70B31"/>
    <w:rsid w:val="00C33639"/>
    <w:rsid w:val="00C46ADD"/>
    <w:rsid w:val="00CB135F"/>
    <w:rsid w:val="00CD3E23"/>
    <w:rsid w:val="00D32302"/>
    <w:rsid w:val="00D4586E"/>
    <w:rsid w:val="00D87246"/>
    <w:rsid w:val="00DA74EC"/>
    <w:rsid w:val="00E34B89"/>
    <w:rsid w:val="00E65201"/>
    <w:rsid w:val="00E7665B"/>
    <w:rsid w:val="00F024EE"/>
    <w:rsid w:val="00F137A8"/>
    <w:rsid w:val="00F911AD"/>
    <w:rsid w:val="00FF344C"/>
    <w:rsid w:val="01B00C5D"/>
    <w:rsid w:val="01B30E94"/>
    <w:rsid w:val="027929FD"/>
    <w:rsid w:val="02E36839"/>
    <w:rsid w:val="04DA1AAC"/>
    <w:rsid w:val="05B42851"/>
    <w:rsid w:val="08755953"/>
    <w:rsid w:val="09A136EA"/>
    <w:rsid w:val="0BA756E7"/>
    <w:rsid w:val="0F0349D5"/>
    <w:rsid w:val="1201703D"/>
    <w:rsid w:val="12370083"/>
    <w:rsid w:val="1B636D5E"/>
    <w:rsid w:val="25E74459"/>
    <w:rsid w:val="261D24AD"/>
    <w:rsid w:val="2A003AD7"/>
    <w:rsid w:val="2B9FF0C9"/>
    <w:rsid w:val="2FBF8719"/>
    <w:rsid w:val="377B77C2"/>
    <w:rsid w:val="3B7B0ACA"/>
    <w:rsid w:val="43614A4F"/>
    <w:rsid w:val="447E6297"/>
    <w:rsid w:val="4D6A2CDD"/>
    <w:rsid w:val="512447F5"/>
    <w:rsid w:val="51333CE5"/>
    <w:rsid w:val="53BC6D90"/>
    <w:rsid w:val="59B7110E"/>
    <w:rsid w:val="5A2F2C84"/>
    <w:rsid w:val="5EFEF9E0"/>
    <w:rsid w:val="6FA6034F"/>
    <w:rsid w:val="7150572D"/>
    <w:rsid w:val="738E368D"/>
    <w:rsid w:val="77532FC7"/>
    <w:rsid w:val="777F36D8"/>
    <w:rsid w:val="7BFCD18E"/>
    <w:rsid w:val="7DBB7424"/>
    <w:rsid w:val="7DFF338C"/>
    <w:rsid w:val="7F9B07C8"/>
    <w:rsid w:val="7FAD57E9"/>
    <w:rsid w:val="7FBDE6DE"/>
    <w:rsid w:val="7FFBD8C4"/>
    <w:rsid w:val="99FF3FFA"/>
    <w:rsid w:val="BF7F07E9"/>
    <w:rsid w:val="C9FF304B"/>
    <w:rsid w:val="D6D71A8D"/>
    <w:rsid w:val="DDDBA6BD"/>
    <w:rsid w:val="E6F76869"/>
    <w:rsid w:val="EF7C459F"/>
    <w:rsid w:val="F40BEBE6"/>
    <w:rsid w:val="F68A230C"/>
    <w:rsid w:val="FA7B79AC"/>
    <w:rsid w:val="FDB75EFE"/>
    <w:rsid w:val="FE5F0D97"/>
    <w:rsid w:val="FFEB9380"/>
    <w:rsid w:val="FFEF4104"/>
    <w:rsid w:val="FFEF8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Char Char Char Char Char Char Char Char Char Char"/>
    <w:basedOn w:val="1"/>
    <w:qFormat/>
    <w:uiPriority w:val="0"/>
  </w:style>
  <w:style w:type="paragraph" w:customStyle="1" w:styleId="10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1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372</Words>
  <Characters>2121</Characters>
  <Lines>17</Lines>
  <Paragraphs>4</Paragraphs>
  <TotalTime>1</TotalTime>
  <ScaleCrop>false</ScaleCrop>
  <LinksUpToDate>false</LinksUpToDate>
  <CharactersWithSpaces>2489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2019-12-11T09:19:00Z</dcterms:created>
  <dc:creator>Administrator</dc:creator>
  <cp:lastModifiedBy>lhy</cp:lastModifiedBy>
  <dcterms:modified xsi:type="dcterms:W3CDTF">2024-01-02T16:06:15Z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