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rPr>
      </w:pPr>
      <w:bookmarkStart w:id="0" w:name="_GoBack"/>
      <w:bookmarkEnd w:id="0"/>
      <w:r>
        <w:rPr>
          <w:rFonts w:hint="default" w:ascii="Times New Roman" w:hAnsi="Times New Roman" w:eastAsia="方正小标宋简体" w:cs="Times New Roman"/>
          <w:color w:val="auto"/>
          <w:sz w:val="44"/>
          <w:szCs w:val="44"/>
        </w:rPr>
        <w:t>彭阳县</w:t>
      </w:r>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lang w:eastAsia="zh-CN"/>
        </w:rPr>
        <w:t>年</w:t>
      </w:r>
      <w:r>
        <w:rPr>
          <w:rFonts w:hint="default" w:ascii="Times New Roman" w:hAnsi="Times New Roman" w:eastAsia="方正小标宋简体" w:cs="Times New Roman"/>
          <w:color w:val="auto"/>
          <w:sz w:val="44"/>
          <w:szCs w:val="44"/>
        </w:rPr>
        <w:t>社会保险基金预算编制说明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社会保险基金预算按险种分别编制，范围包括企业职工基本养老保险基金、机关事业单位基本养老保险基金、失业保险基金、城镇职工基本医疗保险基金（生育保险基金）、工伤保险基金、统筹城乡居民社会养老保险基金、城乡居民基本医疗保险基金。由于企业职工基本养老保险基金</w:t>
      </w:r>
      <w:r>
        <w:rPr>
          <w:rFonts w:hint="default" w:ascii="Times New Roman" w:hAnsi="Times New Roman" w:eastAsia="仿宋_GB2312" w:cs="Times New Roman"/>
          <w:color w:val="auto"/>
          <w:sz w:val="32"/>
          <w:szCs w:val="32"/>
          <w:lang w:eastAsia="zh-CN"/>
        </w:rPr>
        <w:t>纳入区级统筹，</w:t>
      </w:r>
      <w:r>
        <w:rPr>
          <w:rFonts w:hint="default" w:ascii="Times New Roman" w:hAnsi="Times New Roman" w:eastAsia="仿宋_GB2312" w:cs="Times New Roman"/>
          <w:color w:val="auto"/>
          <w:sz w:val="32"/>
          <w:szCs w:val="32"/>
        </w:rPr>
        <w:t>城镇职工基本医疗保险基金（生育保险基金）、城乡居民基本医疗保险基金纳入市级统筹，县本级只编制统筹城乡居民社会养老保险基金、机关事业单位基本养老保险基金、工伤保险基金、失业保险基金收支预算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现将编制情况说明如下：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根据社会保险参保人数、社会保险费率、上年社会平均工资水平、工资增长</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社会保险缴费基数变化、社会保险政策调整等因素合理确定社会保险费收入。</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全县社会保险基金总收入预算</w:t>
      </w:r>
      <w:r>
        <w:rPr>
          <w:rFonts w:hint="default" w:ascii="Times New Roman" w:hAnsi="Times New Roman" w:eastAsia="仿宋_GB2312" w:cs="Times New Roman"/>
          <w:color w:val="auto"/>
          <w:sz w:val="32"/>
          <w:szCs w:val="32"/>
          <w:highlight w:val="none"/>
          <w:lang w:val="en-US" w:eastAsia="zh-CN"/>
        </w:rPr>
        <w:t>30435.87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12.10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其中：社会保险基金收入预算</w:t>
      </w:r>
      <w:r>
        <w:rPr>
          <w:rFonts w:hint="default" w:ascii="Times New Roman" w:hAnsi="Times New Roman" w:eastAsia="仿宋_GB2312" w:cs="Times New Roman"/>
          <w:color w:val="auto"/>
          <w:sz w:val="32"/>
          <w:szCs w:val="32"/>
          <w:highlight w:val="none"/>
          <w:lang w:val="en-US" w:eastAsia="zh-CN"/>
        </w:rPr>
        <w:t>16490.11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，财政补贴收入</w:t>
      </w:r>
      <w:r>
        <w:rPr>
          <w:rFonts w:hint="default" w:ascii="Times New Roman" w:hAnsi="Times New Roman" w:eastAsia="仿宋_GB2312" w:cs="Times New Roman"/>
          <w:color w:val="auto"/>
          <w:sz w:val="32"/>
          <w:szCs w:val="32"/>
          <w:highlight w:val="none"/>
          <w:lang w:val="en-US" w:eastAsia="zh-CN"/>
        </w:rPr>
        <w:t>13274.21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元，利息收入</w:t>
      </w:r>
      <w:r>
        <w:rPr>
          <w:rFonts w:hint="default" w:ascii="Times New Roman" w:hAnsi="Times New Roman" w:eastAsia="仿宋_GB2312" w:cs="Times New Roman"/>
          <w:color w:val="auto"/>
          <w:sz w:val="32"/>
          <w:szCs w:val="32"/>
          <w:highlight w:val="none"/>
          <w:lang w:val="en-US" w:eastAsia="zh-CN"/>
        </w:rPr>
        <w:t>314.75</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委托投资收益</w:t>
      </w:r>
      <w:r>
        <w:rPr>
          <w:rFonts w:hint="default" w:ascii="Times New Roman" w:hAnsi="Times New Roman" w:eastAsia="仿宋_GB2312" w:cs="Times New Roman"/>
          <w:color w:val="auto"/>
          <w:sz w:val="32"/>
          <w:szCs w:val="32"/>
          <w:highlight w:val="none"/>
          <w:lang w:val="en-US" w:eastAsia="zh-CN"/>
        </w:rPr>
        <w:t>303.50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，转移收入</w:t>
      </w:r>
      <w:r>
        <w:rPr>
          <w:rFonts w:hint="default" w:ascii="Times New Roman" w:hAnsi="Times New Roman" w:eastAsia="仿宋_GB2312" w:cs="Times New Roman"/>
          <w:color w:val="auto"/>
          <w:sz w:val="32"/>
          <w:szCs w:val="32"/>
          <w:lang w:val="en-US" w:eastAsia="zh-CN"/>
        </w:rPr>
        <w:t>53.30万元</w:t>
      </w:r>
      <w:r>
        <w:rPr>
          <w:rFonts w:hint="default" w:ascii="Times New Roman" w:hAnsi="Times New Roman" w:eastAsia="仿宋_GB2312" w:cs="Times New Roman"/>
          <w:color w:val="auto"/>
          <w:sz w:val="32"/>
          <w:szCs w:val="32"/>
        </w:rPr>
        <w:t>。分险种收入情况为：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（一）城乡居民</w:t>
      </w:r>
      <w:r>
        <w:rPr>
          <w:rFonts w:hint="default" w:ascii="Times New Roman" w:hAnsi="Times New Roman" w:eastAsia="楷体" w:cs="Times New Roman"/>
          <w:b w:val="0"/>
          <w:bCs/>
          <w:color w:val="auto"/>
          <w:sz w:val="32"/>
          <w:szCs w:val="32"/>
          <w:lang w:eastAsia="zh-CN"/>
        </w:rPr>
        <w:t>基本</w:t>
      </w:r>
      <w:r>
        <w:rPr>
          <w:rFonts w:hint="default" w:ascii="Times New Roman" w:hAnsi="Times New Roman" w:eastAsia="楷体" w:cs="Times New Roman"/>
          <w:b w:val="0"/>
          <w:bCs/>
          <w:color w:val="auto"/>
          <w:sz w:val="32"/>
          <w:szCs w:val="32"/>
        </w:rPr>
        <w:t>养老保险基金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城乡居民</w:t>
      </w:r>
      <w:r>
        <w:rPr>
          <w:rFonts w:hint="default" w:ascii="Times New Roman" w:hAnsi="Times New Roman" w:eastAsia="仿宋_GB2312" w:cs="Times New Roman"/>
          <w:color w:val="auto"/>
          <w:sz w:val="32"/>
          <w:szCs w:val="32"/>
          <w:lang w:eastAsia="zh-CN"/>
        </w:rPr>
        <w:t>基本</w:t>
      </w:r>
      <w:r>
        <w:rPr>
          <w:rFonts w:hint="default" w:ascii="Times New Roman" w:hAnsi="Times New Roman" w:eastAsia="仿宋_GB2312" w:cs="Times New Roman"/>
          <w:color w:val="auto"/>
          <w:sz w:val="32"/>
          <w:szCs w:val="32"/>
        </w:rPr>
        <w:t>养老保险基金收入预算安排</w:t>
      </w:r>
      <w:r>
        <w:rPr>
          <w:rFonts w:hint="default" w:ascii="Times New Roman" w:hAnsi="Times New Roman" w:eastAsia="仿宋_GB2312" w:cs="Times New Roman"/>
          <w:color w:val="auto"/>
          <w:sz w:val="32"/>
          <w:szCs w:val="32"/>
          <w:highlight w:val="none"/>
          <w:lang w:val="en-US" w:eastAsia="zh-CN"/>
        </w:rPr>
        <w:t>10338.22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9.18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个人缴费收入</w:t>
      </w:r>
      <w:r>
        <w:rPr>
          <w:rFonts w:hint="default" w:ascii="Times New Roman" w:hAnsi="Times New Roman" w:eastAsia="仿宋_GB2312" w:cs="Times New Roman"/>
          <w:color w:val="auto"/>
          <w:sz w:val="32"/>
          <w:szCs w:val="32"/>
          <w:highlight w:val="none"/>
          <w:lang w:val="en-US" w:eastAsia="zh-CN"/>
        </w:rPr>
        <w:t>1822.51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元，财政补贴收</w:t>
      </w:r>
      <w:r>
        <w:rPr>
          <w:rFonts w:hint="default" w:ascii="Times New Roman" w:hAnsi="Times New Roman" w:eastAsia="仿宋_GB2312" w:cs="Times New Roman"/>
          <w:color w:val="auto"/>
          <w:sz w:val="32"/>
          <w:szCs w:val="32"/>
          <w:highlight w:val="none"/>
        </w:rPr>
        <w:t>入</w:t>
      </w:r>
      <w:r>
        <w:rPr>
          <w:rFonts w:hint="default" w:ascii="Times New Roman" w:hAnsi="Times New Roman" w:eastAsia="仿宋_GB2312" w:cs="Times New Roman"/>
          <w:color w:val="auto"/>
          <w:sz w:val="32"/>
          <w:szCs w:val="32"/>
          <w:highlight w:val="none"/>
          <w:lang w:val="en-US" w:eastAsia="zh-CN"/>
        </w:rPr>
        <w:t>7921.21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元，利息收入</w:t>
      </w:r>
      <w:r>
        <w:rPr>
          <w:rFonts w:hint="default" w:ascii="Times New Roman" w:hAnsi="Times New Roman" w:eastAsia="仿宋_GB2312" w:cs="Times New Roman"/>
          <w:color w:val="auto"/>
          <w:sz w:val="32"/>
          <w:szCs w:val="32"/>
          <w:highlight w:val="none"/>
          <w:lang w:val="en-US" w:eastAsia="zh-CN"/>
        </w:rPr>
        <w:t>285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委托投资收益</w:t>
      </w:r>
      <w:r>
        <w:rPr>
          <w:rFonts w:hint="default" w:ascii="Times New Roman" w:hAnsi="Times New Roman" w:eastAsia="仿宋_GB2312" w:cs="Times New Roman"/>
          <w:color w:val="auto"/>
          <w:sz w:val="32"/>
          <w:szCs w:val="32"/>
          <w:highlight w:val="none"/>
          <w:lang w:val="en-US" w:eastAsia="zh-CN"/>
        </w:rPr>
        <w:t>303.50万元</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二</w:t>
      </w:r>
      <w:r>
        <w:rPr>
          <w:rFonts w:hint="default" w:ascii="Times New Roman" w:hAnsi="Times New Roman" w:eastAsia="楷体" w:cs="Times New Roman"/>
          <w:b w:val="0"/>
          <w:bCs/>
          <w:color w:val="auto"/>
          <w:sz w:val="32"/>
          <w:szCs w:val="32"/>
        </w:rPr>
        <w:t>）机关事业单位基本养老保险基金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机关事业单位基本养老保险基金收入预算安排</w:t>
      </w:r>
      <w:r>
        <w:rPr>
          <w:rFonts w:hint="default" w:ascii="Times New Roman" w:hAnsi="Times New Roman" w:eastAsia="仿宋_GB2312" w:cs="Times New Roman"/>
          <w:color w:val="auto"/>
          <w:sz w:val="32"/>
          <w:szCs w:val="32"/>
          <w:highlight w:val="none"/>
          <w:lang w:val="en-US" w:eastAsia="zh-CN"/>
        </w:rPr>
        <w:t>18388.92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highlight w:val="none"/>
        </w:rPr>
        <w:t>增长</w:t>
      </w:r>
      <w:r>
        <w:rPr>
          <w:rFonts w:hint="default" w:ascii="Times New Roman" w:hAnsi="Times New Roman" w:eastAsia="仿宋_GB2312" w:cs="Times New Roman"/>
          <w:color w:val="auto"/>
          <w:sz w:val="32"/>
          <w:szCs w:val="32"/>
          <w:highlight w:val="none"/>
          <w:lang w:val="en-US" w:eastAsia="zh-CN"/>
        </w:rPr>
        <w:t>14.39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rPr>
        <w:t>基本养老保险费收</w:t>
      </w:r>
      <w:r>
        <w:rPr>
          <w:rFonts w:hint="default" w:ascii="Times New Roman" w:hAnsi="Times New Roman" w:eastAsia="仿宋_GB2312" w:cs="Times New Roman"/>
          <w:color w:val="auto"/>
          <w:sz w:val="32"/>
          <w:szCs w:val="32"/>
          <w:highlight w:val="none"/>
        </w:rPr>
        <w:t>入</w:t>
      </w:r>
      <w:r>
        <w:rPr>
          <w:rFonts w:hint="default" w:ascii="Times New Roman" w:hAnsi="Times New Roman" w:eastAsia="仿宋_GB2312" w:cs="Times New Roman"/>
          <w:color w:val="auto"/>
          <w:sz w:val="32"/>
          <w:szCs w:val="32"/>
          <w:highlight w:val="none"/>
          <w:lang w:val="en-US" w:eastAsia="zh-CN"/>
        </w:rPr>
        <w:t>12967.84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财政补贴收入</w:t>
      </w:r>
      <w:r>
        <w:rPr>
          <w:rFonts w:hint="default" w:ascii="Times New Roman" w:hAnsi="Times New Roman" w:eastAsia="仿宋_GB2312" w:cs="Times New Roman"/>
          <w:color w:val="auto"/>
          <w:sz w:val="32"/>
          <w:szCs w:val="32"/>
          <w:highlight w:val="none"/>
          <w:lang w:val="en-US" w:eastAsia="zh-CN"/>
        </w:rPr>
        <w:t>5353万</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rPr>
        <w:t>利息收</w:t>
      </w:r>
      <w:r>
        <w:rPr>
          <w:rFonts w:hint="default" w:ascii="Times New Roman" w:hAnsi="Times New Roman" w:eastAsia="仿宋_GB2312" w:cs="Times New Roman"/>
          <w:color w:val="auto"/>
          <w:sz w:val="32"/>
          <w:szCs w:val="32"/>
          <w:highlight w:val="none"/>
        </w:rPr>
        <w:t>入</w:t>
      </w:r>
      <w:r>
        <w:rPr>
          <w:rFonts w:hint="default" w:ascii="Times New Roman" w:hAnsi="Times New Roman" w:eastAsia="仿宋_GB2312" w:cs="Times New Roman"/>
          <w:color w:val="auto"/>
          <w:sz w:val="32"/>
          <w:szCs w:val="32"/>
          <w:highlight w:val="none"/>
          <w:lang w:val="en-US" w:eastAsia="zh-CN"/>
        </w:rPr>
        <w:t>20.78</w:t>
      </w:r>
      <w:r>
        <w:rPr>
          <w:rFonts w:hint="default" w:ascii="Times New Roman" w:hAnsi="Times New Roman" w:eastAsia="仿宋_GB2312" w:cs="Times New Roman"/>
          <w:color w:val="auto"/>
          <w:sz w:val="32"/>
          <w:szCs w:val="32"/>
        </w:rPr>
        <w:t xml:space="preserve"> 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三</w:t>
      </w:r>
      <w:r>
        <w:rPr>
          <w:rFonts w:hint="default" w:ascii="Times New Roman" w:hAnsi="Times New Roman" w:eastAsia="楷体" w:cs="Times New Roman"/>
          <w:b w:val="0"/>
          <w:bCs/>
          <w:color w:val="auto"/>
          <w:sz w:val="32"/>
          <w:szCs w:val="32"/>
        </w:rPr>
        <w:t>）工伤保险基金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工伤保险基金预算收入预算安</w:t>
      </w:r>
      <w:r>
        <w:rPr>
          <w:rFonts w:hint="default" w:ascii="Times New Roman" w:hAnsi="Times New Roman" w:eastAsia="仿宋_GB2312" w:cs="Times New Roman"/>
          <w:color w:val="auto"/>
          <w:sz w:val="32"/>
          <w:szCs w:val="32"/>
          <w:highlight w:val="none"/>
        </w:rPr>
        <w:t>排</w:t>
      </w:r>
      <w:r>
        <w:rPr>
          <w:rFonts w:hint="default" w:ascii="Times New Roman" w:hAnsi="Times New Roman" w:eastAsia="仿宋_GB2312" w:cs="Times New Roman"/>
          <w:color w:val="auto"/>
          <w:sz w:val="32"/>
          <w:szCs w:val="32"/>
          <w:highlight w:val="none"/>
          <w:lang w:val="en-US" w:eastAsia="zh-CN"/>
        </w:rPr>
        <w:t>577.23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7.43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工伤保险费收</w:t>
      </w:r>
      <w:r>
        <w:rPr>
          <w:rFonts w:hint="default" w:ascii="Times New Roman" w:hAnsi="Times New Roman" w:eastAsia="仿宋_GB2312" w:cs="Times New Roman"/>
          <w:color w:val="auto"/>
          <w:sz w:val="32"/>
          <w:szCs w:val="32"/>
          <w:highlight w:val="none"/>
        </w:rPr>
        <w:t>入为</w:t>
      </w:r>
      <w:r>
        <w:rPr>
          <w:rFonts w:hint="default" w:ascii="Times New Roman" w:hAnsi="Times New Roman" w:eastAsia="仿宋_GB2312" w:cs="Times New Roman"/>
          <w:color w:val="auto"/>
          <w:sz w:val="32"/>
          <w:szCs w:val="32"/>
          <w:highlight w:val="none"/>
          <w:lang w:val="en-US" w:eastAsia="zh-CN"/>
        </w:rPr>
        <w:t>576.23</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元，利息收入</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四</w:t>
      </w:r>
      <w:r>
        <w:rPr>
          <w:rFonts w:hint="default" w:ascii="Times New Roman" w:hAnsi="Times New Roman" w:eastAsia="楷体" w:cs="Times New Roman"/>
          <w:b w:val="0"/>
          <w:bCs/>
          <w:color w:val="auto"/>
          <w:sz w:val="32"/>
          <w:szCs w:val="32"/>
        </w:rPr>
        <w:t>）失业保险基金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失业保险基金预算总收入为</w:t>
      </w:r>
      <w:r>
        <w:rPr>
          <w:rFonts w:hint="default" w:ascii="Times New Roman" w:hAnsi="Times New Roman" w:eastAsia="仿宋_GB2312" w:cs="Times New Roman"/>
          <w:color w:val="auto"/>
          <w:sz w:val="32"/>
          <w:szCs w:val="32"/>
          <w:highlight w:val="none"/>
          <w:lang w:val="en-US" w:eastAsia="zh-CN"/>
        </w:rPr>
        <w:t>1131.49</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5.76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失业保险费收入</w:t>
      </w:r>
      <w:r>
        <w:rPr>
          <w:rFonts w:hint="default" w:ascii="Times New Roman" w:hAnsi="Times New Roman" w:eastAsia="仿宋_GB2312" w:cs="Times New Roman"/>
          <w:color w:val="auto"/>
          <w:sz w:val="32"/>
          <w:szCs w:val="32"/>
          <w:highlight w:val="none"/>
          <w:lang w:val="en-US" w:eastAsia="zh-CN"/>
        </w:rPr>
        <w:t>1123.52</w:t>
      </w:r>
      <w:r>
        <w:rPr>
          <w:rFonts w:hint="default" w:ascii="Times New Roman" w:hAnsi="Times New Roman" w:eastAsia="仿宋_GB2312" w:cs="Times New Roman"/>
          <w:color w:val="auto"/>
          <w:sz w:val="32"/>
          <w:szCs w:val="32"/>
          <w:highlight w:val="none"/>
        </w:rPr>
        <w:t>万元，利息收入</w:t>
      </w:r>
      <w:r>
        <w:rPr>
          <w:rFonts w:hint="default" w:ascii="Times New Roman" w:hAnsi="Times New Roman" w:eastAsia="仿宋_GB2312" w:cs="Times New Roman"/>
          <w:color w:val="auto"/>
          <w:sz w:val="32"/>
          <w:szCs w:val="32"/>
          <w:highlight w:val="none"/>
          <w:lang w:val="en-US" w:eastAsia="zh-CN"/>
        </w:rPr>
        <w:t>7.97</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全县社会养老保险基金支出预算</w:t>
      </w:r>
      <w:r>
        <w:rPr>
          <w:rFonts w:hint="default" w:ascii="Times New Roman" w:hAnsi="Times New Roman" w:eastAsia="仿宋_GB2312" w:cs="Times New Roman"/>
          <w:color w:val="auto"/>
          <w:sz w:val="32"/>
          <w:szCs w:val="32"/>
          <w:highlight w:val="none"/>
          <w:lang w:val="en-US" w:eastAsia="zh-CN"/>
        </w:rPr>
        <w:t>29625.98</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w:t>
      </w:r>
      <w:r>
        <w:rPr>
          <w:rFonts w:hint="default" w:ascii="Times New Roman" w:hAnsi="Times New Roman" w:eastAsia="仿宋_GB2312" w:cs="Times New Roman"/>
          <w:color w:val="auto"/>
          <w:sz w:val="32"/>
          <w:szCs w:val="32"/>
          <w:highlight w:val="none"/>
        </w:rPr>
        <w:t>长</w:t>
      </w:r>
      <w:r>
        <w:rPr>
          <w:rFonts w:hint="default" w:ascii="Times New Roman" w:hAnsi="Times New Roman" w:eastAsia="仿宋_GB2312" w:cs="Times New Roman"/>
          <w:color w:val="auto"/>
          <w:sz w:val="32"/>
          <w:szCs w:val="32"/>
          <w:highlight w:val="none"/>
          <w:lang w:val="en-US" w:eastAsia="zh-CN"/>
        </w:rPr>
        <w:t>11.24</w:t>
      </w:r>
      <w:r>
        <w:rPr>
          <w:rFonts w:hint="default" w:ascii="Times New Roman" w:hAnsi="Times New Roman" w:eastAsia="仿宋_GB2312" w:cs="Times New Roman"/>
          <w:color w:val="auto"/>
          <w:sz w:val="32"/>
          <w:szCs w:val="32"/>
          <w:highlight w:val="none"/>
        </w:rPr>
        <w:t>%。分险</w:t>
      </w:r>
      <w:r>
        <w:rPr>
          <w:rFonts w:hint="default" w:ascii="Times New Roman" w:hAnsi="Times New Roman" w:eastAsia="仿宋_GB2312" w:cs="Times New Roman"/>
          <w:color w:val="auto"/>
          <w:sz w:val="32"/>
          <w:szCs w:val="32"/>
        </w:rPr>
        <w:t>种支出情况为：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（一）城乡居民社会养老保险基金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城乡居民养老保险基金预算支出</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val="en-US" w:eastAsia="zh-CN"/>
        </w:rPr>
        <w:t>7619.40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w:t>
      </w:r>
      <w:r>
        <w:rPr>
          <w:rFonts w:hint="default" w:ascii="Times New Roman" w:hAnsi="Times New Roman" w:eastAsia="仿宋_GB2312" w:cs="Times New Roman"/>
          <w:color w:val="auto"/>
          <w:sz w:val="32"/>
          <w:szCs w:val="32"/>
          <w:highlight w:val="none"/>
        </w:rPr>
        <w:t>长</w:t>
      </w:r>
      <w:r>
        <w:rPr>
          <w:rFonts w:hint="default" w:ascii="Times New Roman" w:hAnsi="Times New Roman" w:eastAsia="仿宋_GB2312" w:cs="Times New Roman"/>
          <w:color w:val="auto"/>
          <w:sz w:val="32"/>
          <w:szCs w:val="32"/>
          <w:highlight w:val="none"/>
          <w:lang w:val="en-US" w:eastAsia="zh-CN"/>
        </w:rPr>
        <w:t>10.81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基础养老金支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7064.55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，个人账户养老金支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304.85</w:t>
      </w:r>
      <w:r>
        <w:rPr>
          <w:rFonts w:hint="default" w:ascii="Times New Roman" w:hAnsi="Times New Roman" w:eastAsia="仿宋_GB2312" w:cs="Times New Roman"/>
          <w:color w:val="auto"/>
          <w:sz w:val="32"/>
          <w:szCs w:val="32"/>
          <w:highlight w:val="none"/>
        </w:rPr>
        <w:t>万元，丧葬抚恤补助支出</w:t>
      </w:r>
      <w:r>
        <w:rPr>
          <w:rFonts w:hint="default" w:ascii="Times New Roman" w:hAnsi="Times New Roman" w:eastAsia="仿宋_GB2312" w:cs="Times New Roman"/>
          <w:color w:val="auto"/>
          <w:sz w:val="32"/>
          <w:szCs w:val="32"/>
          <w:highlight w:val="none"/>
          <w:lang w:val="en-US" w:eastAsia="zh-CN"/>
        </w:rPr>
        <w:t>245</w:t>
      </w:r>
      <w:r>
        <w:rPr>
          <w:rFonts w:hint="default" w:ascii="Times New Roman" w:hAnsi="Times New Roman" w:eastAsia="仿宋_GB2312" w:cs="Times New Roman"/>
          <w:color w:val="auto"/>
          <w:sz w:val="32"/>
          <w:szCs w:val="32"/>
          <w:highlight w:val="none"/>
        </w:rPr>
        <w:t>万元，转移支出</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二</w:t>
      </w:r>
      <w:r>
        <w:rPr>
          <w:rFonts w:hint="default" w:ascii="Times New Roman" w:hAnsi="Times New Roman" w:eastAsia="楷体" w:cs="Times New Roman"/>
          <w:b w:val="0"/>
          <w:bCs/>
          <w:color w:val="auto"/>
          <w:sz w:val="32"/>
          <w:szCs w:val="32"/>
        </w:rPr>
        <w:t>）机关事业单位基本养老保险基金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机关事业单位养老</w:t>
      </w:r>
      <w:r>
        <w:rPr>
          <w:rFonts w:hint="default" w:ascii="Times New Roman" w:hAnsi="Times New Roman" w:eastAsia="仿宋_GB2312" w:cs="Times New Roman"/>
          <w:color w:val="auto"/>
          <w:sz w:val="32"/>
          <w:szCs w:val="32"/>
          <w:highlight w:val="none"/>
        </w:rPr>
        <w:t>保险基金支出</w:t>
      </w:r>
      <w:r>
        <w:rPr>
          <w:rFonts w:hint="default" w:ascii="Times New Roman" w:hAnsi="Times New Roman" w:eastAsia="仿宋_GB2312" w:cs="Times New Roman"/>
          <w:color w:val="auto"/>
          <w:sz w:val="32"/>
          <w:szCs w:val="32"/>
          <w:highlight w:val="none"/>
          <w:lang w:val="en-US" w:eastAsia="zh-CN"/>
        </w:rPr>
        <w:t>20175.27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12.64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，基本养老金支出</w:t>
      </w:r>
      <w:r>
        <w:rPr>
          <w:rFonts w:hint="default" w:ascii="Times New Roman" w:hAnsi="Times New Roman" w:eastAsia="仿宋_GB2312" w:cs="Times New Roman"/>
          <w:color w:val="auto"/>
          <w:sz w:val="32"/>
          <w:szCs w:val="32"/>
          <w:lang w:val="en-US" w:eastAsia="zh-CN"/>
        </w:rPr>
        <w:t>20169.72万元，转移支出6万元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三</w:t>
      </w:r>
      <w:r>
        <w:rPr>
          <w:rFonts w:hint="default" w:ascii="Times New Roman" w:hAnsi="Times New Roman" w:eastAsia="楷体" w:cs="Times New Roman"/>
          <w:b w:val="0"/>
          <w:bCs/>
          <w:color w:val="auto"/>
          <w:sz w:val="32"/>
          <w:szCs w:val="32"/>
        </w:rPr>
        <w:t>）工伤保险基金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工伤</w:t>
      </w:r>
      <w:r>
        <w:rPr>
          <w:rFonts w:hint="default" w:ascii="Times New Roman" w:hAnsi="Times New Roman" w:eastAsia="仿宋_GB2312" w:cs="Times New Roman"/>
          <w:color w:val="auto"/>
          <w:sz w:val="32"/>
          <w:szCs w:val="32"/>
          <w:lang w:eastAsia="zh-CN"/>
        </w:rPr>
        <w:t>保险</w:t>
      </w:r>
      <w:r>
        <w:rPr>
          <w:rFonts w:hint="default" w:ascii="Times New Roman" w:hAnsi="Times New Roman" w:eastAsia="仿宋_GB2312" w:cs="Times New Roman"/>
          <w:color w:val="auto"/>
          <w:sz w:val="32"/>
          <w:szCs w:val="32"/>
        </w:rPr>
        <w:t>基金总支出预算支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783.68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highlight w:val="none"/>
          <w:lang w:val="en-US" w:eastAsia="zh-CN"/>
        </w:rPr>
        <w:t>-12.51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w:t>
      </w:r>
      <w:r>
        <w:rPr>
          <w:rFonts w:hint="default"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rPr>
        <w:t>工伤保险待遇支出</w:t>
      </w:r>
      <w:r>
        <w:rPr>
          <w:rFonts w:hint="default" w:ascii="Times New Roman" w:hAnsi="Times New Roman" w:eastAsia="仿宋_GB2312" w:cs="Times New Roman"/>
          <w:color w:val="auto"/>
          <w:sz w:val="32"/>
          <w:szCs w:val="32"/>
          <w:highlight w:val="none"/>
          <w:lang w:val="en-US" w:eastAsia="zh-CN"/>
        </w:rPr>
        <w:t>730.1</w:t>
      </w:r>
      <w:r>
        <w:rPr>
          <w:rFonts w:hint="default" w:ascii="Times New Roman" w:hAnsi="Times New Roman" w:eastAsia="仿宋_GB2312" w:cs="Times New Roman"/>
          <w:color w:val="auto"/>
          <w:sz w:val="32"/>
          <w:szCs w:val="32"/>
        </w:rPr>
        <w:t>万元，上解上级支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，其他支出</w:t>
      </w:r>
      <w:r>
        <w:rPr>
          <w:rFonts w:hint="default" w:ascii="Times New Roman" w:hAnsi="Times New Roman" w:eastAsia="仿宋_GB2312" w:cs="Times New Roman"/>
          <w:color w:val="auto"/>
          <w:sz w:val="32"/>
          <w:szCs w:val="32"/>
          <w:lang w:val="en-US" w:eastAsia="zh-CN"/>
        </w:rPr>
        <w:t>7.58万元</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val="0"/>
          <w:bCs/>
          <w:color w:val="auto"/>
          <w:sz w:val="32"/>
          <w:szCs w:val="32"/>
        </w:rPr>
        <w:t>（</w:t>
      </w:r>
      <w:r>
        <w:rPr>
          <w:rFonts w:hint="default" w:ascii="Times New Roman" w:hAnsi="Times New Roman" w:eastAsia="楷体" w:cs="Times New Roman"/>
          <w:b w:val="0"/>
          <w:bCs/>
          <w:color w:val="auto"/>
          <w:sz w:val="32"/>
          <w:szCs w:val="32"/>
          <w:lang w:eastAsia="zh-CN"/>
        </w:rPr>
        <w:t>四</w:t>
      </w:r>
      <w:r>
        <w:rPr>
          <w:rFonts w:hint="default" w:ascii="Times New Roman" w:hAnsi="Times New Roman" w:eastAsia="楷体" w:cs="Times New Roman"/>
          <w:b w:val="0"/>
          <w:bCs/>
          <w:color w:val="auto"/>
          <w:sz w:val="32"/>
          <w:szCs w:val="32"/>
        </w:rPr>
        <w:t>）失业保险基金</w:t>
      </w:r>
      <w:r>
        <w:rPr>
          <w:rFonts w:hint="default" w:ascii="Times New Roman" w:hAnsi="Times New Roman" w:eastAsia="楷体" w:cs="Times New Roman"/>
          <w:b w:val="0"/>
          <w:bCs/>
          <w:color w:val="auto"/>
          <w:sz w:val="32"/>
          <w:szCs w:val="32"/>
          <w:lang w:eastAsia="zh-CN"/>
        </w:rPr>
        <w:t>。</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失业保险基金总支出预算为</w:t>
      </w:r>
      <w:r>
        <w:rPr>
          <w:rFonts w:hint="default" w:ascii="Times New Roman" w:hAnsi="Times New Roman" w:eastAsia="仿宋_GB2312" w:cs="Times New Roman"/>
          <w:color w:val="auto"/>
          <w:sz w:val="32"/>
          <w:szCs w:val="32"/>
          <w:highlight w:val="none"/>
          <w:lang w:val="en-US" w:eastAsia="zh-CN"/>
        </w:rPr>
        <w:t>1047.64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同比增长</w:t>
      </w:r>
      <w:r>
        <w:rPr>
          <w:rFonts w:hint="default" w:ascii="Times New Roman" w:hAnsi="Times New Roman" w:eastAsia="仿宋_GB2312" w:cs="Times New Roman"/>
          <w:color w:val="auto"/>
          <w:sz w:val="32"/>
          <w:szCs w:val="32"/>
          <w:highlight w:val="none"/>
          <w:lang w:val="en-US" w:eastAsia="zh-CN"/>
        </w:rPr>
        <w:t>10.49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rPr>
        <w:t>失业保险金支</w:t>
      </w:r>
      <w:r>
        <w:rPr>
          <w:rFonts w:hint="default" w:ascii="Times New Roman" w:hAnsi="Times New Roman" w:eastAsia="仿宋_GB2312" w:cs="Times New Roman"/>
          <w:color w:val="auto"/>
          <w:sz w:val="32"/>
          <w:szCs w:val="32"/>
          <w:highlight w:val="none"/>
        </w:rPr>
        <w:t>出</w:t>
      </w:r>
      <w:r>
        <w:rPr>
          <w:rFonts w:hint="default" w:ascii="Times New Roman" w:hAnsi="Times New Roman" w:eastAsia="仿宋_GB2312" w:cs="Times New Roman"/>
          <w:color w:val="auto"/>
          <w:sz w:val="32"/>
          <w:szCs w:val="32"/>
          <w:highlight w:val="none"/>
          <w:lang w:val="en-US" w:eastAsia="zh-CN"/>
        </w:rPr>
        <w:t>471</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基本医疗保险费支出</w:t>
      </w:r>
      <w:r>
        <w:rPr>
          <w:rFonts w:hint="default" w:ascii="Times New Roman" w:hAnsi="Times New Roman" w:eastAsia="仿宋_GB2312" w:cs="Times New Roman"/>
          <w:color w:val="auto"/>
          <w:sz w:val="32"/>
          <w:szCs w:val="32"/>
          <w:lang w:val="en-US" w:eastAsia="zh-CN"/>
        </w:rPr>
        <w:t>88.93万元，</w:t>
      </w:r>
      <w:r>
        <w:rPr>
          <w:rFonts w:hint="default" w:ascii="Times New Roman" w:hAnsi="Times New Roman" w:eastAsia="仿宋_GB2312" w:cs="Times New Roman"/>
          <w:color w:val="auto"/>
          <w:sz w:val="32"/>
          <w:szCs w:val="32"/>
        </w:rPr>
        <w:t>稳定岗位补贴支出</w:t>
      </w:r>
      <w:r>
        <w:rPr>
          <w:rFonts w:hint="default" w:ascii="Times New Roman" w:hAnsi="Times New Roman" w:eastAsia="仿宋_GB2312" w:cs="Times New Roman"/>
          <w:color w:val="auto"/>
          <w:sz w:val="32"/>
          <w:szCs w:val="32"/>
          <w:highlight w:val="none"/>
          <w:lang w:val="en-US" w:eastAsia="zh-CN"/>
        </w:rPr>
        <w:t>116.76</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上解上级支出</w:t>
      </w:r>
      <w:r>
        <w:rPr>
          <w:rFonts w:hint="default" w:ascii="Times New Roman" w:hAnsi="Times New Roman" w:eastAsia="仿宋_GB2312" w:cs="Times New Roman"/>
          <w:color w:val="auto"/>
          <w:sz w:val="32"/>
          <w:szCs w:val="32"/>
          <w:highlight w:val="none"/>
          <w:lang w:val="en-US" w:eastAsia="zh-CN"/>
        </w:rPr>
        <w:t>330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lang w:eastAsia="zh-CN"/>
        </w:rPr>
        <w:t>，技能提升支出</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color w:val="auto"/>
          <w:sz w:val="32"/>
          <w:szCs w:val="32"/>
          <w:lang w:eastAsia="zh-CN"/>
        </w:rPr>
        <w:t>其他费用</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lang w:val="en-US" w:eastAsia="zh-CN"/>
        </w:rPr>
        <w:t>8.51万元</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lang w:eastAsia="zh-CN"/>
        </w:rPr>
        <w:t>支</w:t>
      </w:r>
      <w:r>
        <w:rPr>
          <w:rFonts w:hint="default" w:ascii="Times New Roman" w:hAnsi="Times New Roman" w:eastAsia="仿宋_GB2312" w:cs="Times New Roman"/>
          <w:color w:val="auto"/>
          <w:sz w:val="32"/>
          <w:szCs w:val="32"/>
          <w:highlight w:val="none"/>
          <w:lang w:eastAsia="zh-CN"/>
        </w:rPr>
        <w:t>出</w:t>
      </w:r>
      <w:r>
        <w:rPr>
          <w:rFonts w:hint="default" w:ascii="Times New Roman" w:hAnsi="Times New Roman" w:eastAsia="仿宋_GB2312" w:cs="Times New Roman"/>
          <w:color w:val="auto"/>
          <w:sz w:val="32"/>
          <w:szCs w:val="32"/>
          <w:highlight w:val="none"/>
          <w:lang w:val="en-US" w:eastAsia="zh-CN"/>
        </w:rPr>
        <w:t>29.44万元</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经汇总，</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预算执行结果为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社会保险基金收入预算安排</w:t>
      </w:r>
      <w:r>
        <w:rPr>
          <w:rFonts w:hint="default" w:ascii="Times New Roman" w:hAnsi="Times New Roman" w:eastAsia="仿宋_GB2312" w:cs="Times New Roman"/>
          <w:color w:val="auto"/>
          <w:sz w:val="32"/>
          <w:szCs w:val="32"/>
          <w:highlight w:val="none"/>
          <w:lang w:val="en-US" w:eastAsia="zh-CN"/>
        </w:rPr>
        <w:t>30435.87</w:t>
      </w:r>
      <w:r>
        <w:rPr>
          <w:rFonts w:hint="default" w:ascii="Times New Roman" w:hAnsi="Times New Roman" w:eastAsia="仿宋_GB2312" w:cs="Times New Roman"/>
          <w:color w:val="auto"/>
          <w:sz w:val="32"/>
          <w:szCs w:val="32"/>
          <w:highlight w:val="none"/>
        </w:rPr>
        <w:t>万元，支出预算安排</w:t>
      </w:r>
      <w:r>
        <w:rPr>
          <w:rFonts w:hint="default" w:ascii="Times New Roman" w:hAnsi="Times New Roman" w:eastAsia="仿宋_GB2312" w:cs="Times New Roman"/>
          <w:color w:val="auto"/>
          <w:sz w:val="32"/>
          <w:szCs w:val="32"/>
          <w:highlight w:val="none"/>
          <w:lang w:val="en-US" w:eastAsia="zh-CN"/>
        </w:rPr>
        <w:t>29625.98</w:t>
      </w:r>
      <w:r>
        <w:rPr>
          <w:rFonts w:hint="default" w:ascii="Times New Roman" w:hAnsi="Times New Roman" w:eastAsia="仿宋_GB2312" w:cs="Times New Roman"/>
          <w:color w:val="auto"/>
          <w:sz w:val="32"/>
          <w:szCs w:val="32"/>
          <w:highlight w:val="none"/>
        </w:rPr>
        <w:t>万元，本年收支相抵后结余为</w:t>
      </w:r>
      <w:r>
        <w:rPr>
          <w:rFonts w:hint="default" w:ascii="Times New Roman" w:hAnsi="Times New Roman" w:eastAsia="仿宋_GB2312" w:cs="Times New Roman"/>
          <w:color w:val="auto"/>
          <w:sz w:val="32"/>
          <w:szCs w:val="32"/>
          <w:highlight w:val="none"/>
          <w:lang w:val="en-US" w:eastAsia="zh-CN"/>
        </w:rPr>
        <w:t>809.88</w:t>
      </w:r>
      <w:r>
        <w:rPr>
          <w:rFonts w:hint="default" w:ascii="Times New Roman" w:hAnsi="Times New Roman" w:eastAsia="仿宋_GB2312" w:cs="Times New Roman"/>
          <w:color w:val="auto"/>
          <w:sz w:val="32"/>
          <w:szCs w:val="32"/>
          <w:highlight w:val="none"/>
        </w:rPr>
        <w:t>万元，年末滚存结余总额为</w:t>
      </w:r>
      <w:r>
        <w:rPr>
          <w:rFonts w:hint="default" w:ascii="Times New Roman" w:hAnsi="Times New Roman" w:eastAsia="仿宋_GB2312" w:cs="Times New Roman"/>
          <w:color w:val="auto"/>
          <w:sz w:val="32"/>
          <w:szCs w:val="32"/>
          <w:highlight w:val="none"/>
          <w:lang w:val="en-US" w:eastAsia="zh-CN"/>
        </w:rPr>
        <w:t>29409.64</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需要说明的是：</w:t>
      </w:r>
      <w:r>
        <w:rPr>
          <w:rFonts w:hint="default" w:ascii="Times New Roman" w:hAnsi="Times New Roman" w:eastAsia="仿宋_GB2312" w:cs="Times New Roman"/>
          <w:color w:val="auto"/>
          <w:sz w:val="32"/>
          <w:szCs w:val="32"/>
        </w:rPr>
        <w:t>编制</w:t>
      </w:r>
      <w:r>
        <w:rPr>
          <w:rFonts w:hint="default" w:ascii="Times New Roman" w:hAnsi="Times New Roman" w:eastAsia="仿宋_GB2312" w:cs="Times New Roman"/>
          <w:color w:val="auto"/>
          <w:sz w:val="32"/>
          <w:szCs w:val="32"/>
          <w:lang w:eastAsia="zh-CN"/>
        </w:rPr>
        <w:t>2023年</w:t>
      </w:r>
      <w:r>
        <w:rPr>
          <w:rFonts w:hint="default" w:ascii="Times New Roman" w:hAnsi="Times New Roman" w:eastAsia="仿宋_GB2312" w:cs="Times New Roman"/>
          <w:color w:val="auto"/>
          <w:sz w:val="32"/>
          <w:szCs w:val="32"/>
        </w:rPr>
        <w:t>社会保险基金预算时，</w:t>
      </w:r>
      <w:r>
        <w:rPr>
          <w:rFonts w:hint="default" w:ascii="Times New Roman" w:hAnsi="Times New Roman" w:eastAsia="仿宋_GB2312" w:cs="Times New Roman"/>
          <w:color w:val="auto"/>
          <w:sz w:val="32"/>
          <w:szCs w:val="32"/>
          <w:lang w:eastAsia="zh-CN"/>
        </w:rPr>
        <w:t>2022年</w:t>
      </w:r>
      <w:r>
        <w:rPr>
          <w:rFonts w:hint="default" w:ascii="Times New Roman" w:hAnsi="Times New Roman" w:eastAsia="仿宋_GB2312" w:cs="Times New Roman"/>
          <w:color w:val="auto"/>
          <w:sz w:val="32"/>
          <w:szCs w:val="32"/>
        </w:rPr>
        <w:t>社会保险基金决算尚未编报，因此上下年度对比分析时使用</w:t>
      </w:r>
      <w:r>
        <w:rPr>
          <w:rFonts w:hint="default" w:ascii="Times New Roman" w:hAnsi="Times New Roman" w:eastAsia="仿宋_GB2312" w:cs="Times New Roman"/>
          <w:color w:val="auto"/>
          <w:sz w:val="32"/>
          <w:szCs w:val="32"/>
          <w:lang w:eastAsia="zh-CN"/>
        </w:rPr>
        <w:t>2022年</w:t>
      </w:r>
      <w:r>
        <w:rPr>
          <w:rFonts w:hint="default" w:ascii="Times New Roman" w:hAnsi="Times New Roman" w:eastAsia="仿宋_GB2312" w:cs="Times New Roman"/>
          <w:color w:val="auto"/>
          <w:sz w:val="32"/>
          <w:szCs w:val="32"/>
        </w:rPr>
        <w:t>的预计执行数。</w:t>
      </w:r>
      <w:r>
        <w:rPr>
          <w:rFonts w:hint="default" w:ascii="Times New Roman" w:hAnsi="Times New Roman" w:eastAsia="仿宋_GB2312" w:cs="Times New Roman"/>
          <w:color w:val="auto"/>
          <w:sz w:val="32"/>
          <w:szCs w:val="32"/>
          <w:lang w:eastAsia="zh-CN"/>
        </w:rPr>
        <w:t>财政部</w:t>
      </w:r>
      <w:r>
        <w:rPr>
          <w:rFonts w:hint="default" w:ascii="Times New Roman" w:hAnsi="Times New Roman" w:eastAsia="仿宋_GB2312" w:cs="Times New Roman"/>
          <w:color w:val="auto"/>
          <w:sz w:val="32"/>
          <w:szCs w:val="32"/>
          <w:lang w:val="en-US" w:eastAsia="zh-CN"/>
        </w:rPr>
        <w:t>2023年社会保险基金预算任务尚未下达，填报口径、参数等都未确定，因此与最终上报自区财政并经自治区财政批复的报表数据有一定差异，具体情况将在2023年调整预算时进行详细汇报。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930F1"/>
    <w:rsid w:val="05F9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1"/>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2023-09-14T03:33:00Z</dcterms:created>
  <dc:creator>王蕾</dc:creator>
  <cp:lastModifiedBy>王蕾</cp:lastModifiedBy>
  <dcterms:modified xsi:type="dcterms:W3CDTF">2023-09-14T03:33:33Z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