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27935">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彭阳县</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年部门预算</w:t>
      </w:r>
      <w:r>
        <w:rPr>
          <w:rFonts w:hint="eastAsia" w:ascii="方正小标宋简体" w:hAnsi="方正小标宋简体" w:eastAsia="方正小标宋简体" w:cs="方正小标宋简体"/>
          <w:sz w:val="44"/>
          <w:szCs w:val="44"/>
          <w:lang w:eastAsia="zh-CN"/>
        </w:rPr>
        <w:t>（草案）</w:t>
      </w:r>
    </w:p>
    <w:p w14:paraId="4B008BFF">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项目支出编制说明</w:t>
      </w:r>
    </w:p>
    <w:p w14:paraId="71FE2505">
      <w:pPr>
        <w:pStyle w:val="5"/>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p>
    <w:p w14:paraId="33C86C46">
      <w:pPr>
        <w:pStyle w:val="5"/>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为做好20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年部门预算项目支出编制，按照自治区</w:t>
      </w:r>
      <w:r>
        <w:rPr>
          <w:rFonts w:hint="default" w:ascii="Times New Roman" w:hAnsi="Times New Roman" w:eastAsia="仿宋_GB2312" w:cs="Times New Roman"/>
          <w:sz w:val="32"/>
          <w:szCs w:val="32"/>
          <w:lang w:eastAsia="zh-CN"/>
        </w:rPr>
        <w:t>财政厅</w:t>
      </w:r>
      <w:r>
        <w:rPr>
          <w:rFonts w:hint="default" w:ascii="Times New Roman" w:hAnsi="Times New Roman" w:eastAsia="仿宋_GB2312" w:cs="Times New Roman"/>
          <w:sz w:val="32"/>
          <w:szCs w:val="32"/>
        </w:rPr>
        <w:t>关于做好20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年财政预算编制工作的要求，结合我县经济社会形势变化和可用财力现状，系统分析、科学预判、</w:t>
      </w:r>
      <w:r>
        <w:rPr>
          <w:rFonts w:hint="default" w:ascii="Times New Roman" w:hAnsi="Times New Roman" w:eastAsia="仿宋_GB2312" w:cs="Times New Roman"/>
          <w:sz w:val="32"/>
          <w:szCs w:val="32"/>
          <w:lang w:eastAsia="zh-CN"/>
        </w:rPr>
        <w:t>经各单位申报，我局审核汇总，完成</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年部门预算项目支出编制，现将有关情况说明如下：</w:t>
      </w:r>
    </w:p>
    <w:p w14:paraId="160A97B0">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基本情况</w:t>
      </w:r>
    </w:p>
    <w:p w14:paraId="64B5A80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年申报项目支出单位共涉及</w:t>
      </w:r>
      <w:r>
        <w:rPr>
          <w:rFonts w:hint="eastAsia" w:ascii="Times New Roman" w:hAnsi="Times New Roman" w:eastAsia="仿宋_GB2312" w:cs="Times New Roman"/>
          <w:sz w:val="32"/>
          <w:szCs w:val="32"/>
          <w:lang w:val="en-US" w:eastAsia="zh-CN"/>
        </w:rPr>
        <w:t>77</w:t>
      </w:r>
      <w:r>
        <w:rPr>
          <w:rFonts w:hint="default" w:ascii="Times New Roman" w:hAnsi="Times New Roman" w:eastAsia="仿宋_GB2312" w:cs="Times New Roman"/>
          <w:sz w:val="32"/>
          <w:szCs w:val="32"/>
          <w:lang w:val="en-US" w:eastAsia="zh-CN"/>
        </w:rPr>
        <w:t>个单位，其中乡镇12个，县直部门6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highlight w:val="none"/>
          <w:lang w:val="en-US" w:eastAsia="zh-CN"/>
        </w:rPr>
        <w:t>，共申报项目</w:t>
      </w:r>
      <w:r>
        <w:rPr>
          <w:rFonts w:hint="eastAsia" w:ascii="Times New Roman" w:hAnsi="Times New Roman" w:eastAsia="仿宋_GB2312" w:cs="Times New Roman"/>
          <w:sz w:val="32"/>
          <w:szCs w:val="32"/>
          <w:highlight w:val="none"/>
          <w:lang w:val="en-US" w:eastAsia="zh-CN"/>
        </w:rPr>
        <w:t>627</w:t>
      </w:r>
      <w:r>
        <w:rPr>
          <w:rFonts w:hint="default" w:ascii="Times New Roman" w:hAnsi="Times New Roman" w:eastAsia="仿宋_GB2312" w:cs="Times New Roman"/>
          <w:sz w:val="32"/>
          <w:szCs w:val="32"/>
          <w:highlight w:val="none"/>
          <w:lang w:val="en-US" w:eastAsia="zh-CN"/>
        </w:rPr>
        <w:t>个，涉及资金</w:t>
      </w:r>
      <w:r>
        <w:rPr>
          <w:rFonts w:hint="eastAsia" w:ascii="Times New Roman" w:hAnsi="Times New Roman" w:eastAsia="仿宋_GB2312" w:cs="Times New Roman"/>
          <w:sz w:val="32"/>
          <w:szCs w:val="32"/>
          <w:highlight w:val="none"/>
          <w:lang w:val="en-US" w:eastAsia="zh-CN"/>
        </w:rPr>
        <w:t>202986.45</w:t>
      </w:r>
      <w:r>
        <w:rPr>
          <w:rFonts w:hint="default" w:ascii="Times New Roman" w:hAnsi="Times New Roman" w:eastAsia="仿宋_GB2312" w:cs="Times New Roman"/>
          <w:sz w:val="32"/>
          <w:szCs w:val="32"/>
          <w:highlight w:val="none"/>
          <w:lang w:val="en-US" w:eastAsia="zh-CN"/>
        </w:rPr>
        <w:t>万元，通过对申报项目的编审，根据财力现状，20</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lang w:val="en-US" w:eastAsia="zh-CN"/>
        </w:rPr>
        <w:t>年纳入部门预算项目</w:t>
      </w:r>
      <w:r>
        <w:rPr>
          <w:rFonts w:hint="eastAsia" w:ascii="Times New Roman" w:hAnsi="Times New Roman" w:eastAsia="仿宋_GB2312" w:cs="Times New Roman"/>
          <w:sz w:val="32"/>
          <w:szCs w:val="32"/>
          <w:highlight w:val="none"/>
          <w:lang w:val="en-US" w:eastAsia="zh-CN"/>
        </w:rPr>
        <w:t>346</w:t>
      </w:r>
      <w:r>
        <w:rPr>
          <w:rFonts w:hint="default" w:ascii="Times New Roman" w:hAnsi="Times New Roman" w:eastAsia="仿宋_GB2312" w:cs="Times New Roman"/>
          <w:sz w:val="32"/>
          <w:szCs w:val="32"/>
          <w:highlight w:val="none"/>
          <w:lang w:val="en-US" w:eastAsia="zh-CN"/>
        </w:rPr>
        <w:t>个，项目支出资金共计25410.0</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万元，其中乡镇1277.07万元，县直部门</w:t>
      </w:r>
      <w:r>
        <w:rPr>
          <w:rFonts w:hint="eastAsia" w:ascii="Times New Roman" w:hAnsi="Times New Roman" w:eastAsia="仿宋_GB2312" w:cs="Times New Roman"/>
          <w:sz w:val="32"/>
          <w:szCs w:val="32"/>
          <w:highlight w:val="none"/>
          <w:lang w:val="en-US" w:eastAsia="zh-CN"/>
        </w:rPr>
        <w:t>24132.96</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p>
    <w:p w14:paraId="32941C4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二、编制原则</w:t>
      </w:r>
    </w:p>
    <w:p w14:paraId="56414A2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在坚持“量入为出、收支平衡、不列赤字”的前提下遵循以下原则：</w:t>
      </w:r>
    </w:p>
    <w:p w14:paraId="0DDE9AD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（一）树牢过“紧日子”思想，严控一般性支出，坚决压减非急性、非刚性等支出。</w:t>
      </w:r>
      <w:r>
        <w:rPr>
          <w:rFonts w:hint="eastAsia" w:ascii="Times New Roman" w:hAnsi="Times New Roman" w:eastAsia="仿宋_GB2312" w:cs="Times New Roman"/>
          <w:b w:val="0"/>
          <w:bCs w:val="0"/>
          <w:sz w:val="32"/>
          <w:szCs w:val="32"/>
          <w:lang w:val="en-US" w:eastAsia="zh-CN"/>
        </w:rPr>
        <w:t>坚持已收定支、精打细算，把每一笔钱用到刀刃上、紧要处，从严控制一般性支出，坚决压减非急性、非刚性等支出，确保一般性支出压减10%以上，其中会议费、培训费、因公出国等非急性、非刚性支出压减30%以上。</w:t>
      </w:r>
    </w:p>
    <w:p w14:paraId="4B96826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p>
    <w:p w14:paraId="5944396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优化财政支出结构，着力保障重点，改善民生。</w:t>
      </w:r>
    </w:p>
    <w:p w14:paraId="377FCE1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20</w:t>
      </w:r>
      <w:r>
        <w:rPr>
          <w:rFonts w:hint="eastAsia"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lang w:val="en-US" w:eastAsia="zh-CN"/>
        </w:rPr>
        <w:t>年编制项目支出预算时，</w:t>
      </w:r>
      <w:r>
        <w:rPr>
          <w:rFonts w:hint="default" w:ascii="Times New Roman" w:hAnsi="Times New Roman" w:eastAsia="仿宋_GB2312" w:cs="Times New Roman"/>
          <w:sz w:val="32"/>
          <w:szCs w:val="32"/>
          <w:lang w:val="en-US" w:eastAsia="zh-CN"/>
        </w:rPr>
        <w:t>在充分保障各单位正常开展工作所需专业业务费的基础上，优先安排教育</w:t>
      </w:r>
      <w:r>
        <w:rPr>
          <w:rFonts w:hint="eastAsia" w:ascii="Times New Roman" w:hAnsi="Times New Roman" w:eastAsia="仿宋_GB2312" w:cs="Times New Roman"/>
          <w:sz w:val="32"/>
          <w:szCs w:val="32"/>
          <w:lang w:val="en-US" w:eastAsia="zh-CN"/>
        </w:rPr>
        <w:t>、卫生、</w:t>
      </w:r>
      <w:r>
        <w:rPr>
          <w:rFonts w:hint="default" w:ascii="Times New Roman" w:hAnsi="Times New Roman" w:eastAsia="仿宋_GB2312" w:cs="Times New Roman"/>
          <w:sz w:val="32"/>
          <w:szCs w:val="32"/>
          <w:lang w:val="en-US" w:eastAsia="zh-CN"/>
        </w:rPr>
        <w:t>社会保障等民生事项，对于区市纳入考核的项目，按照规定全部纳入部门预算，涉及到</w:t>
      </w:r>
      <w:r>
        <w:rPr>
          <w:rFonts w:hint="eastAsia" w:ascii="Times New Roman" w:hAnsi="Times New Roman" w:eastAsia="仿宋_GB2312" w:cs="Times New Roman"/>
          <w:sz w:val="32"/>
          <w:szCs w:val="32"/>
          <w:lang w:val="en-US" w:eastAsia="zh-CN"/>
        </w:rPr>
        <w:t>县委、县政府</w:t>
      </w:r>
      <w:r>
        <w:rPr>
          <w:rFonts w:hint="default" w:ascii="Times New Roman" w:hAnsi="Times New Roman" w:eastAsia="仿宋_GB2312" w:cs="Times New Roman"/>
          <w:sz w:val="32"/>
          <w:szCs w:val="32"/>
          <w:lang w:val="en-US" w:eastAsia="zh-CN"/>
        </w:rPr>
        <w:t>确定的重点事项，重要工作，根据财力情况，</w:t>
      </w:r>
      <w:r>
        <w:rPr>
          <w:rFonts w:hint="eastAsia" w:ascii="Times New Roman" w:hAnsi="Times New Roman" w:eastAsia="仿宋_GB2312" w:cs="Times New Roman"/>
          <w:sz w:val="32"/>
          <w:szCs w:val="32"/>
          <w:lang w:val="en-US" w:eastAsia="zh-CN"/>
        </w:rPr>
        <w:t>都</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编制</w:t>
      </w:r>
      <w:r>
        <w:rPr>
          <w:rFonts w:hint="default" w:ascii="Times New Roman" w:hAnsi="Times New Roman" w:eastAsia="仿宋_GB2312" w:cs="Times New Roman"/>
          <w:sz w:val="32"/>
          <w:szCs w:val="32"/>
          <w:lang w:val="en-US" w:eastAsia="zh-CN"/>
        </w:rPr>
        <w:t>中有一定体现。</w:t>
      </w:r>
    </w:p>
    <w:p w14:paraId="3BF223B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sz w:val="32"/>
          <w:szCs w:val="32"/>
          <w:lang w:val="en-US" w:eastAsia="zh-CN"/>
        </w:rPr>
        <w:t>（三）科学规范，全面实施预算绩效管理</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《自治区财政厅关于贯彻落实&lt;自治区党委人民政府关于全面实施预算绩效管理的实施意见&gt;的通知》和</w:t>
      </w:r>
      <w:r>
        <w:rPr>
          <w:rFonts w:hint="default" w:ascii="Times New Roman" w:hAnsi="Times New Roman" w:eastAsia="仿宋_GB2312" w:cs="Times New Roman"/>
          <w:sz w:val="32"/>
          <w:szCs w:val="32"/>
          <w:lang w:val="en-US" w:eastAsia="zh-CN"/>
        </w:rPr>
        <w:t>《彭阳县全面实施预算绩效管理工作方案》，202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以地方综合预算管理系统为依托，</w:t>
      </w:r>
      <w:r>
        <w:rPr>
          <w:rFonts w:hint="default" w:ascii="Times New Roman" w:hAnsi="Times New Roman" w:eastAsia="仿宋_GB2312" w:cs="Times New Roman"/>
          <w:sz w:val="32"/>
          <w:szCs w:val="32"/>
          <w:lang w:val="en-US" w:eastAsia="zh-CN"/>
        </w:rPr>
        <w:t>我县</w:t>
      </w:r>
      <w:r>
        <w:rPr>
          <w:rFonts w:hint="eastAsia" w:ascii="Times New Roman" w:hAnsi="Times New Roman" w:eastAsia="仿宋_GB2312" w:cs="Times New Roman"/>
          <w:sz w:val="32"/>
          <w:szCs w:val="32"/>
          <w:lang w:val="en-US" w:eastAsia="zh-CN"/>
        </w:rPr>
        <w:t>项目申报与绩效填报同步进行</w:t>
      </w:r>
      <w:r>
        <w:rPr>
          <w:rFonts w:hint="default" w:ascii="Times New Roman" w:hAnsi="Times New Roman" w:eastAsia="仿宋_GB2312" w:cs="Times New Roman"/>
          <w:sz w:val="32"/>
          <w:szCs w:val="32"/>
          <w:lang w:val="en-US" w:eastAsia="zh-CN"/>
        </w:rPr>
        <w:t>，实现“无绩效不预算”的效果</w:t>
      </w:r>
      <w:r>
        <w:rPr>
          <w:rFonts w:hint="eastAsia" w:ascii="Times New Roman" w:hAnsi="Times New Roman" w:eastAsia="仿宋_GB2312" w:cs="Times New Roman"/>
          <w:sz w:val="32"/>
          <w:szCs w:val="32"/>
          <w:lang w:val="en-US" w:eastAsia="zh-CN"/>
        </w:rPr>
        <w:t>；同时，</w:t>
      </w:r>
      <w:r>
        <w:rPr>
          <w:rFonts w:hint="eastAsia" w:ascii="Times New Roman" w:hAnsi="Times New Roman" w:eastAsia="仿宋_GB2312" w:cs="Times New Roman"/>
          <w:b w:val="0"/>
          <w:bCs w:val="0"/>
          <w:color w:val="auto"/>
          <w:sz w:val="32"/>
          <w:szCs w:val="32"/>
          <w:lang w:val="en-US" w:eastAsia="zh-CN"/>
        </w:rPr>
        <w:t>所有项目绩效目标在报人代会审议决议后，随部门预算同批复同公开。</w:t>
      </w:r>
    </w:p>
    <w:p w14:paraId="248A9B9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（四）强化预算执行管理。</w:t>
      </w:r>
      <w:r>
        <w:rPr>
          <w:rFonts w:hint="eastAsia" w:ascii="Times New Roman" w:hAnsi="Times New Roman" w:eastAsia="仿宋_GB2312" w:cs="Times New Roman"/>
          <w:b w:val="0"/>
          <w:bCs w:val="0"/>
          <w:color w:val="auto"/>
          <w:sz w:val="32"/>
          <w:szCs w:val="32"/>
          <w:lang w:val="en-US" w:eastAsia="zh-CN"/>
        </w:rPr>
        <w:t>坚持先有预算，后有支出的原则，严格“三保”支出优先顺序，确保除纳入基本支出以外的人员工资、社会保险、公用经费等及时足额保障到位。</w:t>
      </w:r>
    </w:p>
    <w:p w14:paraId="68A910B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三、编制特点</w:t>
      </w:r>
    </w:p>
    <w:p w14:paraId="796E926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（一）优先保障“三保”支出</w:t>
      </w:r>
      <w:r>
        <w:rPr>
          <w:rFonts w:hint="eastAsia" w:ascii="Times New Roman" w:hAnsi="Times New Roman" w:eastAsia="仿宋_GB2312" w:cs="Times New Roman"/>
          <w:sz w:val="32"/>
          <w:szCs w:val="32"/>
          <w:lang w:val="en-US" w:eastAsia="zh-CN"/>
        </w:rPr>
        <w:t>。</w:t>
      </w:r>
    </w:p>
    <w:p w14:paraId="7F65E51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val="0"/>
          <w:bCs w:val="0"/>
          <w:color w:val="92D050"/>
          <w:sz w:val="32"/>
          <w:szCs w:val="32"/>
          <w:highlight w:val="none"/>
          <w:lang w:val="en-US" w:eastAsia="zh-CN"/>
        </w:rPr>
      </w:pP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对未列入基本支出的公安干警、协勤、专职消防人员、幼儿园专任教师、环卫工人、公益性岗位等工资类支出</w:t>
      </w:r>
      <w:r>
        <w:rPr>
          <w:rFonts w:hint="eastAsia" w:ascii="Times New Roman" w:hAnsi="Times New Roman" w:eastAsia="仿宋_GB2312" w:cs="Times New Roman"/>
          <w:sz w:val="32"/>
          <w:szCs w:val="32"/>
          <w:highlight w:val="none"/>
          <w:lang w:val="en-US" w:eastAsia="zh-CN"/>
        </w:rPr>
        <w:t>5146.78</w:t>
      </w:r>
      <w:r>
        <w:rPr>
          <w:rFonts w:hint="eastAsia" w:ascii="Times New Roman" w:hAnsi="Times New Roman" w:eastAsia="仿宋_GB2312" w:cs="Times New Roman"/>
          <w:sz w:val="32"/>
          <w:szCs w:val="32"/>
          <w:lang w:val="en-US" w:eastAsia="zh-CN"/>
        </w:rPr>
        <w:t>万元全部列入预算；</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安排教育</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社会保障</w:t>
      </w:r>
      <w:r>
        <w:rPr>
          <w:rFonts w:hint="eastAsia" w:ascii="Times New Roman" w:hAnsi="Times New Roman" w:eastAsia="仿宋_GB2312" w:cs="Times New Roman"/>
          <w:sz w:val="32"/>
          <w:szCs w:val="32"/>
          <w:lang w:val="en-US" w:eastAsia="zh-CN"/>
        </w:rPr>
        <w:t>、卫生健康</w:t>
      </w:r>
      <w:r>
        <w:rPr>
          <w:rFonts w:hint="default" w:ascii="Times New Roman" w:hAnsi="Times New Roman" w:eastAsia="仿宋_GB2312" w:cs="Times New Roman"/>
          <w:sz w:val="32"/>
          <w:szCs w:val="32"/>
          <w:lang w:val="en-US" w:eastAsia="zh-CN"/>
        </w:rPr>
        <w:t>、公共安全等事关民生的重点项目支出</w:t>
      </w:r>
      <w:r>
        <w:rPr>
          <w:rFonts w:hint="eastAsia" w:ascii="Times New Roman" w:hAnsi="Times New Roman" w:eastAsia="仿宋_GB2312" w:cs="Times New Roman"/>
          <w:b w:val="0"/>
          <w:bCs w:val="0"/>
          <w:sz w:val="32"/>
          <w:szCs w:val="32"/>
          <w:highlight w:val="none"/>
          <w:lang w:val="en-US" w:eastAsia="zh-CN"/>
        </w:rPr>
        <w:t>7690.84</w:t>
      </w:r>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其中：安排</w:t>
      </w:r>
      <w:r>
        <w:rPr>
          <w:rFonts w:hint="default" w:ascii="Times New Roman" w:hAnsi="Times New Roman" w:eastAsia="仿宋_GB2312" w:cs="Times New Roman"/>
          <w:sz w:val="32"/>
          <w:szCs w:val="32"/>
          <w:highlight w:val="none"/>
          <w:lang w:val="en-US" w:eastAsia="zh-CN"/>
        </w:rPr>
        <w:t>教育</w:t>
      </w:r>
      <w:r>
        <w:rPr>
          <w:rFonts w:hint="eastAsia" w:ascii="Times New Roman" w:hAnsi="Times New Roman" w:eastAsia="仿宋_GB2312" w:cs="Times New Roman"/>
          <w:sz w:val="32"/>
          <w:szCs w:val="32"/>
          <w:highlight w:val="none"/>
          <w:lang w:val="en-US" w:eastAsia="zh-CN"/>
        </w:rPr>
        <w:t>类</w:t>
      </w:r>
      <w:r>
        <w:rPr>
          <w:rFonts w:hint="default" w:ascii="Times New Roman" w:hAnsi="Times New Roman" w:eastAsia="仿宋_GB2312" w:cs="Times New Roman"/>
          <w:sz w:val="32"/>
          <w:szCs w:val="32"/>
          <w:highlight w:val="none"/>
          <w:lang w:val="en-US" w:eastAsia="zh-CN"/>
        </w:rPr>
        <w:t>支出</w:t>
      </w:r>
      <w:r>
        <w:rPr>
          <w:rFonts w:hint="eastAsia" w:ascii="Times New Roman" w:hAnsi="Times New Roman" w:eastAsia="仿宋_GB2312" w:cs="Times New Roman"/>
          <w:sz w:val="32"/>
          <w:szCs w:val="32"/>
          <w:highlight w:val="none"/>
          <w:lang w:val="en-US" w:eastAsia="zh-CN"/>
        </w:rPr>
        <w:t>2020.41</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lang w:val="en-US" w:eastAsia="zh-CN"/>
        </w:rPr>
        <w:t>重点用于教育教学质量综合奖、教育管理专项业务、学前幼儿教科书等</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安排</w:t>
      </w:r>
      <w:r>
        <w:rPr>
          <w:rFonts w:hint="default" w:ascii="Times New Roman" w:hAnsi="Times New Roman" w:eastAsia="仿宋_GB2312" w:cs="Times New Roman"/>
          <w:sz w:val="32"/>
          <w:szCs w:val="32"/>
          <w:highlight w:val="none"/>
          <w:lang w:val="en-US" w:eastAsia="zh-CN"/>
        </w:rPr>
        <w:t>社会保障</w:t>
      </w:r>
      <w:r>
        <w:rPr>
          <w:rFonts w:hint="eastAsia" w:ascii="Times New Roman" w:hAnsi="Times New Roman" w:eastAsia="仿宋_GB2312" w:cs="Times New Roman"/>
          <w:sz w:val="32"/>
          <w:szCs w:val="32"/>
          <w:highlight w:val="none"/>
          <w:lang w:val="en-US" w:eastAsia="zh-CN"/>
        </w:rPr>
        <w:t>类支出3166</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重点用于</w:t>
      </w:r>
      <w:r>
        <w:rPr>
          <w:rFonts w:hint="eastAsia" w:ascii="Times New Roman" w:hAnsi="Times New Roman" w:eastAsia="仿宋_GB2312" w:cs="Times New Roman"/>
          <w:sz w:val="32"/>
          <w:szCs w:val="32"/>
          <w:lang w:val="en-US" w:eastAsia="zh-CN"/>
        </w:rPr>
        <w:t>补助各类社会保险，支持民政、残疾人工作的开展；安排卫生健康支出600万元，支持重大公共卫生、各类疾病防控及卫生计生</w:t>
      </w:r>
      <w:bookmarkStart w:id="0" w:name="_GoBack"/>
      <w:bookmarkEnd w:id="0"/>
      <w:r>
        <w:rPr>
          <w:rFonts w:hint="eastAsia" w:ascii="Times New Roman" w:hAnsi="Times New Roman" w:eastAsia="仿宋_GB2312" w:cs="Times New Roman"/>
          <w:sz w:val="32"/>
          <w:szCs w:val="32"/>
          <w:lang w:val="en-US" w:eastAsia="zh-CN"/>
        </w:rPr>
        <w:t>工作，促成健康卫生县城建设；安排公共安全支出1864.43万元，重点用于公共安全保障、防范和化解各类突发公共安全事项等支出；</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安排各类公用经费1295.11万元，用于保障部门单位合理平稳运转；</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b w:val="0"/>
          <w:bCs w:val="0"/>
          <w:sz w:val="32"/>
          <w:szCs w:val="32"/>
          <w:lang w:val="en-US" w:eastAsia="zh-CN"/>
        </w:rPr>
        <w:t>安排其他刚性支出</w:t>
      </w:r>
      <w:r>
        <w:rPr>
          <w:rFonts w:hint="eastAsia" w:ascii="Times New Roman" w:hAnsi="Times New Roman" w:eastAsia="仿宋_GB2312" w:cs="Times New Roman"/>
          <w:b w:val="0"/>
          <w:bCs w:val="0"/>
          <w:sz w:val="32"/>
          <w:szCs w:val="32"/>
          <w:highlight w:val="none"/>
          <w:lang w:val="en-US" w:eastAsia="zh-CN"/>
        </w:rPr>
        <w:t>2145万元，用于城市环卫绿化支出。</w:t>
      </w:r>
    </w:p>
    <w:p w14:paraId="60E5CB7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积极落实重大战略。</w:t>
      </w:r>
    </w:p>
    <w:p w14:paraId="1528604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eastAsia="zh-CN"/>
        </w:rPr>
        <w:t>在编制</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lang w:val="en-US" w:eastAsia="zh-CN"/>
        </w:rPr>
        <w:t>年项目支出预算过程中，</w:t>
      </w:r>
      <w:r>
        <w:rPr>
          <w:rFonts w:hint="default" w:ascii="Times New Roman" w:hAnsi="Times New Roman" w:eastAsia="仿宋_GB2312" w:cs="Times New Roman"/>
          <w:sz w:val="32"/>
          <w:szCs w:val="32"/>
          <w:highlight w:val="none"/>
        </w:rPr>
        <w:t>认真落实</w:t>
      </w:r>
      <w:r>
        <w:rPr>
          <w:rFonts w:hint="eastAsia" w:ascii="Times New Roman" w:hAnsi="Times New Roman" w:eastAsia="仿宋_GB2312" w:cs="Times New Roman"/>
          <w:sz w:val="32"/>
          <w:szCs w:val="32"/>
          <w:highlight w:val="none"/>
          <w:lang w:eastAsia="zh-CN"/>
        </w:rPr>
        <w:t>党的十九届五中全会</w:t>
      </w:r>
      <w:r>
        <w:rPr>
          <w:rFonts w:hint="default" w:ascii="Times New Roman" w:hAnsi="Times New Roman" w:eastAsia="仿宋_GB2312" w:cs="Times New Roman"/>
          <w:sz w:val="32"/>
          <w:szCs w:val="32"/>
          <w:highlight w:val="none"/>
        </w:rPr>
        <w:t>精神，紧紧围绕</w:t>
      </w:r>
      <w:r>
        <w:rPr>
          <w:rFonts w:hint="eastAsia" w:ascii="Times New Roman" w:hAnsi="Times New Roman" w:eastAsia="仿宋_GB2312" w:cs="Times New Roman"/>
          <w:sz w:val="32"/>
          <w:szCs w:val="32"/>
          <w:highlight w:val="none"/>
          <w:lang w:eastAsia="zh-CN"/>
        </w:rPr>
        <w:t>县委、县政府</w:t>
      </w:r>
      <w:r>
        <w:rPr>
          <w:rFonts w:hint="default" w:ascii="Times New Roman" w:hAnsi="Times New Roman" w:eastAsia="仿宋_GB2312" w:cs="Times New Roman"/>
          <w:sz w:val="32"/>
          <w:szCs w:val="32"/>
          <w:highlight w:val="none"/>
        </w:rPr>
        <w:t>重大决策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突出重点</w:t>
      </w:r>
      <w:r>
        <w:rPr>
          <w:rFonts w:hint="eastAsia" w:ascii="Times New Roman" w:hAnsi="Times New Roman" w:eastAsia="仿宋_GB2312" w:cs="Times New Roman"/>
          <w:sz w:val="32"/>
          <w:szCs w:val="32"/>
          <w:highlight w:val="none"/>
          <w:lang w:val="en-US" w:eastAsia="zh-CN"/>
        </w:rPr>
        <w:t>。（1）聚力“三农”，决胜小康，支持乡村振兴战略，全力推进脱贫富民战略：</w:t>
      </w:r>
      <w:r>
        <w:rPr>
          <w:rFonts w:hint="default" w:ascii="Times New Roman" w:hAnsi="Times New Roman" w:eastAsia="仿宋_GB2312" w:cs="Times New Roman"/>
          <w:sz w:val="32"/>
          <w:szCs w:val="32"/>
          <w:highlight w:val="none"/>
          <w:lang w:val="en-US" w:eastAsia="zh-CN"/>
        </w:rPr>
        <w:t>安排乡村振兴战略资金</w:t>
      </w:r>
      <w:r>
        <w:rPr>
          <w:rFonts w:hint="eastAsia" w:ascii="Times New Roman" w:hAnsi="Times New Roman" w:eastAsia="仿宋_GB2312" w:cs="Times New Roman"/>
          <w:sz w:val="32"/>
          <w:szCs w:val="32"/>
          <w:highlight w:val="none"/>
          <w:lang w:val="en-US" w:eastAsia="zh-CN"/>
        </w:rPr>
        <w:t>1230</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实现脱贫攻坚与乡村振兴战略有效衔接；（2）聚焦环保，打好污染防治战：安排污水处理厂运维及药剂费600万元、城市维护费1500万元，环境质量监测经费45万元；（3）着眼创新，推动内生动力增长：安排R&amp;D经费980万元，支持林下药材种植项目、中药材种植加工补贴项目、中药材示范项目、农作物新品种试验示范等在内的项目建设；</w:t>
      </w:r>
      <w:r>
        <w:rPr>
          <w:rFonts w:hint="eastAsia" w:ascii="Times New Roman" w:hAnsi="Times New Roman" w:eastAsia="仿宋_GB2312" w:cs="Times New Roman"/>
          <w:color w:val="auto"/>
          <w:sz w:val="32"/>
          <w:szCs w:val="32"/>
          <w:highlight w:val="none"/>
          <w:lang w:val="en-US" w:eastAsia="zh-CN"/>
        </w:rPr>
        <w:t>（4）精准招商，鼓励非公经济增长，按照招商引资和非公经济奖补资金385万元，支持建设黄河流域生态保护和高质量发展先行区，精准围绕重点产业，加大招商引资力度。</w:t>
      </w:r>
    </w:p>
    <w:p w14:paraId="68DD6EF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其他需要说明的事项</w:t>
      </w:r>
    </w:p>
    <w:p w14:paraId="4EB41B9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由于受可用财力所限，我县20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年实施的大部分重大项目未能纳入部门预算，这些重大项目资金需要在年度执行中</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财政部门会同业务部门争取上级专项或通过新增地方债券等多渠道筹集项目建设资金。</w:t>
      </w:r>
    </w:p>
    <w:p w14:paraId="11F5F42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p>
    <w:p w14:paraId="099CCA0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年部门预算项目支出明细表</w:t>
      </w:r>
    </w:p>
    <w:p w14:paraId="5F4A0425">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jc w:val="both"/>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4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D75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2337435</wp:posOffset>
              </wp:positionH>
              <wp:positionV relativeFrom="paragraph">
                <wp:posOffset>-42545</wp:posOffset>
              </wp:positionV>
              <wp:extent cx="599440" cy="273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9440" cy="273050"/>
                      </a:xfrm>
                      <a:prstGeom prst="rect">
                        <a:avLst/>
                      </a:prstGeom>
                      <a:noFill/>
                      <a:ln>
                        <a:noFill/>
                      </a:ln>
                    </wps:spPr>
                    <wps:txbx>
                      <w:txbxContent>
                        <w:p w14:paraId="4D38F982">
                          <w:pPr>
                            <w:snapToGrid w:val="0"/>
                            <w:jc w:val="center"/>
                            <w:rPr>
                              <w:rFonts w:hint="eastAsia" w:eastAsiaTheme="minorEastAsia"/>
                              <w:sz w:val="28"/>
                              <w:lang w:eastAsia="zh-CN"/>
                            </w:rPr>
                          </w:pPr>
                          <w:r>
                            <w:rPr>
                              <w:rFonts w:hint="eastAsia" w:eastAsiaTheme="minorEastAsia"/>
                              <w:sz w:val="28"/>
                              <w:lang w:eastAsia="zh-CN"/>
                            </w:rPr>
                            <w:t>—</w:t>
                          </w:r>
                          <w:r>
                            <w:rPr>
                              <w:rFonts w:hint="default" w:ascii="Times New Roman" w:hAnsi="Times New Roman" w:cs="Times New Roman" w:eastAsiaTheme="minorEastAsia"/>
                              <w:sz w:val="28"/>
                              <w:lang w:eastAsia="zh-CN"/>
                            </w:rPr>
                            <w:fldChar w:fldCharType="begin"/>
                          </w:r>
                          <w:r>
                            <w:rPr>
                              <w:rFonts w:hint="default" w:ascii="Times New Roman" w:hAnsi="Times New Roman" w:cs="Times New Roman" w:eastAsiaTheme="minorEastAsia"/>
                              <w:sz w:val="28"/>
                              <w:lang w:eastAsia="zh-CN"/>
                            </w:rPr>
                            <w:instrText xml:space="preserve"> PAGE  \* MERGEFORMAT </w:instrText>
                          </w:r>
                          <w:r>
                            <w:rPr>
                              <w:rFonts w:hint="default" w:ascii="Times New Roman" w:hAnsi="Times New Roman" w:cs="Times New Roman" w:eastAsiaTheme="minorEastAsia"/>
                              <w:sz w:val="28"/>
                              <w:lang w:eastAsia="zh-CN"/>
                            </w:rPr>
                            <w:fldChar w:fldCharType="separate"/>
                          </w:r>
                          <w:r>
                            <w:rPr>
                              <w:rFonts w:hint="default" w:ascii="Times New Roman" w:hAnsi="Times New Roman" w:cs="Times New Roman" w:eastAsiaTheme="minorEastAsia"/>
                              <w:sz w:val="28"/>
                            </w:rPr>
                            <w:t>1</w:t>
                          </w:r>
                          <w:r>
                            <w:rPr>
                              <w:rFonts w:hint="default" w:ascii="Times New Roman" w:hAnsi="Times New Roman" w:cs="Times New Roman" w:eastAsiaTheme="minorEastAsia"/>
                              <w:sz w:val="28"/>
                              <w:lang w:eastAsia="zh-CN"/>
                            </w:rPr>
                            <w:fldChar w:fldCharType="end"/>
                          </w:r>
                          <w:r>
                            <w:rPr>
                              <w:rFonts w:hint="eastAsia" w:eastAsiaTheme="minorEastAsia"/>
                              <w:sz w:val="28"/>
                              <w:lang w:eastAsia="zh-CN"/>
                            </w:rPr>
                            <w:t>—</w:t>
                          </w:r>
                        </w:p>
                      </w:txbxContent>
                    </wps:txbx>
                    <wps:bodyPr lIns="0" tIns="0" rIns="0" bIns="0" upright="0"/>
                  </wps:wsp>
                </a:graphicData>
              </a:graphic>
            </wp:anchor>
          </w:drawing>
        </mc:Choice>
        <mc:Fallback>
          <w:pict>
            <v:shape id="_x0000_s1026" o:spid="_x0000_s1026" o:spt="202" type="#_x0000_t202" style="position:absolute;left:0pt;margin-left:184.05pt;margin-top:-3.35pt;height:21.5pt;width:47.2pt;mso-position-horizontal-relative:margin;z-index:251659264;mso-width-relative:page;mso-height-relative:page;" filled="f" stroked="f" coordsize="21600,21600" o:gfxdata="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hkAK2AAAAAkBAAAPAAAAAAAAAAEAIAAAACIAAABkcnMvZG93bnJldi54bWxQSwEC&#10;FAAUAAAACACHTuJAjIUA5rsBAABxAwAADgAAAAAAAAABACAAAAAnAQAAZHJzL2Uyb0RvYy54bWxQ&#10;SwUGAAAAAAYABgBZAQAAVAUAAAAA&#10;">
              <v:fill on="f" focussize="0,0"/>
              <v:stroke on="f"/>
              <v:imagedata o:title=""/>
              <o:lock v:ext="edit" aspectratio="f"/>
              <v:textbox inset="0mm,0mm,0mm,0mm">
                <w:txbxContent>
                  <w:p w14:paraId="4D38F982">
                    <w:pPr>
                      <w:snapToGrid w:val="0"/>
                      <w:jc w:val="center"/>
                      <w:rPr>
                        <w:rFonts w:hint="eastAsia" w:eastAsiaTheme="minorEastAsia"/>
                        <w:sz w:val="28"/>
                        <w:lang w:eastAsia="zh-CN"/>
                      </w:rPr>
                    </w:pPr>
                    <w:r>
                      <w:rPr>
                        <w:rFonts w:hint="eastAsia" w:eastAsiaTheme="minorEastAsia"/>
                        <w:sz w:val="28"/>
                        <w:lang w:eastAsia="zh-CN"/>
                      </w:rPr>
                      <w:t>—</w:t>
                    </w:r>
                    <w:r>
                      <w:rPr>
                        <w:rFonts w:hint="default" w:ascii="Times New Roman" w:hAnsi="Times New Roman" w:cs="Times New Roman" w:eastAsiaTheme="minorEastAsia"/>
                        <w:sz w:val="28"/>
                        <w:lang w:eastAsia="zh-CN"/>
                      </w:rPr>
                      <w:fldChar w:fldCharType="begin"/>
                    </w:r>
                    <w:r>
                      <w:rPr>
                        <w:rFonts w:hint="default" w:ascii="Times New Roman" w:hAnsi="Times New Roman" w:cs="Times New Roman" w:eastAsiaTheme="minorEastAsia"/>
                        <w:sz w:val="28"/>
                        <w:lang w:eastAsia="zh-CN"/>
                      </w:rPr>
                      <w:instrText xml:space="preserve"> PAGE  \* MERGEFORMAT </w:instrText>
                    </w:r>
                    <w:r>
                      <w:rPr>
                        <w:rFonts w:hint="default" w:ascii="Times New Roman" w:hAnsi="Times New Roman" w:cs="Times New Roman" w:eastAsiaTheme="minorEastAsia"/>
                        <w:sz w:val="28"/>
                        <w:lang w:eastAsia="zh-CN"/>
                      </w:rPr>
                      <w:fldChar w:fldCharType="separate"/>
                    </w:r>
                    <w:r>
                      <w:rPr>
                        <w:rFonts w:hint="default" w:ascii="Times New Roman" w:hAnsi="Times New Roman" w:cs="Times New Roman" w:eastAsiaTheme="minorEastAsia"/>
                        <w:sz w:val="28"/>
                      </w:rPr>
                      <w:t>1</w:t>
                    </w:r>
                    <w:r>
                      <w:rPr>
                        <w:rFonts w:hint="default" w:ascii="Times New Roman" w:hAnsi="Times New Roman" w:cs="Times New Roman" w:eastAsiaTheme="minorEastAsia"/>
                        <w:sz w:val="28"/>
                        <w:lang w:eastAsia="zh-CN"/>
                      </w:rPr>
                      <w:fldChar w:fldCharType="end"/>
                    </w:r>
                    <w:r>
                      <w:rPr>
                        <w:rFonts w:hint="eastAsia" w:eastAsiaTheme="minorEastAsia"/>
                        <w:sz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6986B"/>
    <w:multiLevelType w:val="singleLevel"/>
    <w:tmpl w:val="5A26986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089F"/>
    <w:rsid w:val="04803747"/>
    <w:rsid w:val="05533A51"/>
    <w:rsid w:val="06600743"/>
    <w:rsid w:val="11671609"/>
    <w:rsid w:val="17CF7140"/>
    <w:rsid w:val="1F6D78F8"/>
    <w:rsid w:val="1FCE280E"/>
    <w:rsid w:val="22834DE4"/>
    <w:rsid w:val="23B83956"/>
    <w:rsid w:val="25EB22DD"/>
    <w:rsid w:val="27C33CA1"/>
    <w:rsid w:val="2D3000EB"/>
    <w:rsid w:val="2E510831"/>
    <w:rsid w:val="30F25D9F"/>
    <w:rsid w:val="337E5342"/>
    <w:rsid w:val="348A38F7"/>
    <w:rsid w:val="34F90F18"/>
    <w:rsid w:val="391561AE"/>
    <w:rsid w:val="3D3A03BA"/>
    <w:rsid w:val="4362089F"/>
    <w:rsid w:val="45BB4027"/>
    <w:rsid w:val="4E8D2F39"/>
    <w:rsid w:val="555A4A0F"/>
    <w:rsid w:val="5BC83240"/>
    <w:rsid w:val="5FF97FE3"/>
    <w:rsid w:val="643C394A"/>
    <w:rsid w:val="65020513"/>
    <w:rsid w:val="761A6D64"/>
    <w:rsid w:val="762C4B0D"/>
    <w:rsid w:val="7C74039C"/>
    <w:rsid w:val="7DC0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customStyle="1" w:styleId="5">
    <w:name w:val="List Paragraph"/>
    <w:basedOn w:val="1"/>
    <w:qFormat/>
    <w:uiPriority w:val="34"/>
    <w:pPr>
      <w:ind w:firstLine="420" w:firstLineChars="200"/>
    </w:pPr>
  </w:style>
  <w:style w:type="paragraph" w:customStyle="1" w:styleId="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1600</Words>
  <Characters>1725</Characters>
  <Lines>0</Lines>
  <Paragraphs>0</Paragraphs>
  <TotalTime>0</TotalTime>
  <ScaleCrop>false</ScaleCrop>
  <LinksUpToDate>false</LinksUpToDate>
  <CharactersWithSpaces>1725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2020-12-17T01:59:00Z</dcterms:created>
  <dc:creator>贺思艳</dc:creator>
  <cp:lastModifiedBy>俱往矣</cp:lastModifiedBy>
  <cp:lastPrinted>2020-12-23T05:33:00Z</cp:lastPrinted>
  <dcterms:modified xsi:type="dcterms:W3CDTF">2025-05-19T08:16:44Z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E26ECFD8F373481E95C8B42F52784779_12</vt:lpwstr>
  </property>
</Properties>
</file>