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372F7">
      <w:pPr>
        <w:pStyle w:val="8"/>
        <w:spacing w:line="520" w:lineRule="exact"/>
        <w:ind w:left="360" w:firstLine="0" w:firstLineChars="0"/>
        <w:jc w:val="center"/>
        <w:rPr>
          <w:rFonts w:ascii="Times New Roman" w:hAnsi="Times New Roman" w:eastAsia="方正小标宋_GBK" w:cs="Times New Roman"/>
          <w:sz w:val="18"/>
          <w:szCs w:val="18"/>
        </w:rPr>
      </w:pPr>
    </w:p>
    <w:p w14:paraId="57C9948D">
      <w:pPr>
        <w:pStyle w:val="8"/>
        <w:spacing w:line="520" w:lineRule="exact"/>
        <w:ind w:left="360" w:firstLine="0" w:firstLineChars="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彭阳县2020年项目支出</w:t>
      </w:r>
      <w:r>
        <w:rPr>
          <w:rFonts w:hint="eastAsia" w:ascii="Times New Roman" w:hAnsi="Times New Roman" w:eastAsia="方正小标宋简体" w:cs="Times New Roman"/>
          <w:sz w:val="44"/>
          <w:szCs w:val="44"/>
        </w:rPr>
        <w:t>预算</w:t>
      </w:r>
      <w:r>
        <w:rPr>
          <w:rFonts w:ascii="Times New Roman" w:hAnsi="Times New Roman" w:eastAsia="方正小标宋简体" w:cs="Times New Roman"/>
          <w:sz w:val="44"/>
          <w:szCs w:val="44"/>
        </w:rPr>
        <w:t>编制</w:t>
      </w:r>
      <w:r>
        <w:rPr>
          <w:rFonts w:hint="eastAsia" w:ascii="Times New Roman" w:hAnsi="Times New Roman" w:eastAsia="方正小标宋简体" w:cs="Times New Roman"/>
          <w:sz w:val="44"/>
          <w:szCs w:val="44"/>
        </w:rPr>
        <w:t>情况</w:t>
      </w:r>
    </w:p>
    <w:p w14:paraId="3234039F">
      <w:pPr>
        <w:pStyle w:val="8"/>
        <w:spacing w:line="520" w:lineRule="exact"/>
        <w:ind w:left="360" w:firstLine="0" w:firstLineChars="0"/>
        <w:jc w:val="center"/>
        <w:rPr>
          <w:rFonts w:ascii="Times New Roman" w:hAnsi="Times New Roman" w:eastAsia="方正小标宋简体" w:cs="Times New Roman"/>
          <w:sz w:val="44"/>
          <w:szCs w:val="44"/>
        </w:rPr>
      </w:pPr>
    </w:p>
    <w:p w14:paraId="4F32978B">
      <w:pPr>
        <w:pStyle w:val="8"/>
        <w:spacing w:line="56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综合我县近三年财政收支运行情况，在2020年财政预算编制过程中，创造性地开展了全县项目支出预算控制数的</w:t>
      </w:r>
      <w:bookmarkStart w:id="0" w:name="_GoBack"/>
      <w:bookmarkEnd w:id="0"/>
      <w:r>
        <w:rPr>
          <w:rFonts w:ascii="Times New Roman" w:hAnsi="Times New Roman" w:eastAsia="仿宋_GB2312" w:cs="Times New Roman"/>
          <w:kern w:val="0"/>
          <w:sz w:val="32"/>
          <w:szCs w:val="32"/>
        </w:rPr>
        <w:t>编制，对我县全年财政项目支出统筹规划。同时，结合2020年年初县级财力情况，我局系统分析、科学预判，完成部门预算项目支出的审核汇总。现将有关情况说明如下：</w:t>
      </w:r>
    </w:p>
    <w:p w14:paraId="60004333">
      <w:pPr>
        <w:pStyle w:val="8"/>
        <w:numPr>
          <w:ilvl w:val="0"/>
          <w:numId w:val="1"/>
        </w:numPr>
        <w:spacing w:line="560" w:lineRule="exact"/>
        <w:ind w:firstLine="640"/>
        <w:rPr>
          <w:rFonts w:ascii="Times New Roman" w:hAnsi="Times New Roman" w:eastAsia="黑体" w:cs="Times New Roman"/>
          <w:kern w:val="0"/>
          <w:sz w:val="32"/>
          <w:szCs w:val="32"/>
        </w:rPr>
      </w:pPr>
      <w:r>
        <w:rPr>
          <w:rFonts w:ascii="Times New Roman" w:hAnsi="Times New Roman" w:eastAsia="黑体" w:cs="Times New Roman"/>
          <w:kern w:val="0"/>
          <w:sz w:val="32"/>
          <w:szCs w:val="32"/>
        </w:rPr>
        <w:t>整体思路和编制原则</w:t>
      </w:r>
    </w:p>
    <w:p w14:paraId="620B7159">
      <w:pPr>
        <w:pStyle w:val="8"/>
        <w:spacing w:line="56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在2020年项目支出编制中，以部门、单位申报项目内容为基础，与项目单位直接对接确认项目情况。在了解项目真实情况的基础上，综合我县近三年财力、政府性债券及存量资金整体状况，提出可行的2020年项目支出预算控制数；在控制数确定的大前提下，再以年初县级可用财力为限，将控制数范围内的部分项目列入年初部门预算。</w:t>
      </w:r>
    </w:p>
    <w:p w14:paraId="6DBAB6FA">
      <w:pPr>
        <w:pStyle w:val="8"/>
        <w:spacing w:line="56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按照</w:t>
      </w:r>
      <w:r>
        <w:rPr>
          <w:rFonts w:hint="eastAsia" w:ascii="Times New Roman" w:hAnsi="Times New Roman" w:eastAsia="仿宋_GB2312" w:cs="Times New Roman"/>
          <w:kern w:val="0"/>
          <w:sz w:val="32"/>
          <w:szCs w:val="32"/>
          <w:lang w:eastAsia="zh-CN"/>
        </w:rPr>
        <w:t>《中华人民共和国预算法》</w:t>
      </w:r>
      <w:r>
        <w:rPr>
          <w:rFonts w:ascii="Times New Roman" w:hAnsi="Times New Roman" w:eastAsia="仿宋_GB2312" w:cs="Times New Roman"/>
          <w:kern w:val="0"/>
          <w:sz w:val="32"/>
          <w:szCs w:val="32"/>
        </w:rPr>
        <w:t>要求，2020年，全县项目支出预算编制在坚持“统筹兼顾、勤俭节约、量力而行”的前提下，遵循以下原则：</w:t>
      </w:r>
    </w:p>
    <w:p w14:paraId="643461EB">
      <w:pPr>
        <w:pStyle w:val="8"/>
        <w:numPr>
          <w:ilvl w:val="0"/>
          <w:numId w:val="2"/>
        </w:numPr>
        <w:spacing w:line="560" w:lineRule="exact"/>
        <w:ind w:firstLine="640"/>
        <w:rPr>
          <w:rFonts w:ascii="Times New Roman" w:hAnsi="Times New Roman" w:eastAsia="仿宋_GB2312" w:cs="Times New Roman"/>
          <w:kern w:val="0"/>
          <w:sz w:val="32"/>
          <w:szCs w:val="32"/>
        </w:rPr>
      </w:pPr>
      <w:r>
        <w:rPr>
          <w:rFonts w:ascii="Times New Roman" w:hAnsi="Times New Roman" w:eastAsia="楷体" w:cs="Times New Roman"/>
          <w:kern w:val="0"/>
          <w:sz w:val="32"/>
          <w:szCs w:val="32"/>
        </w:rPr>
        <w:t>牢守底线，严防债务风险。</w:t>
      </w:r>
      <w:r>
        <w:rPr>
          <w:rFonts w:ascii="Times New Roman" w:hAnsi="Times New Roman" w:eastAsia="仿宋_GB2312" w:cs="Times New Roman"/>
          <w:kern w:val="0"/>
          <w:sz w:val="32"/>
          <w:szCs w:val="32"/>
        </w:rPr>
        <w:t>认真贯彻落实《自治区人民政府办公厅关于转发&lt;自治区发展改革委 自治区财政厅尽力而为量力而行切实实施好民生工程和民生政策的意见&gt;的通知》精神。一方面，将债务还本付息作为必保支出予以考虑，按年度计划化解存量债务；另一方面，在各类工程资金的安排上，严格项目审核把关，确保资金及时到位，严堵违法违规举债的后门。</w:t>
      </w:r>
    </w:p>
    <w:p w14:paraId="7E905716">
      <w:pPr>
        <w:pStyle w:val="8"/>
        <w:spacing w:line="560" w:lineRule="exact"/>
        <w:ind w:firstLine="640"/>
        <w:rPr>
          <w:rFonts w:ascii="Times New Roman" w:hAnsi="Times New Roman" w:eastAsia="仿宋_GB2312" w:cs="Times New Roman"/>
          <w:b/>
          <w:bCs/>
          <w:kern w:val="0"/>
          <w:sz w:val="32"/>
          <w:szCs w:val="32"/>
        </w:rPr>
      </w:pPr>
      <w:r>
        <w:rPr>
          <w:rFonts w:ascii="Times New Roman" w:hAnsi="Times New Roman" w:eastAsia="楷体" w:cs="Times New Roman"/>
          <w:kern w:val="0"/>
          <w:sz w:val="32"/>
          <w:szCs w:val="32"/>
        </w:rPr>
        <w:t>（二）开源节流，严控一般性支出和“三公经费”。</w:t>
      </w:r>
      <w:r>
        <w:rPr>
          <w:rFonts w:ascii="Times New Roman" w:hAnsi="Times New Roman" w:eastAsia="仿宋_GB2312" w:cs="Times New Roman"/>
          <w:kern w:val="0"/>
          <w:sz w:val="32"/>
          <w:szCs w:val="32"/>
        </w:rPr>
        <w:t>为了使更多的资金用于民生支出，今年在编制部门预算过程中，各单位的专项业务费在2019年基础上压减10%以上，同时，结合各单位预算执行情况，对各类经费核定统筹考虑。</w:t>
      </w:r>
    </w:p>
    <w:p w14:paraId="4A13DFAA">
      <w:pPr>
        <w:pStyle w:val="8"/>
        <w:spacing w:line="560" w:lineRule="exact"/>
        <w:ind w:firstLine="640"/>
        <w:rPr>
          <w:rFonts w:ascii="Times New Roman" w:hAnsi="Times New Roman" w:eastAsia="仿宋_GB2312" w:cs="Times New Roman"/>
          <w:kern w:val="0"/>
          <w:sz w:val="32"/>
          <w:szCs w:val="32"/>
        </w:rPr>
      </w:pPr>
      <w:r>
        <w:rPr>
          <w:rFonts w:ascii="Times New Roman" w:hAnsi="Times New Roman" w:eastAsia="楷体" w:cs="Times New Roman"/>
          <w:kern w:val="0"/>
          <w:sz w:val="32"/>
          <w:szCs w:val="32"/>
        </w:rPr>
        <w:t>（三）优化结构，突出保障重点民生事项。</w:t>
      </w:r>
      <w:r>
        <w:rPr>
          <w:rFonts w:ascii="Times New Roman" w:hAnsi="Times New Roman" w:eastAsia="仿宋_GB2312" w:cs="Times New Roman"/>
          <w:kern w:val="0"/>
          <w:sz w:val="32"/>
          <w:szCs w:val="32"/>
        </w:rPr>
        <w:t>2020年编制项目支出预算时，在充分保障各单位正常开展工作所需经费的基础上，优先安排教育、社会保障等民生事项</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对于区市纳入考核的项目，按照规定列入部门预算</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涉及到</w:t>
      </w:r>
      <w:r>
        <w:rPr>
          <w:rFonts w:hint="eastAsia" w:ascii="Times New Roman" w:hAnsi="Times New Roman" w:eastAsia="仿宋_GB2312" w:cs="Times New Roman"/>
          <w:kern w:val="0"/>
          <w:sz w:val="32"/>
          <w:szCs w:val="32"/>
          <w:lang w:eastAsia="zh-CN"/>
        </w:rPr>
        <w:t>县委、县政府</w:t>
      </w:r>
      <w:r>
        <w:rPr>
          <w:rFonts w:ascii="Times New Roman" w:hAnsi="Times New Roman" w:eastAsia="仿宋_GB2312" w:cs="Times New Roman"/>
          <w:kern w:val="0"/>
          <w:sz w:val="32"/>
          <w:szCs w:val="32"/>
        </w:rPr>
        <w:t>确定的重点事项、重要工作，根据财力情况，在编制中有一定体现。</w:t>
      </w:r>
    </w:p>
    <w:p w14:paraId="48357320">
      <w:pPr>
        <w:pStyle w:val="8"/>
        <w:spacing w:line="560" w:lineRule="exact"/>
        <w:ind w:firstLine="640"/>
        <w:rPr>
          <w:rFonts w:ascii="Times New Roman" w:hAnsi="Times New Roman" w:eastAsia="仿宋_GB2312" w:cs="Times New Roman"/>
          <w:kern w:val="0"/>
          <w:sz w:val="32"/>
          <w:szCs w:val="32"/>
        </w:rPr>
      </w:pPr>
      <w:r>
        <w:rPr>
          <w:rFonts w:ascii="Times New Roman" w:hAnsi="Times New Roman" w:eastAsia="楷体" w:cs="Times New Roman"/>
          <w:kern w:val="0"/>
          <w:sz w:val="32"/>
          <w:szCs w:val="32"/>
        </w:rPr>
        <w:t>（四）科学规范，全面实施预算绩效管理。</w:t>
      </w:r>
      <w:r>
        <w:rPr>
          <w:rFonts w:ascii="Times New Roman" w:hAnsi="Times New Roman" w:eastAsia="仿宋_GB2312" w:cs="Times New Roman"/>
          <w:kern w:val="0"/>
          <w:sz w:val="32"/>
          <w:szCs w:val="32"/>
        </w:rPr>
        <w:t>根据《自治区财政厅关于贯彻落实&lt;自治区党委人民政府关于全面实施预算绩效管理的实施意见&gt;的通知》和《彭阳县全面实施预算绩效管理工作方案》，2020年，以地方综合预算管理系统为依托，我县项目申报与绩效填报同步进行，实现“无绩效不预算”的效果；同时，所有项目绩效目标在报人代会审议决议后，随部门预算同批复同公开。</w:t>
      </w:r>
    </w:p>
    <w:p w14:paraId="18F53E5B">
      <w:pPr>
        <w:pStyle w:val="8"/>
        <w:spacing w:line="560" w:lineRule="exact"/>
        <w:ind w:firstLine="652" w:firstLineChars="0"/>
        <w:rPr>
          <w:rFonts w:ascii="Times New Roman" w:hAnsi="Times New Roman" w:eastAsia="仿宋_GB2312" w:cs="Times New Roman"/>
          <w:kern w:val="0"/>
          <w:sz w:val="32"/>
          <w:szCs w:val="32"/>
        </w:rPr>
      </w:pPr>
      <w:r>
        <w:rPr>
          <w:rFonts w:ascii="Times New Roman" w:hAnsi="Times New Roman" w:eastAsia="楷体" w:cs="Times New Roman"/>
          <w:kern w:val="0"/>
          <w:sz w:val="32"/>
          <w:szCs w:val="32"/>
        </w:rPr>
        <w:t>（五）强化约束，严格预算控制数执行。</w:t>
      </w:r>
      <w:r>
        <w:rPr>
          <w:rFonts w:ascii="Times New Roman" w:hAnsi="Times New Roman" w:eastAsia="仿宋_GB2312" w:cs="Times New Roman"/>
          <w:kern w:val="0"/>
          <w:sz w:val="32"/>
          <w:szCs w:val="32"/>
        </w:rPr>
        <w:t>对于未纳入控制数或超出控制数范畴的项目支出，原则上不予追加。除国家、自治区及</w:t>
      </w:r>
      <w:r>
        <w:rPr>
          <w:rFonts w:hint="eastAsia" w:ascii="Times New Roman" w:hAnsi="Times New Roman" w:eastAsia="仿宋_GB2312" w:cs="Times New Roman"/>
          <w:kern w:val="0"/>
          <w:sz w:val="32"/>
          <w:szCs w:val="32"/>
          <w:lang w:eastAsia="zh-CN"/>
        </w:rPr>
        <w:t>县委、县政府</w:t>
      </w:r>
      <w:r>
        <w:rPr>
          <w:rFonts w:ascii="Times New Roman" w:hAnsi="Times New Roman" w:eastAsia="仿宋_GB2312" w:cs="Times New Roman"/>
          <w:kern w:val="0"/>
          <w:sz w:val="32"/>
          <w:szCs w:val="32"/>
        </w:rPr>
        <w:t>出台的必须实施的重点民生项目外，部门（单位）申报的新增项目一律从下一年度开始执行。同时，在预算控制数执行过程中，对各部门（单位）纳入预算的控制数建立有效预警机制，严格预算控制数执行。</w:t>
      </w:r>
    </w:p>
    <w:p w14:paraId="4D3B59B1">
      <w:pPr>
        <w:pStyle w:val="8"/>
        <w:numPr>
          <w:ilvl w:val="0"/>
          <w:numId w:val="1"/>
        </w:numPr>
        <w:spacing w:line="560" w:lineRule="exact"/>
        <w:ind w:firstLine="640"/>
        <w:rPr>
          <w:rFonts w:ascii="Times New Roman" w:hAnsi="Times New Roman" w:eastAsia="黑体" w:cs="Times New Roman"/>
          <w:kern w:val="0"/>
          <w:sz w:val="32"/>
          <w:szCs w:val="32"/>
        </w:rPr>
      </w:pPr>
      <w:r>
        <w:rPr>
          <w:rFonts w:ascii="Times New Roman" w:hAnsi="Times New Roman" w:eastAsia="黑体" w:cs="Times New Roman"/>
          <w:kern w:val="0"/>
          <w:sz w:val="32"/>
          <w:szCs w:val="32"/>
        </w:rPr>
        <w:t>控制数编制情况</w:t>
      </w:r>
    </w:p>
    <w:p w14:paraId="0DFAE7D4">
      <w:pPr>
        <w:pStyle w:val="8"/>
        <w:spacing w:line="560" w:lineRule="exact"/>
        <w:ind w:firstLine="640"/>
        <w:rPr>
          <w:rFonts w:ascii="Times New Roman" w:hAnsi="Times New Roman" w:eastAsia="楷体" w:cs="Times New Roman"/>
          <w:kern w:val="0"/>
          <w:sz w:val="32"/>
          <w:szCs w:val="32"/>
        </w:rPr>
      </w:pPr>
      <w:r>
        <w:rPr>
          <w:rFonts w:ascii="Times New Roman" w:hAnsi="Times New Roman" w:eastAsia="楷体" w:cs="Times New Roman"/>
          <w:kern w:val="0"/>
          <w:sz w:val="32"/>
          <w:szCs w:val="32"/>
        </w:rPr>
        <w:t>（一）控制数额度的确定</w:t>
      </w:r>
    </w:p>
    <w:p w14:paraId="080FDE7C">
      <w:pPr>
        <w:pStyle w:val="8"/>
        <w:spacing w:line="56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2020年项目预算控制数编制是财政预算编制中的第一次尝试，在编制时，充分考虑了近三年县级可用财力保障项目支出情况和单位项目申报情况。从财力预估的角度看，剔除存量资金收回影响因素，估计我县2020年可用财力为74223.33万元。从预留部分财力备用的角度，一方面，第一年尝试过程中有部分2020年确需实施且留有资金缺口的项目未进行申报；另一方面，本着为保障后续新的重大决策、战略落实预留部分资金的原则，县级可用财力的控制数上限不完全以财力预计数为限。</w:t>
      </w:r>
    </w:p>
    <w:p w14:paraId="51B4B84E">
      <w:pPr>
        <w:pStyle w:val="8"/>
        <w:spacing w:line="56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同时，结合《关于做好&lt;彭阳县2020年重点建设项目库&gt;&lt;彭阳县2020年重点建设项目责任清单&gt;&lt;彭阳县2020年固定资产投资项目计划&gt;有关事宜的通知》（彭党办发〔2019〕120号）文件，对于有明确政策依据且相关资料完备的项目，总体上根据2020年工程开展情况和验收、支付特点核定控制数：4月份前开工的项目按70%-80%的需求额度纳入、6月底前开工的项目按40%-50%纳入、9月底前开工的项目按20%-30%纳入。在与项目单位对接时，充分了解项目本身特点，以实际情况作为核定主要依据。</w:t>
      </w:r>
    </w:p>
    <w:p w14:paraId="26968A4B">
      <w:pPr>
        <w:pStyle w:val="8"/>
        <w:spacing w:line="560" w:lineRule="exact"/>
        <w:ind w:firstLine="640"/>
        <w:rPr>
          <w:rFonts w:ascii="Times New Roman" w:hAnsi="Times New Roman" w:eastAsia="楷体" w:cs="Times New Roman"/>
          <w:kern w:val="0"/>
          <w:sz w:val="32"/>
          <w:szCs w:val="32"/>
        </w:rPr>
      </w:pPr>
      <w:r>
        <w:rPr>
          <w:rFonts w:ascii="Times New Roman" w:hAnsi="Times New Roman" w:eastAsia="楷体" w:cs="Times New Roman"/>
          <w:kern w:val="0"/>
          <w:sz w:val="32"/>
          <w:szCs w:val="32"/>
        </w:rPr>
        <w:t>（二）2020年项目控制数情况</w:t>
      </w:r>
    </w:p>
    <w:p w14:paraId="16AE8DC6">
      <w:pPr>
        <w:pStyle w:val="8"/>
        <w:spacing w:line="56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2020年申报项目支出单位共93个，申报项目831个，资金需求255049.94 万元，最终纳入全年控制数项目573个，额度56152.67万元。除未列入基本支出内的人员工资、保险类支出及部分部门运行经费全额列入部门预算数12662.82万元外，其余项目编制情况如下：</w:t>
      </w:r>
    </w:p>
    <w:p w14:paraId="3405F876">
      <w:pPr>
        <w:pStyle w:val="8"/>
        <w:spacing w:line="560" w:lineRule="exact"/>
        <w:ind w:firstLine="643"/>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一是</w:t>
      </w:r>
      <w:r>
        <w:rPr>
          <w:rFonts w:ascii="Times New Roman" w:hAnsi="Times New Roman" w:eastAsia="仿宋_GB2312" w:cs="Times New Roman"/>
          <w:kern w:val="0"/>
          <w:sz w:val="32"/>
          <w:szCs w:val="32"/>
        </w:rPr>
        <w:t>针对新增的非延续的一次性项目，如：第七次全国人口普查、商城维修改造项目、农村宅基地和房屋统一确权登记颁证、举高喷射消防车购置、富阳路社区及日间照料中心及各类文化、体育赛事项目等，充分考虑争取专项资金的前提下，纳入控制数5280.36万元。</w:t>
      </w:r>
    </w:p>
    <w:p w14:paraId="43DABAA9">
      <w:pPr>
        <w:pStyle w:val="8"/>
        <w:spacing w:line="560" w:lineRule="exact"/>
        <w:ind w:firstLine="643"/>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二是</w:t>
      </w:r>
      <w:r>
        <w:rPr>
          <w:rFonts w:ascii="Times New Roman" w:hAnsi="Times New Roman" w:eastAsia="仿宋_GB2312" w:cs="Times New Roman"/>
          <w:kern w:val="0"/>
          <w:sz w:val="32"/>
          <w:szCs w:val="32"/>
        </w:rPr>
        <w:t>已纳入部门预算，但后期或有缺口的项目。该部分项目资金纳入控制数16394.49万元，包括“四个一”林草产业示范推广工程、城市维护费、污水处理厂运维及药剂费、机关事务运行经费、农村公路日常养护等项目。</w:t>
      </w:r>
    </w:p>
    <w:p w14:paraId="6FE1CE90">
      <w:pPr>
        <w:pStyle w:val="8"/>
        <w:spacing w:line="560" w:lineRule="exact"/>
        <w:ind w:firstLine="643"/>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三是</w:t>
      </w:r>
      <w:r>
        <w:rPr>
          <w:rFonts w:ascii="Times New Roman" w:hAnsi="Times New Roman" w:eastAsia="仿宋_GB2312" w:cs="Times New Roman"/>
          <w:kern w:val="0"/>
          <w:sz w:val="32"/>
          <w:szCs w:val="32"/>
        </w:rPr>
        <w:t>老旧小区（茹河花园）修缮工程、各级公路建设及生命安防工程、平安大桥建设、第二</w:t>
      </w:r>
      <w:r>
        <w:rPr>
          <w:rFonts w:hint="eastAsia" w:ascii="Times New Roman" w:hAnsi="Times New Roman" w:eastAsia="仿宋_GB2312" w:cs="Times New Roman"/>
          <w:kern w:val="0"/>
          <w:sz w:val="32"/>
          <w:szCs w:val="32"/>
          <w:lang w:eastAsia="zh-CN"/>
        </w:rPr>
        <w:t>污水处理厂</w:t>
      </w:r>
      <w:r>
        <w:rPr>
          <w:rFonts w:ascii="Times New Roman" w:hAnsi="Times New Roman" w:eastAsia="仿宋_GB2312" w:cs="Times New Roman"/>
          <w:kern w:val="0"/>
          <w:sz w:val="32"/>
          <w:szCs w:val="32"/>
        </w:rPr>
        <w:t>建设等城市基础设施建设、中小学幼儿园校园校舍维修改造项目、春秋两季干部职工义务植树等资金需求较大，但年初开工条件不够成熟的重点、民生项目列入2020年控制数21815万元。</w:t>
      </w:r>
    </w:p>
    <w:p w14:paraId="5B9EFBEC">
      <w:pPr>
        <w:pStyle w:val="8"/>
        <w:numPr>
          <w:ilvl w:val="0"/>
          <w:numId w:val="1"/>
        </w:numPr>
        <w:spacing w:line="560" w:lineRule="exact"/>
        <w:ind w:firstLine="640"/>
        <w:rPr>
          <w:rFonts w:ascii="Times New Roman" w:hAnsi="Times New Roman" w:eastAsia="黑体" w:cs="Times New Roman"/>
          <w:kern w:val="0"/>
          <w:sz w:val="32"/>
          <w:szCs w:val="32"/>
        </w:rPr>
      </w:pPr>
      <w:r>
        <w:rPr>
          <w:rFonts w:ascii="Times New Roman" w:hAnsi="Times New Roman" w:eastAsia="黑体" w:cs="Times New Roman"/>
          <w:kern w:val="0"/>
          <w:sz w:val="32"/>
          <w:szCs w:val="32"/>
        </w:rPr>
        <w:t>项目支出预算情况</w:t>
      </w:r>
    </w:p>
    <w:p w14:paraId="0E12E73A">
      <w:pPr>
        <w:pStyle w:val="8"/>
        <w:spacing w:line="56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通过项目支出预算会审，结合县级财力情况，年初预算列入项目共409个，涉及资金21853.81万元（含新增项目资金3905.25万元），与2019年项目资金18573.64万元相比，增加17.66%。其中：经费类支出由2019年预算数9451.06万元降低至5285.29万元，压减12.33%</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工资补助类支出及社会保障类支出对应增长5.46%和10.69%</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项目类支出增长250.44%。</w:t>
      </w:r>
    </w:p>
    <w:p w14:paraId="248CBF81">
      <w:pPr>
        <w:pStyle w:val="8"/>
        <w:spacing w:line="56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drawing>
          <wp:anchor distT="0" distB="0" distL="114935" distR="114935" simplePos="0" relativeHeight="251659264" behindDoc="0" locked="0" layoutInCell="1" allowOverlap="1">
            <wp:simplePos x="0" y="0"/>
            <wp:positionH relativeFrom="column">
              <wp:posOffset>401955</wp:posOffset>
            </wp:positionH>
            <wp:positionV relativeFrom="paragraph">
              <wp:posOffset>111760</wp:posOffset>
            </wp:positionV>
            <wp:extent cx="4584700" cy="2705100"/>
            <wp:effectExtent l="4445" t="4445" r="20955" b="1460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14:paraId="3368D193">
      <w:pPr>
        <w:pStyle w:val="8"/>
        <w:spacing w:line="560" w:lineRule="exact"/>
        <w:ind w:firstLine="640"/>
        <w:rPr>
          <w:rFonts w:ascii="Times New Roman" w:hAnsi="Times New Roman" w:eastAsia="仿宋_GB2312" w:cs="Times New Roman"/>
          <w:kern w:val="0"/>
          <w:sz w:val="32"/>
          <w:szCs w:val="32"/>
        </w:rPr>
      </w:pPr>
    </w:p>
    <w:p w14:paraId="6893DBDF">
      <w:pPr>
        <w:pStyle w:val="8"/>
        <w:spacing w:line="560" w:lineRule="exact"/>
        <w:ind w:firstLine="640"/>
        <w:rPr>
          <w:rFonts w:ascii="Times New Roman" w:hAnsi="Times New Roman" w:eastAsia="仿宋_GB2312" w:cs="Times New Roman"/>
          <w:kern w:val="0"/>
          <w:sz w:val="32"/>
          <w:szCs w:val="32"/>
        </w:rPr>
      </w:pPr>
    </w:p>
    <w:p w14:paraId="2D0D7CA7">
      <w:pPr>
        <w:pStyle w:val="8"/>
        <w:spacing w:line="560" w:lineRule="exact"/>
        <w:ind w:firstLine="640"/>
        <w:rPr>
          <w:rFonts w:ascii="Times New Roman" w:hAnsi="Times New Roman" w:eastAsia="仿宋_GB2312" w:cs="Times New Roman"/>
          <w:kern w:val="0"/>
          <w:sz w:val="32"/>
          <w:szCs w:val="32"/>
        </w:rPr>
      </w:pPr>
    </w:p>
    <w:p w14:paraId="64C06264">
      <w:pPr>
        <w:pStyle w:val="8"/>
        <w:spacing w:line="560" w:lineRule="exact"/>
        <w:ind w:firstLine="640"/>
        <w:rPr>
          <w:rFonts w:ascii="Times New Roman" w:hAnsi="Times New Roman" w:eastAsia="仿宋_GB2312" w:cs="Times New Roman"/>
          <w:kern w:val="0"/>
          <w:sz w:val="32"/>
          <w:szCs w:val="32"/>
        </w:rPr>
      </w:pPr>
    </w:p>
    <w:p w14:paraId="624D77D7">
      <w:pPr>
        <w:pStyle w:val="8"/>
        <w:spacing w:line="560" w:lineRule="exact"/>
        <w:ind w:firstLine="640"/>
        <w:rPr>
          <w:rFonts w:ascii="Times New Roman" w:hAnsi="Times New Roman" w:eastAsia="仿宋_GB2312" w:cs="Times New Roman"/>
          <w:kern w:val="0"/>
          <w:sz w:val="32"/>
          <w:szCs w:val="32"/>
        </w:rPr>
      </w:pPr>
    </w:p>
    <w:p w14:paraId="03133A99">
      <w:pPr>
        <w:pStyle w:val="8"/>
        <w:spacing w:line="560" w:lineRule="exact"/>
        <w:ind w:firstLine="640"/>
        <w:rPr>
          <w:rFonts w:ascii="Times New Roman" w:hAnsi="Times New Roman" w:eastAsia="仿宋_GB2312" w:cs="Times New Roman"/>
          <w:kern w:val="0"/>
          <w:sz w:val="32"/>
          <w:szCs w:val="32"/>
        </w:rPr>
      </w:pPr>
    </w:p>
    <w:p w14:paraId="3E973965">
      <w:pPr>
        <w:pStyle w:val="8"/>
        <w:spacing w:line="560" w:lineRule="exact"/>
        <w:ind w:firstLine="640"/>
        <w:rPr>
          <w:rFonts w:ascii="Times New Roman" w:hAnsi="Times New Roman" w:eastAsia="仿宋_GB2312" w:cs="Times New Roman"/>
          <w:kern w:val="0"/>
          <w:sz w:val="32"/>
          <w:szCs w:val="32"/>
        </w:rPr>
      </w:pPr>
    </w:p>
    <w:p w14:paraId="3854E696">
      <w:pPr>
        <w:pStyle w:val="8"/>
        <w:spacing w:line="560" w:lineRule="exact"/>
        <w:ind w:firstLine="640"/>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图1：近两年项目预算安排对比图</w:t>
      </w:r>
    </w:p>
    <w:p w14:paraId="2210037C">
      <w:pPr>
        <w:pStyle w:val="8"/>
        <w:spacing w:line="56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2020年部门预算编制有如下特点：</w:t>
      </w:r>
      <w:r>
        <w:rPr>
          <w:rFonts w:ascii="Times New Roman" w:hAnsi="Times New Roman" w:eastAsia="仿宋_GB2312" w:cs="Times New Roman"/>
          <w:b/>
          <w:bCs/>
          <w:kern w:val="0"/>
          <w:sz w:val="32"/>
          <w:szCs w:val="32"/>
        </w:rPr>
        <w:t>一是防范化解重大风险同时保必要项目支出</w:t>
      </w:r>
      <w:r>
        <w:rPr>
          <w:rFonts w:ascii="Times New Roman" w:hAnsi="Times New Roman" w:eastAsia="仿宋_GB2312" w:cs="Times New Roman"/>
          <w:kern w:val="0"/>
          <w:sz w:val="32"/>
          <w:szCs w:val="32"/>
        </w:rPr>
        <w:t>。2020年，我县债务还本付息支出预计32890万元，在保障债务还本付息前提下，部门预算编制总体按照保必要性项目支出的原则进行核定。</w:t>
      </w:r>
      <w:r>
        <w:rPr>
          <w:rFonts w:ascii="Times New Roman" w:hAnsi="Times New Roman" w:eastAsia="仿宋_GB2312" w:cs="Times New Roman"/>
          <w:b/>
          <w:bCs/>
          <w:kern w:val="0"/>
          <w:sz w:val="32"/>
          <w:szCs w:val="32"/>
        </w:rPr>
        <w:t>二是全力保障工资类支出</w:t>
      </w:r>
      <w:r>
        <w:rPr>
          <w:rFonts w:ascii="Times New Roman" w:hAnsi="Times New Roman" w:eastAsia="仿宋_GB2312" w:cs="Times New Roman"/>
          <w:kern w:val="0"/>
          <w:sz w:val="32"/>
          <w:szCs w:val="32"/>
        </w:rPr>
        <w:t>。对未列入基本支出的公安干警、协勤、专职消防人员、幼儿园专任教师、环卫工人、公益性岗位等工资类支出5215.06万元</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全部列入部门预算</w:t>
      </w:r>
      <w:r>
        <w:rPr>
          <w:rFonts w:hint="eastAsia" w:ascii="Times New Roman" w:hAnsi="Times New Roman" w:eastAsia="仿宋_GB2312" w:cs="Times New Roman"/>
          <w:kern w:val="0"/>
          <w:sz w:val="32"/>
          <w:szCs w:val="32"/>
        </w:rPr>
        <w:t>项目支出予以</w:t>
      </w:r>
      <w:r>
        <w:rPr>
          <w:rFonts w:ascii="Times New Roman" w:hAnsi="Times New Roman" w:eastAsia="仿宋_GB2312" w:cs="Times New Roman"/>
          <w:kern w:val="0"/>
          <w:sz w:val="32"/>
          <w:szCs w:val="32"/>
        </w:rPr>
        <w:t>保障。</w:t>
      </w:r>
      <w:r>
        <w:rPr>
          <w:rFonts w:ascii="Times New Roman" w:hAnsi="Times New Roman" w:eastAsia="仿宋_GB2312" w:cs="Times New Roman"/>
          <w:b/>
          <w:bCs/>
          <w:kern w:val="0"/>
          <w:sz w:val="32"/>
          <w:szCs w:val="32"/>
        </w:rPr>
        <w:t>三是向民生项目支出倾斜</w:t>
      </w:r>
      <w:r>
        <w:rPr>
          <w:rFonts w:ascii="Times New Roman" w:hAnsi="Times New Roman" w:eastAsia="仿宋_GB2312" w:cs="Times New Roman"/>
          <w:kern w:val="0"/>
          <w:sz w:val="32"/>
          <w:szCs w:val="32"/>
        </w:rPr>
        <w:t>。2020年部门预算项目中，民生类项目支出总额8859.35万元，占预算数的40.78%。安排公共安全支出1864.43万元，用于公共安全保障、禁毒、办案等支出；安排应急管理、消防大队及地震局项目资金702.6万元，用于防范和化解各类突发公共安全事项；安排教育体育类支出1982.8万元，重点用于教育教学质量综合奖、教育管理专项业务、群众体育活动及体育场馆运行等项目支出；安排社会保障类支出2902.34万元，补助各类社会保险，支持民政、残疾人及退役军人工作的开展；安排卫生健康支出1407.18万元，支持重大公共卫生、各类疾病防控及</w:t>
      </w:r>
      <w:r>
        <w:rPr>
          <w:rFonts w:hint="eastAsia" w:ascii="Times New Roman" w:hAnsi="Times New Roman" w:eastAsia="仿宋_GB2312" w:cs="Times New Roman"/>
          <w:kern w:val="0"/>
          <w:sz w:val="32"/>
          <w:szCs w:val="32"/>
          <w:lang w:eastAsia="zh-CN"/>
        </w:rPr>
        <w:t>卫生计生</w:t>
      </w:r>
      <w:r>
        <w:rPr>
          <w:rFonts w:ascii="Times New Roman" w:hAnsi="Times New Roman" w:eastAsia="仿宋_GB2312" w:cs="Times New Roman"/>
          <w:kern w:val="0"/>
          <w:sz w:val="32"/>
          <w:szCs w:val="32"/>
        </w:rPr>
        <w:t>工作，促成健康卫生县城建设。</w:t>
      </w:r>
      <w:r>
        <w:rPr>
          <w:rFonts w:ascii="Times New Roman" w:hAnsi="Times New Roman" w:eastAsia="仿宋_GB2312" w:cs="Times New Roman"/>
          <w:b/>
          <w:bCs/>
          <w:kern w:val="0"/>
          <w:sz w:val="32"/>
          <w:szCs w:val="32"/>
        </w:rPr>
        <w:t>四是积极落实重大战略。</w:t>
      </w:r>
      <w:r>
        <w:rPr>
          <w:rFonts w:ascii="Times New Roman" w:hAnsi="Times New Roman" w:eastAsia="仿宋_GB2312" w:cs="Times New Roman"/>
          <w:kern w:val="0"/>
          <w:sz w:val="32"/>
          <w:szCs w:val="32"/>
        </w:rPr>
        <w:t>在编制2020年项目支出预算过程中，紧紧围绕</w:t>
      </w:r>
      <w:r>
        <w:rPr>
          <w:rFonts w:hint="eastAsia" w:ascii="Times New Roman" w:hAnsi="Times New Roman" w:eastAsia="仿宋_GB2312" w:cs="Times New Roman"/>
          <w:kern w:val="0"/>
          <w:sz w:val="32"/>
          <w:szCs w:val="32"/>
          <w:lang w:eastAsia="zh-CN"/>
        </w:rPr>
        <w:t>县委、县政府</w:t>
      </w:r>
      <w:r>
        <w:rPr>
          <w:rFonts w:ascii="Times New Roman" w:hAnsi="Times New Roman" w:eastAsia="仿宋_GB2312" w:cs="Times New Roman"/>
          <w:kern w:val="0"/>
          <w:sz w:val="32"/>
          <w:szCs w:val="32"/>
        </w:rPr>
        <w:t>重大决策，突出重点。（1）聚力“三农”，支持乡村振兴战略：安排乡村振兴战略资金500万元，用于2020年“四个一”林草产业示范推广工程。（2）决胜小康，全力推进脱贫富民战略：安排脱贫攻坚项目县级配套资金1225万元，整合用于2020年脱贫攻坚项目之中；（3）聚焦环保，打好污染防治战：安排污水处理厂运维及药剂费400万元、城市维护费1500万元，环境质量监测经费50万元；（4）着眼创新，推动内生动力增长：安排R&amp;D经费1447万元，支持林下药材种植项目、中药材种植加工补贴项目、中药材示范项目、农作物新品种试验示范等在内的项目建设；（5）深化改革，鼓励非公经济增长：安排非公经济奖补资金300万元。</w:t>
      </w:r>
    </w:p>
    <w:p w14:paraId="3A8A82D3">
      <w:pPr>
        <w:pStyle w:val="8"/>
        <w:spacing w:line="560" w:lineRule="exact"/>
        <w:ind w:firstLine="0" w:firstLineChars="0"/>
        <w:jc w:val="center"/>
        <w:rPr>
          <w:rFonts w:ascii="Times New Roman" w:hAnsi="Times New Roman" w:eastAsia="仿宋_GB2312" w:cs="Times New Roman"/>
          <w:kern w:val="0"/>
          <w:sz w:val="32"/>
          <w:szCs w:val="32"/>
        </w:rPr>
      </w:pPr>
      <w:r>
        <w:rPr>
          <w:rFonts w:ascii="Times New Roman" w:hAnsi="Times New Roman" w:cs="Times New Roman"/>
          <w:kern w:val="0"/>
          <w:sz w:val="32"/>
          <w:szCs w:val="32"/>
        </w:rPr>
        <w:drawing>
          <wp:anchor distT="0" distB="0" distL="114935" distR="114935" simplePos="0" relativeHeight="251660288" behindDoc="0" locked="0" layoutInCell="1" allowOverlap="1">
            <wp:simplePos x="0" y="0"/>
            <wp:positionH relativeFrom="column">
              <wp:posOffset>310515</wp:posOffset>
            </wp:positionH>
            <wp:positionV relativeFrom="paragraph">
              <wp:posOffset>194945</wp:posOffset>
            </wp:positionV>
            <wp:extent cx="4572000" cy="2743200"/>
            <wp:effectExtent l="4445" t="4445" r="14605" b="14605"/>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ascii="Times New Roman" w:hAnsi="Times New Roman" w:eastAsia="仿宋_GB2312" w:cs="Times New Roman"/>
          <w:kern w:val="0"/>
          <w:sz w:val="32"/>
          <w:szCs w:val="32"/>
        </w:rPr>
        <w:t>图2：2020年部门预算项目支出情况图</w:t>
      </w:r>
    </w:p>
    <w:p w14:paraId="42530EEC">
      <w:pPr>
        <w:pStyle w:val="8"/>
        <w:numPr>
          <w:ilvl w:val="0"/>
          <w:numId w:val="1"/>
        </w:numPr>
        <w:spacing w:line="560" w:lineRule="exact"/>
        <w:ind w:firstLine="640"/>
        <w:rPr>
          <w:rFonts w:ascii="Times New Roman" w:hAnsi="Times New Roman" w:eastAsia="黑体" w:cs="Times New Roman"/>
          <w:kern w:val="0"/>
          <w:sz w:val="32"/>
          <w:szCs w:val="32"/>
        </w:rPr>
      </w:pPr>
      <w:r>
        <w:rPr>
          <w:rFonts w:ascii="Times New Roman" w:hAnsi="Times New Roman" w:eastAsia="黑体" w:cs="Times New Roman"/>
          <w:kern w:val="0"/>
          <w:sz w:val="32"/>
          <w:szCs w:val="32"/>
        </w:rPr>
        <w:t>重大项目资金筹措意见</w:t>
      </w:r>
    </w:p>
    <w:p w14:paraId="246EAF8E">
      <w:pPr>
        <w:pStyle w:val="8"/>
        <w:spacing w:line="560" w:lineRule="exact"/>
        <w:ind w:firstLine="652" w:firstLineChars="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因县级可用财力有限，且在保障“三保”支出、债务还本付息和必要性支出方面压力较大，故在将部分重点项目纳入控制数管理的同时，提出以下资金筹措意见，以保证项目顺利实施：</w:t>
      </w:r>
    </w:p>
    <w:p w14:paraId="3D107438">
      <w:pPr>
        <w:pStyle w:val="8"/>
        <w:spacing w:line="560" w:lineRule="exact"/>
        <w:ind w:firstLine="652" w:firstLineChars="0"/>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一是</w:t>
      </w:r>
      <w:r>
        <w:rPr>
          <w:rFonts w:ascii="Times New Roman" w:hAnsi="Times New Roman" w:eastAsia="仿宋_GB2312" w:cs="Times New Roman"/>
          <w:kern w:val="0"/>
          <w:sz w:val="32"/>
          <w:szCs w:val="32"/>
        </w:rPr>
        <w:t>各部门（单位）应积极争取中央和自治区专项资金：对于国家、自治区政府支持的项目，在有相应专项资金作为资金支撑的前提下，优先</w:t>
      </w:r>
      <w:r>
        <w:rPr>
          <w:rFonts w:hint="eastAsia" w:ascii="Times New Roman" w:hAnsi="Times New Roman" w:eastAsia="仿宋_GB2312" w:cs="Times New Roman"/>
          <w:kern w:val="0"/>
          <w:sz w:val="32"/>
          <w:szCs w:val="32"/>
        </w:rPr>
        <w:t>争取并</w:t>
      </w:r>
      <w:r>
        <w:rPr>
          <w:rFonts w:ascii="Times New Roman" w:hAnsi="Times New Roman" w:eastAsia="仿宋_GB2312" w:cs="Times New Roman"/>
          <w:kern w:val="0"/>
          <w:sz w:val="32"/>
          <w:szCs w:val="32"/>
        </w:rPr>
        <w:t>使用专项资金。</w:t>
      </w:r>
    </w:p>
    <w:p w14:paraId="18B2C082">
      <w:pPr>
        <w:pStyle w:val="8"/>
        <w:spacing w:line="560" w:lineRule="exact"/>
        <w:ind w:firstLine="652" w:firstLineChars="0"/>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二是</w:t>
      </w:r>
      <w:r>
        <w:rPr>
          <w:rFonts w:ascii="Times New Roman" w:hAnsi="Times New Roman" w:eastAsia="仿宋_GB2312" w:cs="Times New Roman"/>
          <w:kern w:val="0"/>
          <w:sz w:val="32"/>
          <w:szCs w:val="32"/>
        </w:rPr>
        <w:t>重视与发改、扶贫部门配合，为项目资金争取更多渠道。对于有自身收益且能够达到收益平衡的项目，应主动向发改部门申报争取列入专项债券项目库；对于属于涉农整合资金使用范畴内的续建及新建项目，应及时与扶贫办对接，争取纳入2020年涉农整合范畴。</w:t>
      </w:r>
    </w:p>
    <w:p w14:paraId="2CF74F35">
      <w:pPr>
        <w:pStyle w:val="8"/>
        <w:numPr>
          <w:ilvl w:val="0"/>
          <w:numId w:val="1"/>
        </w:numPr>
        <w:spacing w:line="560" w:lineRule="exact"/>
        <w:ind w:firstLine="640"/>
        <w:rPr>
          <w:rFonts w:ascii="Times New Roman" w:hAnsi="Times New Roman" w:eastAsia="黑体" w:cs="Times New Roman"/>
          <w:kern w:val="0"/>
          <w:sz w:val="32"/>
          <w:szCs w:val="32"/>
        </w:rPr>
      </w:pPr>
      <w:r>
        <w:rPr>
          <w:rFonts w:ascii="Times New Roman" w:hAnsi="Times New Roman" w:eastAsia="黑体" w:cs="Times New Roman"/>
          <w:kern w:val="0"/>
          <w:sz w:val="32"/>
          <w:szCs w:val="32"/>
        </w:rPr>
        <w:t>其他需要说明的事项</w:t>
      </w:r>
    </w:p>
    <w:p w14:paraId="20F7A5F0">
      <w:pPr>
        <w:pStyle w:val="8"/>
        <w:spacing w:line="56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在2020年项目支出预算控制数编制过程中，仅综合考虑县级可统筹使用财力（包括地方一般公共预算收入、自治区财力性转移性支付补助收入、政府性债券、盘活财政存量资金），不考虑自治区专项转移支付补助（含涉农整合资金）。</w:t>
      </w:r>
    </w:p>
    <w:p w14:paraId="4B4617ED">
      <w:pPr>
        <w:pStyle w:val="8"/>
        <w:spacing w:line="560" w:lineRule="exact"/>
        <w:ind w:firstLine="652" w:firstLineChars="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受可用财力所限，我县2020年实施的大部分重大项目未纳入年初部门预算，但涉及民生、重点及确需保障的项目已按照项目具体情况纳入项目支出预算控制数管理。同时，在年度预算执行过程中，各乡镇、部门（单位）项目支出控制数还需要根据项目具体进展情况及其他资金配套情况在控制数范围内予以调整。</w:t>
      </w:r>
    </w:p>
    <w:sectPr>
      <w:footerReference r:id="rId3" w:type="default"/>
      <w:pgSz w:w="11906" w:h="16838"/>
      <w:pgMar w:top="1440" w:right="1576" w:bottom="1440" w:left="163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186BC">
    <w:pPr>
      <w:pStyle w:val="2"/>
    </w:pPr>
    <w:r>
      <w:pict>
        <v:shape id="文本框 1026" o:spid="_x0000_s1026" o:spt="202" type="#_x0000_t202" style="position:absolute;left:0pt;margin-left:184.05pt;margin-top:-3.35pt;height:21.5pt;width:47.2pt;mso-position-horizontal-relative:margin;z-index:251660288;mso-width-relative:page;mso-height-relative:page;" filled="f" stroked="f" coordsize="21600,21600" o:gfxdata="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V4ZACtgAAAAJAQAADwAAAAAA&#10;AAABACAAAAAiAAAAZHJzL2Rvd25yZXYueG1sUEsBAhQAFAAAAAgAh07iQJ+tXAuhAQAAJgMAAA4A&#10;AAAAAAAAAQAgAAAAJwEAAGRycy9lMm9Eb2MueG1sUEsFBgAAAAAGAAYAWQEAADoFAAAAAA==&#10;">
          <v:path/>
          <v:fill on="f" focussize="0,0"/>
          <v:stroke on="f" joinstyle="miter"/>
          <v:imagedata o:title=""/>
          <o:lock v:ext="edit"/>
          <v:textbox inset="0mm,0mm,0mm,0mm">
            <w:txbxContent>
              <w:p w14:paraId="7EB36EC2">
                <w:pPr>
                  <w:snapToGrid w:val="0"/>
                  <w:jc w:val="center"/>
                  <w:rPr>
                    <w:sz w:val="28"/>
                  </w:rPr>
                </w:pPr>
                <w:r>
                  <w:rPr>
                    <w:rFonts w:hint="eastAsia"/>
                    <w:sz w:val="28"/>
                  </w:rPr>
                  <w:t>—</w:t>
                </w:r>
                <w:r>
                  <w:rPr>
                    <w:rFonts w:ascii="Times New Roman" w:hAnsi="Times New Roman" w:cs="Times New Roman"/>
                    <w:sz w:val="28"/>
                  </w:rPr>
                  <w:fldChar w:fldCharType="begin"/>
                </w:r>
                <w:r>
                  <w:rPr>
                    <w:rFonts w:ascii="Times New Roman" w:hAnsi="Times New Roman" w:cs="Times New Roman"/>
                    <w:sz w:val="28"/>
                  </w:rPr>
                  <w:instrText xml:space="preserve"> PAGE  \* MERGEFORMAT </w:instrText>
                </w:r>
                <w:r>
                  <w:rPr>
                    <w:rFonts w:ascii="Times New Roman" w:hAnsi="Times New Roman" w:cs="Times New Roman"/>
                    <w:sz w:val="28"/>
                  </w:rPr>
                  <w:fldChar w:fldCharType="separate"/>
                </w:r>
                <w:r>
                  <w:rPr>
                    <w:rFonts w:ascii="Times New Roman" w:hAnsi="Times New Roman" w:cs="Times New Roman"/>
                    <w:sz w:val="28"/>
                  </w:rPr>
                  <w:t>1</w:t>
                </w:r>
                <w:r>
                  <w:rPr>
                    <w:rFonts w:ascii="Times New Roman" w:hAnsi="Times New Roman" w:cs="Times New Roman"/>
                    <w:sz w:val="28"/>
                  </w:rPr>
                  <w:fldChar w:fldCharType="end"/>
                </w:r>
                <w:r>
                  <w:rPr>
                    <w:rFonts w:hint="eastAsia"/>
                    <w:sz w:val="28"/>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678ABD"/>
    <w:multiLevelType w:val="singleLevel"/>
    <w:tmpl w:val="A4678ABD"/>
    <w:lvl w:ilvl="0" w:tentative="0">
      <w:start w:val="1"/>
      <w:numFmt w:val="chineseCounting"/>
      <w:suff w:val="nothing"/>
      <w:lvlText w:val="（%1）"/>
      <w:lvlJc w:val="left"/>
      <w:rPr>
        <w:rFonts w:hint="eastAsia"/>
      </w:rPr>
    </w:lvl>
  </w:abstractNum>
  <w:abstractNum w:abstractNumId="1">
    <w:nsid w:val="D11E7590"/>
    <w:multiLevelType w:val="singleLevel"/>
    <w:tmpl w:val="D11E759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54DF8"/>
    <w:rsid w:val="00111B74"/>
    <w:rsid w:val="00223AB1"/>
    <w:rsid w:val="006978BA"/>
    <w:rsid w:val="008431E9"/>
    <w:rsid w:val="00854DF8"/>
    <w:rsid w:val="008C1490"/>
    <w:rsid w:val="00967CC6"/>
    <w:rsid w:val="00975668"/>
    <w:rsid w:val="00B14426"/>
    <w:rsid w:val="00D27F73"/>
    <w:rsid w:val="00DF0151"/>
    <w:rsid w:val="00E53719"/>
    <w:rsid w:val="02625054"/>
    <w:rsid w:val="047A2FD6"/>
    <w:rsid w:val="056F25F9"/>
    <w:rsid w:val="068538F3"/>
    <w:rsid w:val="06B44376"/>
    <w:rsid w:val="072D5EE6"/>
    <w:rsid w:val="08A42072"/>
    <w:rsid w:val="099A511F"/>
    <w:rsid w:val="0AC457FC"/>
    <w:rsid w:val="0BB42E57"/>
    <w:rsid w:val="0BEF3013"/>
    <w:rsid w:val="0D205D67"/>
    <w:rsid w:val="0E916C4E"/>
    <w:rsid w:val="0F2034CA"/>
    <w:rsid w:val="0FFB5E51"/>
    <w:rsid w:val="115A7CEC"/>
    <w:rsid w:val="122C13AB"/>
    <w:rsid w:val="12AC0887"/>
    <w:rsid w:val="13656CF1"/>
    <w:rsid w:val="1373577B"/>
    <w:rsid w:val="13A17C76"/>
    <w:rsid w:val="13C96BEC"/>
    <w:rsid w:val="1404145E"/>
    <w:rsid w:val="16602519"/>
    <w:rsid w:val="1C907F11"/>
    <w:rsid w:val="1C9A0BC8"/>
    <w:rsid w:val="1F2419AC"/>
    <w:rsid w:val="1F4256A0"/>
    <w:rsid w:val="1FBF638A"/>
    <w:rsid w:val="20477185"/>
    <w:rsid w:val="20807146"/>
    <w:rsid w:val="21E44F26"/>
    <w:rsid w:val="22F20E78"/>
    <w:rsid w:val="23972D24"/>
    <w:rsid w:val="24631FFA"/>
    <w:rsid w:val="247B1F61"/>
    <w:rsid w:val="248B423A"/>
    <w:rsid w:val="2531440E"/>
    <w:rsid w:val="261A032D"/>
    <w:rsid w:val="283865CC"/>
    <w:rsid w:val="28CE4D9F"/>
    <w:rsid w:val="2A7D70B6"/>
    <w:rsid w:val="2DE25243"/>
    <w:rsid w:val="2DE34A96"/>
    <w:rsid w:val="2E4C5FFC"/>
    <w:rsid w:val="2FFD6E7C"/>
    <w:rsid w:val="33793BA4"/>
    <w:rsid w:val="340141A1"/>
    <w:rsid w:val="36CB086B"/>
    <w:rsid w:val="3CEC645F"/>
    <w:rsid w:val="3F113ADE"/>
    <w:rsid w:val="3F165206"/>
    <w:rsid w:val="405345B0"/>
    <w:rsid w:val="40C868E1"/>
    <w:rsid w:val="435A527A"/>
    <w:rsid w:val="440B503E"/>
    <w:rsid w:val="44DC5192"/>
    <w:rsid w:val="458F5341"/>
    <w:rsid w:val="45E73647"/>
    <w:rsid w:val="49303633"/>
    <w:rsid w:val="4A075BF7"/>
    <w:rsid w:val="4C3236E0"/>
    <w:rsid w:val="4D4A00CD"/>
    <w:rsid w:val="4F3C4333"/>
    <w:rsid w:val="50CE045F"/>
    <w:rsid w:val="510744EC"/>
    <w:rsid w:val="513B27A6"/>
    <w:rsid w:val="516B18D2"/>
    <w:rsid w:val="516C6383"/>
    <w:rsid w:val="55371F80"/>
    <w:rsid w:val="553C0F1E"/>
    <w:rsid w:val="55FC4362"/>
    <w:rsid w:val="56E00A72"/>
    <w:rsid w:val="58302276"/>
    <w:rsid w:val="583165E4"/>
    <w:rsid w:val="58581BFF"/>
    <w:rsid w:val="58B16B17"/>
    <w:rsid w:val="58C04E58"/>
    <w:rsid w:val="59963445"/>
    <w:rsid w:val="59C7554B"/>
    <w:rsid w:val="59E13601"/>
    <w:rsid w:val="5A7E1E19"/>
    <w:rsid w:val="5B1B19EF"/>
    <w:rsid w:val="5C9D63B0"/>
    <w:rsid w:val="5D81256F"/>
    <w:rsid w:val="5D9E22F6"/>
    <w:rsid w:val="5FFD721E"/>
    <w:rsid w:val="630B2424"/>
    <w:rsid w:val="63CD2E79"/>
    <w:rsid w:val="663022D6"/>
    <w:rsid w:val="69E7537D"/>
    <w:rsid w:val="6AF33842"/>
    <w:rsid w:val="6B1C5076"/>
    <w:rsid w:val="6DFF016C"/>
    <w:rsid w:val="6E515EDA"/>
    <w:rsid w:val="713137F7"/>
    <w:rsid w:val="722476FB"/>
    <w:rsid w:val="73594876"/>
    <w:rsid w:val="74717A44"/>
    <w:rsid w:val="75BE6555"/>
    <w:rsid w:val="76432586"/>
    <w:rsid w:val="76541509"/>
    <w:rsid w:val="78DD0EEF"/>
    <w:rsid w:val="78F81357"/>
    <w:rsid w:val="7A5268BD"/>
    <w:rsid w:val="7B400324"/>
    <w:rsid w:val="7BBF452A"/>
    <w:rsid w:val="7C0F6BF7"/>
    <w:rsid w:val="7C1F3EDC"/>
    <w:rsid w:val="7CBF69EE"/>
    <w:rsid w:val="7CF323B3"/>
    <w:rsid w:val="7EB102CB"/>
    <w:rsid w:val="7ED606B3"/>
    <w:rsid w:val="7F3E1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footnote text"/>
    <w:basedOn w:val="1"/>
    <w:semiHidden/>
    <w:unhideWhenUsed/>
    <w:qFormat/>
    <w:uiPriority w:val="99"/>
    <w:pPr>
      <w:snapToGrid w:val="0"/>
      <w:jc w:val="left"/>
    </w:pPr>
    <w:rPr>
      <w:sz w:val="18"/>
    </w:rPr>
  </w:style>
  <w:style w:type="character" w:styleId="7">
    <w:name w:val="footnote reference"/>
    <w:basedOn w:val="6"/>
    <w:semiHidden/>
    <w:unhideWhenUsed/>
    <w:qFormat/>
    <w:uiPriority w:val="99"/>
    <w:rPr>
      <w:vertAlign w:val="superscript"/>
    </w:rPr>
  </w:style>
  <w:style w:type="paragraph" w:customStyle="1" w:styleId="8">
    <w:name w:val="列出段落1"/>
    <w:basedOn w:val="1"/>
    <w:qFormat/>
    <w:uiPriority w:val="34"/>
    <w:pPr>
      <w:ind w:firstLine="420" w:firstLineChars="200"/>
    </w:pPr>
  </w:style>
  <w:style w:type="paragraph" w:customStyle="1" w:styleId="9">
    <w:name w:val="列出段落11"/>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近两年项目预算安排对比图</a:t>
            </a:r>
          </a:p>
        </c:rich>
      </c:tx>
      <c:layout>
        <c:manualLayout>
          <c:xMode val="edge"/>
          <c:yMode val="edge"/>
          <c:x val="0.280332409972299"/>
          <c:y val="0.0246478873239437"/>
        </c:manualLayout>
      </c:layout>
      <c:overlay val="0"/>
      <c:spPr>
        <a:noFill/>
        <a:ln>
          <a:noFill/>
        </a:ln>
        <a:effectLst/>
      </c:spPr>
    </c:title>
    <c:autoTitleDeleted val="0"/>
    <c:plotArea>
      <c:layout>
        <c:manualLayout>
          <c:layoutTarget val="inner"/>
          <c:xMode val="edge"/>
          <c:yMode val="edge"/>
          <c:x val="0.168337950138504"/>
          <c:y val="0.175352112676056"/>
          <c:w val="0.799113573407202"/>
          <c:h val="0.464366197183099"/>
        </c:manualLayout>
      </c:layout>
      <c:barChart>
        <c:barDir val="col"/>
        <c:grouping val="clustered"/>
        <c:varyColors val="0"/>
        <c:ser>
          <c:idx val="0"/>
          <c:order val="0"/>
          <c:tx>
            <c:strRef>
              <c:f>Sheet1!$B$1</c:f>
              <c:strCache>
                <c:ptCount val="1"/>
                <c:pt idx="0">
                  <c:v>2019</c:v>
                </c:pt>
              </c:strCache>
            </c:strRef>
          </c:tx>
          <c:spPr>
            <a:solidFill>
              <a:schemeClr val="accent1"/>
            </a:solidFill>
            <a:ln>
              <a:noFill/>
            </a:ln>
            <a:effectLst/>
          </c:spPr>
          <c:invertIfNegative val="0"/>
          <c:dLbls>
            <c:delete val="1"/>
          </c:dLbls>
          <c:cat>
            <c:strRef>
              <c:f>Sheet1!$A$2:$A$5</c:f>
              <c:strCache>
                <c:ptCount val="4"/>
                <c:pt idx="0">
                  <c:v>经费类</c:v>
                </c:pt>
                <c:pt idx="1">
                  <c:v>工资补助类</c:v>
                </c:pt>
                <c:pt idx="2">
                  <c:v>社保类</c:v>
                </c:pt>
                <c:pt idx="3">
                  <c:v>项目类</c:v>
                </c:pt>
              </c:strCache>
            </c:strRef>
          </c:cat>
          <c:val>
            <c:numRef>
              <c:f>Sheet1!$B$2:$B$5</c:f>
              <c:numCache>
                <c:formatCode>General</c:formatCode>
                <c:ptCount val="4"/>
                <c:pt idx="0">
                  <c:v>9451.06</c:v>
                </c:pt>
                <c:pt idx="1">
                  <c:v>4945.15</c:v>
                </c:pt>
                <c:pt idx="2">
                  <c:v>2621.94</c:v>
                </c:pt>
                <c:pt idx="3">
                  <c:v>1555.5</c:v>
                </c:pt>
              </c:numCache>
            </c:numRef>
          </c:val>
        </c:ser>
        <c:ser>
          <c:idx val="1"/>
          <c:order val="1"/>
          <c:tx>
            <c:strRef>
              <c:f>Sheet1!$C$1</c:f>
              <c:strCache>
                <c:ptCount val="1"/>
                <c:pt idx="0">
                  <c:v>2020</c:v>
                </c:pt>
              </c:strCache>
            </c:strRef>
          </c:tx>
          <c:spPr>
            <a:solidFill>
              <a:schemeClr val="accent2"/>
            </a:solidFill>
            <a:ln>
              <a:noFill/>
            </a:ln>
            <a:effectLst/>
          </c:spPr>
          <c:invertIfNegative val="0"/>
          <c:dLbls>
            <c:delete val="1"/>
          </c:dLbls>
          <c:cat>
            <c:strRef>
              <c:f>Sheet1!$A$2:$A$5</c:f>
              <c:strCache>
                <c:ptCount val="4"/>
                <c:pt idx="0">
                  <c:v>经费类</c:v>
                </c:pt>
                <c:pt idx="1">
                  <c:v>工资补助类</c:v>
                </c:pt>
                <c:pt idx="2">
                  <c:v>社保类</c:v>
                </c:pt>
                <c:pt idx="3">
                  <c:v>项目类</c:v>
                </c:pt>
              </c:strCache>
            </c:strRef>
          </c:cat>
          <c:val>
            <c:numRef>
              <c:f>Sheet1!$C$2:$C$5</c:f>
              <c:numCache>
                <c:formatCode>General</c:formatCode>
                <c:ptCount val="4"/>
                <c:pt idx="0">
                  <c:v>8285.29</c:v>
                </c:pt>
                <c:pt idx="1">
                  <c:v>5215.06</c:v>
                </c:pt>
                <c:pt idx="2">
                  <c:v>2902.34</c:v>
                </c:pt>
                <c:pt idx="3">
                  <c:v>5451.12</c:v>
                </c:pt>
              </c:numCache>
            </c:numRef>
          </c:val>
        </c:ser>
        <c:dLbls>
          <c:showLegendKey val="0"/>
          <c:showVal val="0"/>
          <c:showCatName val="0"/>
          <c:showSerName val="0"/>
          <c:showPercent val="0"/>
          <c:showBubbleSize val="0"/>
        </c:dLbls>
        <c:gapWidth val="219"/>
        <c:overlap val="-27"/>
        <c:axId val="108477824"/>
        <c:axId val="108487808"/>
      </c:barChart>
      <c:catAx>
        <c:axId val="108477824"/>
        <c:scaling>
          <c:orientation val="minMax"/>
        </c:scaling>
        <c:delete val="0"/>
        <c:axPos val="b"/>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8487808"/>
        <c:crosses val="autoZero"/>
        <c:auto val="1"/>
        <c:lblAlgn val="ctr"/>
        <c:lblOffset val="100"/>
        <c:noMultiLvlLbl val="0"/>
      </c:catAx>
      <c:valAx>
        <c:axId val="108487808"/>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p>
            </c:rich>
          </c:tx>
          <c:layout>
            <c:manualLayout>
              <c:xMode val="edge"/>
              <c:yMode val="edge"/>
              <c:x val="0.0358114883254548"/>
              <c:y val="0.178114209827357"/>
            </c:manualLayout>
          </c:layout>
          <c:overlay val="0"/>
          <c:spPr>
            <a:noFill/>
            <a:ln>
              <a:noFill/>
            </a:ln>
            <a:effectLst/>
          </c:spPr>
        </c:title>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8477824"/>
        <c:crosses val="autoZero"/>
        <c:crossBetween val="between"/>
      </c:valAx>
      <c:dTable>
        <c:showHorzBorder val="1"/>
        <c:showVertBorder val="1"/>
        <c:showOutline val="1"/>
        <c:showKeys val="1"/>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b19adda-fc88-4271-947b-872641568d50}"/>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2020年部门预算项目支出情况图</a:t>
            </a:r>
          </a:p>
        </c:rich>
      </c:tx>
      <c:layout>
        <c:manualLayout>
          <c:xMode val="edge"/>
          <c:yMode val="edge"/>
          <c:x val="0.309583333333333"/>
          <c:y val="0.0208333333333333"/>
        </c:manualLayout>
      </c:layout>
      <c:overlay val="0"/>
      <c:spPr>
        <a:noFill/>
        <a:ln>
          <a:noFill/>
        </a:ln>
        <a:effectLst/>
      </c:spPr>
    </c:title>
    <c:autoTitleDeleted val="0"/>
    <c:plotArea>
      <c:layout/>
      <c:pieChart>
        <c:varyColors val="1"/>
        <c:ser>
          <c:idx val="0"/>
          <c:order val="0"/>
          <c:tx>
            <c:strRef>
              <c:f>[工作簿1]Sheet1!$C$13</c:f>
              <c:strCache>
                <c:ptCount val="1"/>
                <c:pt idx="0">
                  <c:v>预算数</c:v>
                </c:pt>
              </c:strCache>
            </c:strRef>
          </c:tx>
          <c:spPr>
            <a:ln w="12700" cmpd="sng">
              <a:solidFill>
                <a:schemeClr val="tx1">
                  <a:lumMod val="65000"/>
                  <a:lumOff val="35000"/>
                </a:schemeClr>
              </a:solidFill>
              <a:prstDash val="solid"/>
            </a:ln>
          </c:spPr>
          <c:explosion val="4"/>
          <c:dPt>
            <c:idx val="0"/>
            <c:bubble3D val="0"/>
            <c:spPr>
              <a:solidFill>
                <a:schemeClr val="accent5">
                  <a:lumMod val="60000"/>
                  <a:lumOff val="40000"/>
                </a:schemeClr>
              </a:solidFill>
              <a:ln w="12700" cmpd="sng">
                <a:solidFill>
                  <a:schemeClr val="tx1">
                    <a:lumMod val="65000"/>
                    <a:lumOff val="35000"/>
                  </a:schemeClr>
                </a:solidFill>
                <a:prstDash val="solid"/>
              </a:ln>
              <a:effectLst/>
            </c:spPr>
          </c:dPt>
          <c:dPt>
            <c:idx val="1"/>
            <c:bubble3D val="0"/>
            <c:spPr>
              <a:solidFill>
                <a:schemeClr val="accent2"/>
              </a:solidFill>
              <a:ln w="12700" cmpd="sng">
                <a:solidFill>
                  <a:schemeClr val="tx1">
                    <a:lumMod val="65000"/>
                    <a:lumOff val="35000"/>
                  </a:schemeClr>
                </a:solidFill>
                <a:prstDash val="solid"/>
              </a:ln>
              <a:effectLst/>
            </c:spPr>
          </c:dPt>
          <c:dPt>
            <c:idx val="2"/>
            <c:bubble3D val="0"/>
            <c:spPr>
              <a:solidFill>
                <a:schemeClr val="accent3"/>
              </a:solidFill>
              <a:ln w="9525" cmpd="sng">
                <a:solidFill>
                  <a:schemeClr val="tx1">
                    <a:lumMod val="65000"/>
                    <a:lumOff val="35000"/>
                  </a:schemeClr>
                </a:solidFill>
                <a:prstDash val="solid"/>
              </a:ln>
              <a:effectLst/>
            </c:spPr>
          </c:dPt>
          <c:dPt>
            <c:idx val="3"/>
            <c:bubble3D val="0"/>
            <c:spPr>
              <a:solidFill>
                <a:schemeClr val="accent2">
                  <a:lumMod val="60000"/>
                  <a:lumOff val="40000"/>
                </a:schemeClr>
              </a:solidFill>
              <a:ln w="12700" cmpd="sng">
                <a:solidFill>
                  <a:schemeClr val="tx1">
                    <a:lumMod val="65000"/>
                    <a:lumOff val="35000"/>
                  </a:schemeClr>
                </a:solidFill>
                <a:prstDash val="solid"/>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[工作簿1]Sheet1!$B$14:$B$17</c:f>
              <c:strCache>
                <c:ptCount val="4"/>
                <c:pt idx="0">
                  <c:v>重大战略支持支出</c:v>
                </c:pt>
                <c:pt idx="1">
                  <c:v>工资补助类支出</c:v>
                </c:pt>
                <c:pt idx="2">
                  <c:v>民生项目支出</c:v>
                </c:pt>
                <c:pt idx="3">
                  <c:v>其他项目支出</c:v>
                </c:pt>
              </c:strCache>
            </c:strRef>
          </c:cat>
          <c:val>
            <c:numRef>
              <c:f>[工作簿1]Sheet1!$C$14:$C$17</c:f>
              <c:numCache>
                <c:formatCode>0.00_ </c:formatCode>
                <c:ptCount val="4"/>
                <c:pt idx="0">
                  <c:v>5197</c:v>
                </c:pt>
                <c:pt idx="1">
                  <c:v>5080.74</c:v>
                </c:pt>
                <c:pt idx="2">
                  <c:v>8859.34999999999</c:v>
                </c:pt>
                <c:pt idx="3">
                  <c:v>2751.01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2842e594-7355-43bf-919e-2af043ae2e76}"/>
      </c:ext>
    </c:extLst>
  </c:chart>
  <c:spPr>
    <a:solidFill>
      <a:schemeClr val="bg1"/>
    </a:solidFill>
    <a:ln w="9525" cap="sq"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3389</Words>
  <Characters>3685</Characters>
  <Lines>26</Lines>
  <Paragraphs>7</Paragraphs>
  <TotalTime>49</TotalTime>
  <ScaleCrop>false</ScaleCrop>
  <LinksUpToDate>false</LinksUpToDate>
  <CharactersWithSpaces>3687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2017-12-05T12:39:00Z</dcterms:created>
  <dc:creator>Administrator</dc:creator>
  <cp:lastModifiedBy>俱往矣</cp:lastModifiedBy>
  <cp:lastPrinted>2019-01-05T04:25:00Z</cp:lastPrinted>
  <dcterms:modified xsi:type="dcterms:W3CDTF">2025-05-21T02:38:50Z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eyJoZGlkIjoiN2U4ZDJjNGYxYzYxZDMwZjczNGQ1MWFkZmM3NmI0NDMiLCJ1c2VySWQiOiI2MzY0NzA0OTgifQ==</vt:lpwstr>
  </property>
  <property fmtid="{D5CDD505-2E9C-101B-9397-08002B2CF9AE}" pid="4" name="ICV">
    <vt:lpwstr>EA63256224E6470EBB2E3B12F6E7794F_12</vt:lpwstr>
  </property>
</Properties>
</file>