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B1" w:rsidRDefault="001F3AB1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彭阳县发展和改革局</w:t>
      </w:r>
      <w:r>
        <w:rPr>
          <w:rFonts w:ascii="仿宋_GB2312" w:eastAsia="仿宋_GB2312" w:hAnsi="宋体"/>
          <w:b/>
          <w:kern w:val="0"/>
          <w:sz w:val="36"/>
          <w:szCs w:val="36"/>
        </w:rPr>
        <w:t>2019</w:t>
      </w:r>
      <w:r>
        <w:rPr>
          <w:rFonts w:ascii="仿宋_GB2312" w:eastAsia="仿宋_GB2312" w:hAnsi="宋体" w:hint="eastAsia"/>
          <w:b/>
          <w:kern w:val="0"/>
          <w:sz w:val="36"/>
          <w:szCs w:val="36"/>
        </w:rPr>
        <w:t>年部门预算</w:t>
      </w:r>
      <w:r>
        <w:rPr>
          <w:rFonts w:ascii="仿宋_GB2312" w:eastAsia="仿宋_GB2312" w:hAnsi="宋体"/>
          <w:b/>
          <w:kern w:val="0"/>
          <w:sz w:val="36"/>
          <w:szCs w:val="36"/>
        </w:rPr>
        <w:t>——</w:t>
      </w:r>
      <w:r>
        <w:rPr>
          <w:rFonts w:ascii="仿宋_GB2312" w:eastAsia="仿宋_GB2312" w:hAnsi="宋体" w:hint="eastAsia"/>
          <w:b/>
          <w:kern w:val="0"/>
          <w:sz w:val="36"/>
          <w:szCs w:val="36"/>
        </w:rPr>
        <w:t>预算表</w:t>
      </w:r>
    </w:p>
    <w:p w:rsidR="001F3AB1" w:rsidRDefault="001F3AB1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24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一、财政拨款收支预算总表</w:t>
      </w:r>
    </w:p>
    <w:p w:rsidR="001F3AB1" w:rsidRDefault="001F3AB1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财政拨款收支预算总表</w:t>
      </w:r>
    </w:p>
    <w:p w:rsidR="001F3AB1" w:rsidRDefault="001F3AB1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单位：万元</w:t>
      </w:r>
    </w:p>
    <w:tbl>
      <w:tblPr>
        <w:tblW w:w="14475" w:type="dxa"/>
        <w:tblInd w:w="615" w:type="dxa"/>
        <w:tblLayout w:type="fixed"/>
        <w:tblLook w:val="0000"/>
      </w:tblPr>
      <w:tblGrid>
        <w:gridCol w:w="3336"/>
        <w:gridCol w:w="2019"/>
        <w:gridCol w:w="3300"/>
        <w:gridCol w:w="2070"/>
        <w:gridCol w:w="1800"/>
        <w:gridCol w:w="1950"/>
      </w:tblGrid>
      <w:tr w:rsidR="001F3AB1">
        <w:trPr>
          <w:trHeight w:val="308"/>
        </w:trPr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912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1F3AB1">
        <w:trPr>
          <w:trHeight w:val="315"/>
        </w:trPr>
        <w:tc>
          <w:tcPr>
            <w:tcW w:w="333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20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5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1F3AB1">
        <w:trPr>
          <w:trHeight w:val="1005"/>
        </w:trPr>
        <w:tc>
          <w:tcPr>
            <w:tcW w:w="333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1247.34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1247.34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1247.34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1247.34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714.32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90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105.51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34.91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81.97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369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184.00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390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35.73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90.90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2196.61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二、年末结转结余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F3AB1">
        <w:trPr>
          <w:trHeight w:val="405"/>
        </w:trPr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3443.95</w:t>
            </w:r>
          </w:p>
        </w:tc>
        <w:tc>
          <w:tcPr>
            <w:tcW w:w="912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 xml:space="preserve">     3443.95 </w:t>
            </w:r>
          </w:p>
        </w:tc>
      </w:tr>
    </w:tbl>
    <w:p w:rsidR="001F3AB1" w:rsidRDefault="001F3AB1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注：支出预算功能科目各单位根据本单位实际据实填写，其他科目删除。</w:t>
      </w: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二、一般公共预算财政拨款支出表</w:t>
      </w:r>
    </w:p>
    <w:p w:rsidR="001F3AB1" w:rsidRDefault="001F3AB1" w:rsidP="009155AB">
      <w:pPr>
        <w:widowControl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一般公共预算财政拨款支出表</w:t>
      </w:r>
    </w:p>
    <w:tbl>
      <w:tblPr>
        <w:tblpPr w:leftFromText="180" w:rightFromText="180" w:vertAnchor="text" w:horzAnchor="page" w:tblpX="1461" w:tblpY="601"/>
        <w:tblOverlap w:val="never"/>
        <w:tblW w:w="13510" w:type="dxa"/>
        <w:tblLayout w:type="fixed"/>
        <w:tblLook w:val="0000"/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 w:rsidR="001F3AB1">
        <w:trPr>
          <w:trHeight w:val="849"/>
        </w:trPr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  <w:p w:rsidR="001F3AB1" w:rsidRDefault="001F3AB1"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2019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2019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年预算数与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</w:tr>
      <w:tr w:rsidR="001F3AB1">
        <w:trPr>
          <w:trHeight w:val="112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 w:rsidR="001F3AB1">
        <w:trPr>
          <w:trHeight w:val="5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5649.84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3443.95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700.64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2743.31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-2205.89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-39.04</w:t>
            </w:r>
          </w:p>
        </w:tc>
      </w:tr>
      <w:tr w:rsidR="001F3AB1">
        <w:trPr>
          <w:trHeight w:val="5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彭阳县发展和改革局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5649.84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3443.95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700.64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2743.31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-2205.89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-39.04</w:t>
            </w:r>
            <w:bookmarkStart w:id="0" w:name="_GoBack"/>
            <w:bookmarkEnd w:id="0"/>
          </w:p>
        </w:tc>
      </w:tr>
      <w:tr w:rsidR="001F3AB1">
        <w:trPr>
          <w:trHeight w:val="60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彭阳县发展和改革局机关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3046.6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325.99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2720.61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432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</w:t>
            </w:r>
          </w:p>
        </w:tc>
      </w:tr>
      <w:tr w:rsidR="001F3AB1">
        <w:trPr>
          <w:trHeight w:val="681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196.35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204.71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204.71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8.36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0.4</w:t>
            </w:r>
          </w:p>
        </w:tc>
      </w:tr>
      <w:tr w:rsidR="001F3AB1">
        <w:trPr>
          <w:trHeight w:val="61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一般行政管理事务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81.34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40.00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-41.34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-1.03</w:t>
            </w:r>
          </w:p>
        </w:tc>
      </w:tr>
      <w:tr w:rsidR="001F3AB1">
        <w:trPr>
          <w:trHeight w:val="59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2011301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113.80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113.80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-6.23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-0.005</w:t>
            </w:r>
          </w:p>
        </w:tc>
      </w:tr>
      <w:tr w:rsidR="001F3AB1">
        <w:trPr>
          <w:trHeight w:val="59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其他一般公共服务支出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403.72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300.00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-103.72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-35</w:t>
            </w:r>
          </w:p>
        </w:tc>
      </w:tr>
      <w:tr w:rsidR="001F3AB1">
        <w:trPr>
          <w:trHeight w:val="59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2080504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未归口管理的行政单位离退休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18.48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18.48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18.48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</w:t>
            </w:r>
          </w:p>
        </w:tc>
      </w:tr>
      <w:tr w:rsidR="001F3AB1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2080505-</w:t>
            </w:r>
            <w:r>
              <w:rPr>
                <w:rFonts w:ascii="宋体" w:hAnsi="宋体" w:hint="eastAsia"/>
                <w:color w:val="000000"/>
                <w:sz w:val="18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24.96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25.35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25.35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0.39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0.02</w:t>
            </w:r>
          </w:p>
        </w:tc>
      </w:tr>
      <w:tr w:rsidR="001F3AB1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2080506-</w:t>
            </w:r>
            <w:r>
              <w:rPr>
                <w:rFonts w:ascii="宋体" w:hAnsi="宋体" w:hint="eastAsia"/>
                <w:color w:val="000000"/>
                <w:sz w:val="18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10.14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10.14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2089901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2082701-</w:t>
            </w:r>
            <w:r>
              <w:rPr>
                <w:rFonts w:ascii="宋体" w:hAnsi="宋体" w:hint="eastAsia"/>
                <w:color w:val="000000"/>
                <w:sz w:val="18"/>
              </w:rPr>
              <w:t>财政对失业保险基金的补助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0.06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0.06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2089901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2082702-</w:t>
            </w:r>
            <w:r>
              <w:rPr>
                <w:rFonts w:ascii="宋体" w:hAnsi="宋体" w:hint="eastAsia"/>
                <w:color w:val="000000"/>
                <w:sz w:val="18"/>
              </w:rPr>
              <w:t>财政对工伤保险基金的补助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0.25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0.25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</w:tr>
      <w:tr w:rsidR="001F3AB1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2089901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2082703-</w:t>
            </w:r>
            <w:r>
              <w:rPr>
                <w:rFonts w:ascii="宋体" w:hAnsi="宋体" w:hint="eastAsia"/>
                <w:color w:val="000000"/>
                <w:sz w:val="18"/>
              </w:rPr>
              <w:t>财政对生育保险基金的补助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1.01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1.01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0.02</w:t>
            </w:r>
          </w:p>
        </w:tc>
      </w:tr>
      <w:tr w:rsidR="001F3AB1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2101101-</w:t>
            </w:r>
            <w:r>
              <w:rPr>
                <w:rFonts w:ascii="宋体" w:hAnsi="宋体" w:hint="eastAsia"/>
                <w:color w:val="000000"/>
                <w:sz w:val="18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10.14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10.14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2101103-</w:t>
            </w:r>
            <w:r>
              <w:rPr>
                <w:rFonts w:ascii="宋体" w:hAnsi="宋体" w:hint="eastAsia"/>
                <w:color w:val="000000"/>
                <w:sz w:val="18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6.79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6.79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0.29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0.43</w:t>
            </w:r>
          </w:p>
        </w:tc>
      </w:tr>
      <w:tr w:rsidR="001F3AB1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2160299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2160299-</w:t>
            </w:r>
            <w:r>
              <w:rPr>
                <w:rFonts w:ascii="宋体" w:hAnsi="宋体" w:hint="eastAsia"/>
                <w:color w:val="000000"/>
                <w:sz w:val="18"/>
              </w:rPr>
              <w:t>其他商业流通事务支出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396.61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184.00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184.00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-212.61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1.16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2210201-</w:t>
            </w:r>
            <w:r>
              <w:rPr>
                <w:rFonts w:ascii="宋体" w:hAnsi="宋体" w:hint="eastAsia"/>
                <w:color w:val="000000"/>
                <w:sz w:val="18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15.21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15.21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0.25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0.16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彭阳县工业和商务服务中心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116.88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114.18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10.74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10.74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0.41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0.38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0.31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0.72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财政对失业保险基金的补助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1.11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财政对工伤保险基金的补助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财政对生育保险基金的补助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0.93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2101102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事业单位医疗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1.05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24.42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2101103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公务员医疗补助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2210201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住房公积金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6.44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0.20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0.31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彭阳县物价办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59.11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54.11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2010408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物价管理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43.44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46.82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41.82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3.38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0.72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4.52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0.25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0.52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2.09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财政对工伤保险基金的补助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财政对生育保险基金的补助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2101102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事业单位医疗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0.96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5.2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2101103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公务员医疗保险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0.12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2210201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住房公积金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2.86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0.31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彭阳县粮食局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113.02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98.02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2080505-</w:t>
            </w:r>
            <w:r>
              <w:rPr>
                <w:rFonts w:ascii="宋体" w:hAnsi="宋体" w:hint="eastAsia"/>
                <w:color w:val="000000"/>
                <w:sz w:val="18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8.32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8.57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8.57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0.25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0.29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2080506-</w:t>
            </w:r>
            <w:r>
              <w:rPr>
                <w:rFonts w:ascii="宋体" w:hAnsi="宋体" w:hint="eastAsia"/>
                <w:color w:val="000000"/>
                <w:sz w:val="18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3.43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3.43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0.21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0.61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2082701-</w:t>
            </w:r>
            <w:r>
              <w:rPr>
                <w:rFonts w:ascii="宋体" w:hAnsi="宋体" w:hint="eastAsia"/>
                <w:color w:val="000000"/>
                <w:sz w:val="18"/>
              </w:rPr>
              <w:t>财政对失业保险基金的补助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2082702-</w:t>
            </w:r>
            <w:r>
              <w:rPr>
                <w:rFonts w:ascii="宋体" w:hAnsi="宋体" w:hint="eastAsia"/>
                <w:color w:val="000000"/>
                <w:sz w:val="18"/>
              </w:rPr>
              <w:t>财政对工伤保险基金的补助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2082703-</w:t>
            </w:r>
            <w:r>
              <w:rPr>
                <w:rFonts w:ascii="宋体" w:hAnsi="宋体" w:hint="eastAsia"/>
                <w:color w:val="000000"/>
                <w:sz w:val="18"/>
              </w:rPr>
              <w:t>财政对生育保险基金的补助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2101101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2101101-</w:t>
            </w:r>
            <w:r>
              <w:rPr>
                <w:rFonts w:ascii="宋体" w:hAnsi="宋体" w:hint="eastAsia"/>
                <w:color w:val="000000"/>
                <w:sz w:val="18"/>
              </w:rPr>
              <w:t>行政单位医疗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13.91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3.43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3.43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-10.48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-3.05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2101103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2101103-</w:t>
            </w:r>
            <w:r>
              <w:rPr>
                <w:rFonts w:ascii="宋体" w:hAnsi="宋体" w:hint="eastAsia"/>
                <w:color w:val="000000"/>
                <w:sz w:val="18"/>
              </w:rPr>
              <w:t>公务员医疗补助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2210201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住房公积金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5.14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0.04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2220101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行政运行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67.63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75.90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75.90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8.27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10.89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2220201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行政运行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5.00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1.66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33.2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2220499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其他油粮储备支出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10.00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彭阳县石油产业发展服务中心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108.34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108.34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2080505-</w:t>
            </w:r>
            <w:r>
              <w:rPr>
                <w:rFonts w:ascii="宋体" w:hAnsi="宋体" w:hint="eastAsia"/>
                <w:color w:val="000000"/>
                <w:sz w:val="18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10.14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2080506-</w:t>
            </w:r>
            <w:r>
              <w:rPr>
                <w:rFonts w:ascii="宋体" w:hAnsi="宋体" w:hint="eastAsia"/>
                <w:color w:val="000000"/>
                <w:sz w:val="18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0.07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0.18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2082701-</w:t>
            </w:r>
            <w:r>
              <w:rPr>
                <w:rFonts w:ascii="宋体" w:hAnsi="宋体" w:hint="eastAsia"/>
                <w:color w:val="000000"/>
                <w:sz w:val="18"/>
              </w:rPr>
              <w:t>财政对失业保险基金的补助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2082702-</w:t>
            </w:r>
            <w:r>
              <w:rPr>
                <w:rFonts w:ascii="宋体" w:hAnsi="宋体" w:hint="eastAsia"/>
                <w:color w:val="000000"/>
                <w:sz w:val="18"/>
              </w:rPr>
              <w:t>财政对工伤保险基金的补助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2082703-</w:t>
            </w:r>
            <w:r>
              <w:rPr>
                <w:rFonts w:ascii="宋体" w:hAnsi="宋体" w:hint="eastAsia"/>
                <w:color w:val="000000"/>
                <w:sz w:val="18"/>
              </w:rPr>
              <w:t>财政对生育保险基金的补助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0.97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2101102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事业单位医疗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0.00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2101103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公务员医疗补助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0.31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2150101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行政运行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65.34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81.97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81.97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16.63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20.28</w:t>
            </w:r>
          </w:p>
        </w:tc>
      </w:tr>
      <w:tr w:rsidR="001F3AB1">
        <w:trPr>
          <w:trHeight w:val="6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2210201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住房公积金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6.08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0.12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0.20</w:t>
            </w:r>
          </w:p>
        </w:tc>
      </w:tr>
    </w:tbl>
    <w:p w:rsidR="001F3AB1" w:rsidRDefault="001F3AB1">
      <w:pPr>
        <w:widowControl/>
        <w:ind w:firstLine="735"/>
        <w:jc w:val="lef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 xml:space="preserve">                                         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单位：万元</w:t>
      </w: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三、一般公共预算财政拨款基本支出表</w:t>
      </w:r>
    </w:p>
    <w:p w:rsidR="001F3AB1" w:rsidRDefault="001F3AB1" w:rsidP="009155AB">
      <w:pPr>
        <w:widowControl/>
        <w:spacing w:line="520" w:lineRule="exact"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</w:p>
    <w:p w:rsidR="001F3AB1" w:rsidRDefault="001F3AB1" w:rsidP="009155AB">
      <w:pPr>
        <w:widowControl/>
        <w:spacing w:line="520" w:lineRule="exact"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一般公共预算财政拨款基本支出表</w:t>
      </w:r>
    </w:p>
    <w:p w:rsidR="001F3AB1" w:rsidRDefault="001F3AB1">
      <w:pPr>
        <w:widowControl/>
        <w:spacing w:line="520" w:lineRule="exact"/>
        <w:ind w:firstLine="735"/>
        <w:jc w:val="lef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 xml:space="preserve">                                        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单位：万元</w:t>
      </w:r>
    </w:p>
    <w:tbl>
      <w:tblPr>
        <w:tblpPr w:leftFromText="180" w:rightFromText="180" w:vertAnchor="text" w:horzAnchor="page" w:tblpXSpec="center" w:tblpY="523"/>
        <w:tblOverlap w:val="never"/>
        <w:tblW w:w="13517" w:type="dxa"/>
        <w:jc w:val="center"/>
        <w:tblLayout w:type="fixed"/>
        <w:tblLook w:val="0000"/>
      </w:tblPr>
      <w:tblGrid>
        <w:gridCol w:w="2357"/>
        <w:gridCol w:w="3600"/>
        <w:gridCol w:w="2520"/>
        <w:gridCol w:w="2700"/>
        <w:gridCol w:w="2340"/>
      </w:tblGrid>
      <w:tr w:rsidR="001F3AB1">
        <w:trPr>
          <w:trHeight w:val="397"/>
          <w:tblHeader/>
          <w:jc w:val="center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基本支出预算</w:t>
            </w:r>
          </w:p>
        </w:tc>
      </w:tr>
      <w:tr w:rsidR="001F3AB1">
        <w:trPr>
          <w:trHeight w:val="397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日常公用支出</w:t>
            </w:r>
          </w:p>
        </w:tc>
      </w:tr>
      <w:tr w:rsidR="001F3AB1">
        <w:trPr>
          <w:trHeight w:val="390"/>
          <w:tblHeader/>
          <w:jc w:val="center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753.36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664.06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89.30</w:t>
            </w:r>
          </w:p>
        </w:tc>
      </w:tr>
      <w:tr w:rsidR="001F3AB1">
        <w:trPr>
          <w:trHeight w:val="90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645.01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645.01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157.18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157.18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178.41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178.41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375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39.44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39.44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Calibri" w:hAnsi="宋体"/>
                <w:b/>
                <w:color w:val="000000"/>
                <w:sz w:val="22"/>
              </w:rPr>
            </w:pPr>
            <w:r>
              <w:rPr>
                <w:rFonts w:ascii="宋体" w:hAnsi="宋体" w:cs="宋体"/>
                <w:szCs w:val="21"/>
              </w:rPr>
              <w:t>59.57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59.57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315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23.84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23.84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23.84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23.84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7.45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7.45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35.73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35.73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90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107.92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107.92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89.30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89.30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13.80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13.80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13.00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10.00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0.2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3.2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14.2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90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0.2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1.3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23.56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23.56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9.84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9.84</w:t>
            </w: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19.05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19.05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13.20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13.20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2.22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3.63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3.63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1F3AB1">
        <w:trPr>
          <w:trHeight w:val="113"/>
          <w:tblHeader/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四、一般公共预算财政拨款“三公”经费支出表</w:t>
      </w:r>
    </w:p>
    <w:p w:rsidR="001F3AB1" w:rsidRDefault="001F3AB1" w:rsidP="009155AB">
      <w:pPr>
        <w:widowControl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一般公共预算财政拨款“三公”经费支出表</w:t>
      </w:r>
    </w:p>
    <w:p w:rsidR="001F3AB1" w:rsidRDefault="001F3AB1">
      <w:pPr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 xml:space="preserve">                                                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单位：万元</w:t>
      </w:r>
    </w:p>
    <w:tbl>
      <w:tblPr>
        <w:tblW w:w="14054" w:type="dxa"/>
        <w:tblInd w:w="91" w:type="dxa"/>
        <w:tblLayout w:type="fixed"/>
        <w:tblLook w:val="0000"/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932"/>
        <w:gridCol w:w="610"/>
        <w:gridCol w:w="771"/>
        <w:gridCol w:w="771"/>
        <w:gridCol w:w="771"/>
        <w:gridCol w:w="947"/>
      </w:tblGrid>
      <w:tr w:rsidR="001F3AB1">
        <w:trPr>
          <w:trHeight w:val="555"/>
        </w:trPr>
        <w:tc>
          <w:tcPr>
            <w:tcW w:w="4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2019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年预算数（控制数）</w:t>
            </w:r>
          </w:p>
        </w:tc>
      </w:tr>
      <w:tr w:rsidR="001F3AB1">
        <w:trPr>
          <w:trHeight w:val="117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 w:rsidR="001F3AB1">
        <w:trPr>
          <w:trHeight w:val="117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16.79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10.36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10.36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6.43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2.51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2.51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0.61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Calibri" w:hAnsi="宋体"/>
                <w:color w:val="000000"/>
                <w:sz w:val="24"/>
              </w:rPr>
              <w:t>3.12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2.51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autoSpaceDN w:val="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Calibri" w:hAnsi="宋体"/>
                <w:color w:val="000000"/>
                <w:sz w:val="24"/>
              </w:rPr>
              <w:t>0.61</w:t>
            </w:r>
          </w:p>
        </w:tc>
      </w:tr>
      <w:tr w:rsidR="001F3AB1">
        <w:trPr>
          <w:trHeight w:val="47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3AB1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3AB1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3AB1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1F3AB1" w:rsidRDefault="001F3AB1">
      <w:pPr>
        <w:rPr>
          <w:rFonts w:ascii="仿宋_GB2312" w:eastAsia="仿宋_GB2312" w:hAnsi="宋体"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196" w:firstLine="630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196" w:firstLine="630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五、政府性基金预算财政拨款支出表</w:t>
      </w:r>
    </w:p>
    <w:p w:rsidR="001F3AB1" w:rsidRDefault="001F3AB1" w:rsidP="009155AB">
      <w:pPr>
        <w:widowControl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政府性基金预算财政拨款支出表</w:t>
      </w:r>
    </w:p>
    <w:p w:rsidR="001F3AB1" w:rsidRDefault="001F3AB1" w:rsidP="009155AB">
      <w:pPr>
        <w:widowControl/>
        <w:ind w:firstLineChars="200" w:firstLine="723"/>
        <w:jc w:val="center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单位：万元</w:t>
      </w:r>
    </w:p>
    <w:tbl>
      <w:tblPr>
        <w:tblW w:w="14180" w:type="dxa"/>
        <w:tblInd w:w="91" w:type="dxa"/>
        <w:tblLayout w:type="fixed"/>
        <w:tblLook w:val="0000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1F3AB1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  <w:p w:rsidR="001F3AB1" w:rsidRDefault="001F3AB1"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2019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2019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年预算数与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</w:tr>
      <w:tr w:rsidR="001F3AB1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 w:rsidR="001F3AB1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6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6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6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6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60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F3AB1">
        <w:trPr>
          <w:trHeight w:val="6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AB1" w:rsidRDefault="001F3AB1"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1" w:rsidRDefault="001F3A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1F3AB1" w:rsidRDefault="001F3AB1" w:rsidP="009155AB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六、部门收支预算总表</w:t>
      </w:r>
    </w:p>
    <w:p w:rsidR="001F3AB1" w:rsidRDefault="001F3AB1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部门收支预算总表</w:t>
      </w:r>
    </w:p>
    <w:p w:rsidR="001F3AB1" w:rsidRDefault="001F3AB1">
      <w:pPr>
        <w:widowControl/>
        <w:jc w:val="right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单位：万元</w:t>
      </w:r>
    </w:p>
    <w:tbl>
      <w:tblPr>
        <w:tblW w:w="13857" w:type="dxa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5235"/>
        <w:gridCol w:w="1800"/>
        <w:gridCol w:w="5022"/>
        <w:gridCol w:w="1800"/>
      </w:tblGrid>
      <w:tr w:rsidR="001F3AB1">
        <w:trPr>
          <w:trHeight w:val="316"/>
        </w:trPr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6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1247.34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1247.34</w:t>
            </w: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其中：非同级财政拨款（科研及辅助活动）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1247.34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3442.94</w:t>
            </w: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2196.61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2196.61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2196.61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）非财政拨款结转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）非财政拨款结转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）非财政拨款结余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）非财政拨款结余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）专用结余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）专用结余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）经营结余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）经营结余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3442.94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3442.94</w:t>
            </w:r>
          </w:p>
        </w:tc>
      </w:tr>
    </w:tbl>
    <w:p w:rsidR="001F3AB1" w:rsidRDefault="001F3AB1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 xml:space="preserve">                                                            </w:t>
      </w:r>
    </w:p>
    <w:p w:rsidR="001F3AB1" w:rsidRDefault="001F3AB1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1F3AB1" w:rsidRDefault="001F3AB1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1F3AB1" w:rsidRDefault="001F3AB1">
      <w:pPr>
        <w:widowControl/>
        <w:ind w:firstLine="735"/>
        <w:jc w:val="left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</w:p>
    <w:p w:rsidR="001F3AB1" w:rsidRDefault="001F3AB1">
      <w:pPr>
        <w:widowControl/>
        <w:ind w:firstLine="735"/>
        <w:jc w:val="left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</w:p>
    <w:p w:rsidR="001F3AB1" w:rsidRDefault="001F3AB1">
      <w:pPr>
        <w:widowControl/>
        <w:ind w:firstLine="735"/>
        <w:jc w:val="left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</w:p>
    <w:p w:rsidR="001F3AB1" w:rsidRDefault="001F3AB1">
      <w:pPr>
        <w:widowControl/>
        <w:ind w:firstLine="735"/>
        <w:jc w:val="left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黑体" w:eastAsia="黑体" w:hAnsi="宋体" w:hint="eastAsia"/>
          <w:b/>
          <w:bCs/>
          <w:kern w:val="0"/>
          <w:sz w:val="32"/>
          <w:szCs w:val="32"/>
        </w:rPr>
        <w:t>七、部门收入总表</w:t>
      </w:r>
    </w:p>
    <w:p w:rsidR="001F3AB1" w:rsidRDefault="001F3AB1">
      <w:pPr>
        <w:widowControl/>
        <w:jc w:val="center"/>
        <w:outlineLvl w:val="1"/>
        <w:rPr>
          <w:rFonts w:ascii="仿宋_GB2312" w:eastAsia="仿宋_GB2312" w:hAnsi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部门收入总表</w:t>
      </w:r>
    </w:p>
    <w:p w:rsidR="001F3AB1" w:rsidRDefault="001F3AB1">
      <w:pPr>
        <w:widowControl/>
        <w:jc w:val="lef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 xml:space="preserve">                                             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单位：万元</w:t>
      </w:r>
    </w:p>
    <w:tbl>
      <w:tblPr>
        <w:tblW w:w="13890" w:type="dxa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275"/>
        <w:gridCol w:w="1228"/>
        <w:gridCol w:w="1095"/>
        <w:gridCol w:w="855"/>
        <w:gridCol w:w="450"/>
        <w:gridCol w:w="840"/>
        <w:gridCol w:w="810"/>
        <w:gridCol w:w="617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1F3AB1">
        <w:trPr>
          <w:trHeight w:val="48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 w:rsidR="001F3AB1">
        <w:trPr>
          <w:trHeight w:val="42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1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159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1247.34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1247.34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1247.34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F3AB1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tabs>
                <w:tab w:val="left" w:pos="644"/>
              </w:tabs>
              <w:ind w:rightChars="63" w:right="132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F3AB1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F3AB1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F3AB1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F3AB1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F3AB1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1F3AB1" w:rsidRDefault="001F3AB1" w:rsidP="009155AB">
      <w:pPr>
        <w:widowControl/>
        <w:ind w:firstLineChars="196" w:firstLine="630"/>
        <w:jc w:val="left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黑体" w:eastAsia="黑体" w:hAnsi="宋体" w:hint="eastAsia"/>
          <w:b/>
          <w:bCs/>
          <w:kern w:val="0"/>
          <w:sz w:val="32"/>
          <w:szCs w:val="32"/>
        </w:rPr>
        <w:t>八、部门支出总表</w:t>
      </w:r>
    </w:p>
    <w:p w:rsidR="001F3AB1" w:rsidRDefault="001F3AB1">
      <w:pPr>
        <w:widowControl/>
        <w:jc w:val="center"/>
        <w:outlineLvl w:val="1"/>
        <w:rPr>
          <w:rFonts w:ascii="仿宋_GB2312" w:eastAsia="仿宋_GB2312" w:hAnsi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部门支出总表</w:t>
      </w:r>
    </w:p>
    <w:p w:rsidR="001F3AB1" w:rsidRDefault="001F3AB1">
      <w:pPr>
        <w:rPr>
          <w:szCs w:val="21"/>
        </w:rPr>
      </w:pPr>
      <w:r>
        <w:rPr>
          <w:rFonts w:ascii="仿宋_GB2312" w:eastAsia="仿宋_GB2312" w:hAnsi="宋体"/>
          <w:kern w:val="0"/>
          <w:sz w:val="32"/>
          <w:szCs w:val="32"/>
        </w:rPr>
        <w:t xml:space="preserve">                                               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单位：万元</w:t>
      </w:r>
    </w:p>
    <w:tbl>
      <w:tblPr>
        <w:tblW w:w="13833" w:type="dxa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 w:rsidR="001F3AB1">
        <w:trPr>
          <w:trHeight w:val="78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B1" w:rsidRDefault="001F3AB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彭阳县发展和改革局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3443.95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3443.95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彭阳县发展和改革局机关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3046.6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3046.6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2010301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9.00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9.00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2010401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204.71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204.71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2010402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40.00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40.00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2011301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24.84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24.84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2019999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300.00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300.00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25.35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25.35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10.14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10.14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10.14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10.14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6.79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6.79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2160299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184.00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184.00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15.21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15.21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彭阳县工业和商务服务中心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116.88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116.88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2011301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88.96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88.96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10.73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10.73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6.44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6.44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彭阳县物价办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59.11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59.11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2010408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46.82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46.82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彭阳县粮食局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113.02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113.02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8.57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8.57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3.43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3.43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3.42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3.42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5.14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5.14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2220101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75.89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75.89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2220201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2220499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10.00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彭阳县石油产业发展服务中心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108.34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108.34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10.14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10.14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2150101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81.97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81.97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3AB1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6.08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6.08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AB1" w:rsidRDefault="001F3AB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F3AB1" w:rsidRDefault="001F3AB1">
      <w:pPr>
        <w:sectPr w:rsidR="001F3AB1">
          <w:footerReference w:type="default" r:id="rId6"/>
          <w:pgSz w:w="16838" w:h="11906" w:orient="landscape"/>
          <w:pgMar w:top="720" w:right="720" w:bottom="720" w:left="720" w:header="851" w:footer="992" w:gutter="0"/>
          <w:cols w:space="720"/>
          <w:docGrid w:type="linesAndChars" w:linePitch="312"/>
        </w:sectPr>
      </w:pPr>
    </w:p>
    <w:p w:rsidR="001F3AB1" w:rsidRDefault="001F3AB1" w:rsidP="007C3D72">
      <w:pPr>
        <w:widowControl/>
        <w:jc w:val="left"/>
        <w:outlineLvl w:val="1"/>
      </w:pPr>
    </w:p>
    <w:sectPr w:rsidR="001F3AB1" w:rsidSect="003B7F4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AB1" w:rsidRDefault="001F3AB1" w:rsidP="003B7F47">
      <w:r>
        <w:separator/>
      </w:r>
    </w:p>
  </w:endnote>
  <w:endnote w:type="continuationSeparator" w:id="0">
    <w:p w:rsidR="001F3AB1" w:rsidRDefault="001F3AB1" w:rsidP="003B7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B1" w:rsidRDefault="001F3AB1">
    <w:pPr>
      <w:pStyle w:val="Footer"/>
    </w:pPr>
  </w:p>
  <w:p w:rsidR="001F3AB1" w:rsidRDefault="001F3AB1">
    <w:pPr>
      <w:pStyle w:val="Footer"/>
    </w:pPr>
  </w:p>
  <w:p w:rsidR="001F3AB1" w:rsidRDefault="001F3AB1">
    <w:pPr>
      <w:pStyle w:val="Footer"/>
    </w:pPr>
  </w:p>
  <w:p w:rsidR="001F3AB1" w:rsidRDefault="001F3AB1">
    <w:pPr>
      <w:pStyle w:val="Footer"/>
    </w:pPr>
  </w:p>
  <w:p w:rsidR="001F3AB1" w:rsidRDefault="001F3AB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1F3AB1" w:rsidRDefault="001F3AB1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AB1" w:rsidRDefault="001F3AB1" w:rsidP="003B7F47">
      <w:r>
        <w:separator/>
      </w:r>
    </w:p>
  </w:footnote>
  <w:footnote w:type="continuationSeparator" w:id="0">
    <w:p w:rsidR="001F3AB1" w:rsidRDefault="001F3AB1" w:rsidP="003B7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F47"/>
    <w:rsid w:val="001D1B74"/>
    <w:rsid w:val="001F3AB1"/>
    <w:rsid w:val="00260F4B"/>
    <w:rsid w:val="00344DD6"/>
    <w:rsid w:val="003B7F47"/>
    <w:rsid w:val="006F7671"/>
    <w:rsid w:val="007C3D72"/>
    <w:rsid w:val="009155AB"/>
    <w:rsid w:val="00A3795C"/>
    <w:rsid w:val="00D44BB2"/>
    <w:rsid w:val="00EB1B61"/>
    <w:rsid w:val="00F8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4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B7F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B7F4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customStyle="1" w:styleId="NormalWeb1">
    <w:name w:val="Normal (Web)1"/>
    <w:basedOn w:val="Normal"/>
    <w:uiPriority w:val="99"/>
    <w:rsid w:val="003B7F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19</Pages>
  <Words>1447</Words>
  <Characters>8249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袁治贤</dc:title>
  <dc:subject/>
  <dc:creator>Administrator</dc:creator>
  <cp:keywords/>
  <dc:description/>
  <cp:lastModifiedBy>发展和改革局</cp:lastModifiedBy>
  <cp:revision>9</cp:revision>
  <cp:lastPrinted>2019-02-12T17:23:00Z</cp:lastPrinted>
  <dcterms:created xsi:type="dcterms:W3CDTF">2019-01-31T03:08:00Z</dcterms:created>
  <dcterms:modified xsi:type="dcterms:W3CDTF">2019-02-18T09:48:00Z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