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outlineLvl w:val="1"/>
        <w:rPr>
          <w:rFonts w:hint="eastAsia" w:ascii="仿宋_GB2312" w:hAnsi="宋体" w:eastAsia="仿宋_GB2312"/>
          <w:b/>
          <w:kern w:val="0"/>
          <w:sz w:val="24"/>
          <w:szCs w:val="24"/>
        </w:rPr>
      </w:pPr>
    </w:p>
    <w:p>
      <w:pPr>
        <w:widowControl/>
        <w:ind w:firstLine="643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一、财政拨款收支预算总表</w:t>
      </w:r>
      <w:bookmarkStart w:id="0" w:name="_GoBack"/>
      <w:bookmarkEnd w:id="0"/>
    </w:p>
    <w:p>
      <w:pPr>
        <w:widowControl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财政拨款收支预算总表</w:t>
      </w:r>
    </w:p>
    <w:p>
      <w:pPr>
        <w:widowControl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单位：万元</w:t>
      </w:r>
    </w:p>
    <w:tbl>
      <w:tblPr>
        <w:tblStyle w:val="3"/>
        <w:tblW w:w="1316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0"/>
        <w:gridCol w:w="1360"/>
        <w:gridCol w:w="3860"/>
        <w:gridCol w:w="1360"/>
        <w:gridCol w:w="1360"/>
        <w:gridCol w:w="13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2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收     入</w:t>
            </w:r>
          </w:p>
        </w:tc>
        <w:tc>
          <w:tcPr>
            <w:tcW w:w="7940" w:type="dxa"/>
            <w:gridSpan w:val="4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支     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60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项    目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38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项目（按功能分类）</w:t>
            </w:r>
          </w:p>
        </w:tc>
        <w:tc>
          <w:tcPr>
            <w:tcW w:w="40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386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  <w:highlight w:val="yellow"/>
              </w:rPr>
              <w:t>一般公共预算财政拨款</w:t>
            </w: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  <w:highlight w:val="yellow"/>
                <w:lang w:eastAsia="zh-CN"/>
              </w:rPr>
              <w:t>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  <w:highlight w:val="yellow"/>
              </w:rPr>
              <w:t>政府性基金预算财政拨款</w:t>
            </w: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  <w:highlight w:val="yellow"/>
                <w:lang w:eastAsia="zh-CN"/>
              </w:rPr>
              <w:t>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一、本年收入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809.26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一、本年支出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809.26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809.26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（一）一般公共预算财政拨款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  <w:lang w:eastAsia="zh-CN"/>
              </w:rPr>
              <w:t>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809.26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（一）一般公共服务支出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33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1.21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33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1.21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（二）政府性基金预算财政拨款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  <w:lang w:eastAsia="zh-CN"/>
              </w:rPr>
              <w:t>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（二）外交支出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（三）国防支出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（四）公共安全支出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（五）教育支出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（六）科学技术支出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（七）文化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  <w:lang w:eastAsia="zh-CN"/>
              </w:rPr>
              <w:t>旅游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体育与传媒支出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47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06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47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06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（八）社会保障和就业支出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348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16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348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16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（九）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  <w:lang w:eastAsia="zh-CN"/>
              </w:rPr>
              <w:t>卫生健康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23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23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（十）节能环保支出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（十一）城乡社区支出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34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.61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34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.61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（十二）农林水支出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（十三）交通运输支出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（十四）资源勘探信息等支出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（十五）商业服务业等支出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（十六）金融支出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（十七）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  <w:lang w:eastAsia="zh-CN"/>
              </w:rPr>
              <w:t>自然资源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海洋气象等支出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（十八）住房保障支出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24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74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24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74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（十九）粮油物资储备支出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（二十）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  <w:lang w:eastAsia="zh-CN"/>
              </w:rPr>
              <w:t>灾害防治及应急管理支出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（二十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  <w:lang w:eastAsia="zh-CN"/>
              </w:rPr>
              <w:t>一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）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  <w:lang w:eastAsia="zh-CN"/>
              </w:rPr>
              <w:t>其他支出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二、上年结转结余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　二、年末结转结余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收入总计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809.26</w:t>
            </w:r>
          </w:p>
        </w:tc>
        <w:tc>
          <w:tcPr>
            <w:tcW w:w="7940" w:type="dxa"/>
            <w:gridSpan w:val="4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支出总计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809.26</w:t>
            </w:r>
          </w:p>
        </w:tc>
      </w:tr>
    </w:tbl>
    <w:p>
      <w:pPr>
        <w:widowControl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注：支出预算功能科目各单位根据本单位实际据实填写，其他科目删除。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BB3CB1"/>
    <w:rsid w:val="08BB3CB1"/>
    <w:rsid w:val="5EA1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WYM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2019-02-14T10:10:00Z</dcterms:created>
  <dc:creator>Administrator</dc:creator>
  <cp:lastModifiedBy>Administrator</cp:lastModifiedBy>
  <dcterms:modified xsi:type="dcterms:W3CDTF">2019-02-14T10:15:00Z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