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00B0F0">
    <v:background id="_x0000_s1025">
      <v:fill type="gradient" on="t" color2="fill darken(117)" opacity="35389f" o:opacity2="55050f" focus="100%" focussize="0,0" method="linear sigma"/>
    </v:background>
  </w:background>
  <w:body>
    <w:p>
      <w:pPr>
        <w:keepNext w:val="0"/>
        <w:keepLines w:val="0"/>
        <w:pageBreakBefore w:val="0"/>
        <w:widowControl w:val="0"/>
        <w:kinsoku/>
        <w:wordWrap/>
        <w:overflowPunct/>
        <w:topLinePunct w:val="0"/>
        <w:autoSpaceDE/>
        <w:autoSpaceDN/>
        <w:bidi w:val="0"/>
        <w:adjustRightInd/>
        <w:snapToGrid/>
        <w:spacing w:line="560" w:lineRule="exact"/>
        <w:ind w:right="0" w:rightChars="0" w:firstLine="723" w:firstLineChars="200"/>
        <w:jc w:val="both"/>
        <w:textAlignment w:val="auto"/>
        <w:outlineLvl w:val="9"/>
        <w:rPr>
          <w:rFonts w:hint="eastAsia" w:ascii="方正小标宋简体" w:hAnsi="方正小标宋简体" w:eastAsia="方正小标宋简体" w:cs="方正小标宋简体"/>
          <w:b/>
          <w:bCs/>
          <w:color w:val="auto"/>
          <w:sz w:val="36"/>
          <w:szCs w:val="36"/>
        </w:rPr>
      </w:pPr>
      <w:bookmarkStart w:id="0" w:name="_GoBack"/>
      <w:bookmarkEnd w:id="0"/>
      <w:r>
        <w:rPr>
          <w:rFonts w:hint="eastAsia" w:ascii="方正小标宋简体" w:hAnsi="方正小标宋简体" w:eastAsia="方正小标宋简体" w:cs="方正小标宋简体"/>
          <w:b/>
          <w:bCs/>
          <w:color w:val="auto"/>
          <w:sz w:val="36"/>
          <w:szCs w:val="36"/>
          <w:lang w:eastAsia="zh-CN"/>
        </w:rPr>
        <w:t>彭阳县</w:t>
      </w:r>
      <w:r>
        <w:rPr>
          <w:rFonts w:hint="eastAsia" w:ascii="方正小标宋简体" w:hAnsi="方正小标宋简体" w:eastAsia="方正小标宋简体" w:cs="方正小标宋简体"/>
          <w:b/>
          <w:bCs/>
          <w:color w:val="auto"/>
          <w:sz w:val="36"/>
          <w:szCs w:val="36"/>
        </w:rPr>
        <w:t>司法</w:t>
      </w:r>
      <w:r>
        <w:rPr>
          <w:rFonts w:hint="eastAsia" w:ascii="方正小标宋简体" w:hAnsi="方正小标宋简体" w:eastAsia="方正小标宋简体" w:cs="方正小标宋简体"/>
          <w:b/>
          <w:bCs/>
          <w:color w:val="auto"/>
          <w:sz w:val="36"/>
          <w:szCs w:val="36"/>
          <w:lang w:eastAsia="zh-CN"/>
        </w:rPr>
        <w:t>局</w:t>
      </w:r>
      <w:r>
        <w:rPr>
          <w:rFonts w:hint="eastAsia" w:ascii="方正小标宋简体" w:hAnsi="方正小标宋简体" w:eastAsia="方正小标宋简体" w:cs="方正小标宋简体"/>
          <w:b/>
          <w:bCs/>
          <w:color w:val="auto"/>
          <w:sz w:val="36"/>
          <w:szCs w:val="36"/>
        </w:rPr>
        <w:t>201</w:t>
      </w:r>
      <w:r>
        <w:rPr>
          <w:rFonts w:hint="eastAsia" w:ascii="方正小标宋简体" w:hAnsi="方正小标宋简体" w:eastAsia="方正小标宋简体" w:cs="方正小标宋简体"/>
          <w:b/>
          <w:bCs/>
          <w:color w:val="auto"/>
          <w:sz w:val="36"/>
          <w:szCs w:val="36"/>
          <w:lang w:val="en-US" w:eastAsia="zh-CN"/>
        </w:rPr>
        <w:t>8</w:t>
      </w:r>
      <w:r>
        <w:rPr>
          <w:rFonts w:hint="eastAsia" w:ascii="方正小标宋简体" w:hAnsi="方正小标宋简体" w:eastAsia="方正小标宋简体" w:cs="方正小标宋简体"/>
          <w:b/>
          <w:bCs/>
          <w:color w:val="auto"/>
          <w:sz w:val="36"/>
          <w:szCs w:val="36"/>
        </w:rPr>
        <w:t>年政府信息公开工作年度报告</w:t>
      </w:r>
    </w:p>
    <w:p>
      <w:pPr>
        <w:keepNext w:val="0"/>
        <w:keepLines w:val="0"/>
        <w:pageBreakBefore w:val="0"/>
        <w:widowControl w:val="0"/>
        <w:numPr>
          <w:ilvl w:val="0"/>
          <w:numId w:val="0"/>
        </w:numPr>
        <w:kinsoku/>
        <w:wordWrap/>
        <w:overflowPunct/>
        <w:topLinePunct w:val="0"/>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sz w:val="32"/>
          <w:szCs w:val="32"/>
          <w:lang w:eastAsia="zh-CN"/>
        </w:rPr>
        <w:t>根</w:t>
      </w:r>
      <w:r>
        <w:rPr>
          <w:rFonts w:hint="eastAsia" w:ascii="仿宋_GB2312" w:hAnsi="仿宋_GB2312" w:eastAsia="仿宋_GB2312" w:cs="仿宋_GB2312"/>
          <w:color w:val="auto"/>
          <w:sz w:val="32"/>
          <w:szCs w:val="32"/>
          <w:lang w:val="en-US" w:eastAsia="zh-CN"/>
        </w:rPr>
        <w:t>据《中华人民共和国政府信息公开条例》《宁夏回族自治区实施&lt;中华人民共和国政府信息公开条例&gt;办法》有关规定，经司法局认真梳理，汇总司法局政府信息公开工作情况编制本报告，</w:t>
      </w:r>
      <w:r>
        <w:rPr>
          <w:rFonts w:hint="eastAsia" w:ascii="仿宋_GB2312" w:hAnsi="仿宋_GB2312" w:eastAsia="仿宋_GB2312" w:cs="仿宋_GB2312"/>
          <w:sz w:val="32"/>
          <w:szCs w:val="32"/>
        </w:rPr>
        <w:t>2018 年</w:t>
      </w:r>
      <w:r>
        <w:rPr>
          <w:rFonts w:hint="eastAsia" w:ascii="仿宋_GB2312" w:hAnsi="仿宋_GB2312" w:eastAsia="仿宋_GB2312" w:cs="仿宋_GB2312"/>
          <w:sz w:val="32"/>
          <w:szCs w:val="32"/>
          <w:lang w:eastAsia="zh-CN"/>
        </w:rPr>
        <w:t>政府信息公开工作年度</w:t>
      </w:r>
      <w:r>
        <w:rPr>
          <w:rFonts w:hint="eastAsia" w:ascii="仿宋_GB2312" w:hAnsi="仿宋_GB2312" w:eastAsia="仿宋_GB2312" w:cs="仿宋_GB2312"/>
          <w:sz w:val="32"/>
          <w:szCs w:val="32"/>
        </w:rPr>
        <w:t>报告由概述，主动公开政府信息情况，重点领域政府信息公开情况，各级人大代表建议、政协提案办理结果公开情况，开展政策解读情况，回应社会关切情况，政府信息依申请公开工作情况，公开平台载体建设和运维情况，完善公开制度机制建设情况，2018 年政务公开工作存在的主要问题</w:t>
      </w:r>
      <w:r>
        <w:rPr>
          <w:rFonts w:hint="eastAsia" w:ascii="仿宋_GB2312" w:hAnsi="仿宋_GB2312" w:eastAsia="仿宋_GB2312" w:cs="仿宋_GB2312"/>
          <w:sz w:val="32"/>
          <w:szCs w:val="32"/>
          <w:lang w:eastAsia="zh-CN"/>
        </w:rPr>
        <w:t>与不足，</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lang w:val="en-US" w:eastAsia="zh-CN"/>
        </w:rPr>
        <w:t>2019年工作的初步计划安排</w:t>
      </w:r>
      <w:r>
        <w:rPr>
          <w:rFonts w:hint="eastAsia" w:ascii="仿宋_GB2312" w:hAnsi="仿宋_GB2312" w:eastAsia="仿宋_GB2312" w:cs="仿宋_GB2312"/>
          <w:sz w:val="32"/>
          <w:szCs w:val="32"/>
        </w:rPr>
        <w:t>，其他需要报告的事项</w:t>
      </w:r>
      <w:r>
        <w:rPr>
          <w:rFonts w:hint="eastAsia" w:ascii="仿宋_GB2312" w:hAnsi="仿宋_GB2312" w:eastAsia="仿宋_GB2312" w:cs="仿宋_GB2312"/>
          <w:sz w:val="32"/>
          <w:szCs w:val="32"/>
          <w:lang w:eastAsia="zh-CN"/>
        </w:rPr>
        <w:t>十一部</w:t>
      </w:r>
      <w:r>
        <w:rPr>
          <w:rFonts w:hint="eastAsia" w:ascii="仿宋_GB2312" w:hAnsi="仿宋_GB2312" w:eastAsia="仿宋_GB2312" w:cs="仿宋_GB2312"/>
          <w:sz w:val="32"/>
          <w:szCs w:val="32"/>
        </w:rPr>
        <w:t>分组成</w:t>
      </w:r>
      <w:r>
        <w:rPr>
          <w:rFonts w:ascii="宋体" w:hAnsi="宋体" w:eastAsia="宋体" w:cs="宋体"/>
          <w:sz w:val="24"/>
          <w:szCs w:val="24"/>
        </w:rPr>
        <w:t>。</w:t>
      </w:r>
      <w:r>
        <w:rPr>
          <w:rFonts w:hint="eastAsia" w:ascii="仿宋_GB2312" w:hAnsi="仿宋_GB2312" w:eastAsia="仿宋_GB2312" w:cs="仿宋_GB2312"/>
          <w:sz w:val="32"/>
          <w:szCs w:val="32"/>
        </w:rPr>
        <w:t>本年度报告中所列数据的统计期限</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lang w:val="en-US" w:eastAsia="zh-CN"/>
        </w:rPr>
        <w:t>2018年1月1日起至2018年12月31日止。若有疑问或意见建议，可直接与彭阳县司法局办公室联系，地址：政务大厅509室；电话：0954-7012148；电子邮箱：sifaju5555@163.com。</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一、概述</w:t>
      </w:r>
    </w:p>
    <w:p>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年，在县委、县政府的领导和县政府信息公开工作的业务指导下，</w:t>
      </w:r>
      <w:r>
        <w:rPr>
          <w:rFonts w:hint="eastAsia" w:ascii="仿宋_GB2312" w:hAnsi="仿宋_GB2312" w:eastAsia="仿宋_GB2312" w:cs="仿宋_GB2312"/>
          <w:color w:val="auto"/>
          <w:sz w:val="32"/>
          <w:szCs w:val="32"/>
          <w:lang w:eastAsia="zh-CN"/>
        </w:rPr>
        <w:t>司法</w:t>
      </w:r>
      <w:r>
        <w:rPr>
          <w:rFonts w:hint="eastAsia" w:ascii="仿宋_GB2312" w:hAnsi="仿宋_GB2312" w:eastAsia="仿宋_GB2312" w:cs="仿宋_GB2312"/>
          <w:color w:val="auto"/>
          <w:sz w:val="32"/>
          <w:szCs w:val="32"/>
        </w:rPr>
        <w:t>局认真贯彻落实《</w:t>
      </w:r>
      <w:r>
        <w:rPr>
          <w:rFonts w:hint="eastAsia" w:ascii="仿宋_GB2312" w:hAnsi="仿宋_GB2312" w:eastAsia="仿宋_GB2312" w:cs="仿宋_GB2312"/>
          <w:color w:val="auto"/>
          <w:sz w:val="32"/>
          <w:szCs w:val="32"/>
          <w:lang w:eastAsia="zh-CN"/>
        </w:rPr>
        <w:t>中华人民共和国政府信息公开</w:t>
      </w:r>
      <w:r>
        <w:rPr>
          <w:rFonts w:hint="eastAsia" w:ascii="仿宋_GB2312" w:hAnsi="仿宋_GB2312" w:eastAsia="仿宋_GB2312" w:cs="仿宋_GB2312"/>
          <w:color w:val="auto"/>
          <w:sz w:val="32"/>
          <w:szCs w:val="32"/>
        </w:rPr>
        <w:t>条例》以打造开放型政府为动力，推进重点领域政府信息公开工作为抓手，以满足公众政府信息公开工作信息需求为导向，不断扩大公开范围，细化公开目录，深化公开内容，</w:t>
      </w:r>
      <w:r>
        <w:rPr>
          <w:rFonts w:hint="eastAsia" w:ascii="仿宋_GB2312" w:hAnsi="仿宋_GB2312" w:eastAsia="仿宋_GB2312" w:cs="仿宋_GB2312"/>
          <w:color w:val="auto"/>
          <w:sz w:val="32"/>
          <w:szCs w:val="32"/>
          <w:lang w:eastAsia="zh-CN"/>
        </w:rPr>
        <w:t>促使司法工作公开化、透明化。</w:t>
      </w:r>
    </w:p>
    <w:p>
      <w:pPr>
        <w:keepNext w:val="0"/>
        <w:keepLines w:val="0"/>
        <w:pageBreakBefore w:val="0"/>
        <w:widowControl w:val="0"/>
        <w:kinsoku/>
        <w:wordWrap/>
        <w:overflowPunct/>
        <w:topLinePunct w:val="0"/>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（一）组织领导不断加强。</w:t>
      </w:r>
      <w:r>
        <w:rPr>
          <w:rFonts w:hint="eastAsia" w:ascii="仿宋_GB2312" w:hAnsi="仿宋_GB2312" w:eastAsia="仿宋_GB2312" w:cs="仿宋_GB2312"/>
          <w:color w:val="auto"/>
          <w:sz w:val="32"/>
          <w:szCs w:val="32"/>
        </w:rPr>
        <w:t>局领导高度重视政府信息公开工作，设立了专人负责政府信息公开工作，切实做到了政府信息公开工作有人抓、有人管，为全面推进政府信息公开工作提供了坚强的组织保障。</w:t>
      </w:r>
    </w:p>
    <w:p>
      <w:pPr>
        <w:pStyle w:val="2"/>
        <w:keepNext w:val="0"/>
        <w:keepLines w:val="0"/>
        <w:pageBreakBefore w:val="0"/>
        <w:kinsoku/>
        <w:wordWrap/>
        <w:overflowPunct/>
        <w:topLinePunct w:val="0"/>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（二）载体建设不断夯实。</w:t>
      </w:r>
      <w:r>
        <w:rPr>
          <w:rFonts w:hint="eastAsia" w:ascii="仿宋_GB2312" w:hAnsi="仿宋_GB2312" w:eastAsia="仿宋_GB2312" w:cs="仿宋_GB2312"/>
          <w:color w:val="auto"/>
          <w:sz w:val="32"/>
          <w:szCs w:val="32"/>
        </w:rPr>
        <w:t>利用各门户网站，成为政府信息公开工作的主平台。</w:t>
      </w:r>
      <w:r>
        <w:rPr>
          <w:rFonts w:hint="eastAsia" w:ascii="仿宋_GB2312" w:hAnsi="仿宋_GB2312" w:eastAsia="仿宋_GB2312" w:cs="仿宋_GB2312"/>
          <w:color w:val="auto"/>
          <w:sz w:val="32"/>
          <w:szCs w:val="32"/>
          <w:lang w:eastAsia="zh-CN"/>
        </w:rPr>
        <w:t>除此之外，还搭建“彭阳司法微信公众平台”</w:t>
      </w:r>
      <w:r>
        <w:rPr>
          <w:rFonts w:hint="eastAsia" w:ascii="仿宋_GB2312" w:hAnsi="仿宋_GB2312" w:eastAsia="仿宋_GB2312" w:cs="仿宋_GB2312"/>
          <w:color w:val="auto"/>
          <w:sz w:val="32"/>
          <w:szCs w:val="32"/>
        </w:rPr>
        <w:t>落实专人定期发布和更新信息，重点公开了工作动态等群众普遍关心、社会普遍关注内容，切实保障了公众的知情权、参与权和监督权</w:t>
      </w:r>
      <w:r>
        <w:rPr>
          <w:rFonts w:hint="eastAsia" w:ascii="仿宋_GB2312" w:hAnsi="仿宋_GB2312" w:eastAsia="仿宋_GB2312" w:cs="仿宋_GB2312"/>
          <w:color w:val="auto"/>
          <w:sz w:val="32"/>
          <w:szCs w:val="32"/>
          <w:lang w:eastAsia="zh-CN"/>
        </w:rPr>
        <w:t>，同时针对群众提出的法律问题，专人负责一一解答，使群众足不出户便可享受到便捷的法律服务，推动公共法律服务从“最后一公里”到“零距离”。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二、主动公开政府信息情况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仿宋_GB2312" w:hAnsi="仿宋_GB2312" w:eastAsia="仿宋_GB2312" w:cs="仿宋_GB2312"/>
          <w:color w:val="auto"/>
          <w:kern w:val="0"/>
          <w:sz w:val="32"/>
          <w:szCs w:val="32"/>
          <w:lang w:eastAsia="zh-CN"/>
        </w:rPr>
      </w:pPr>
      <w:r>
        <w:rPr>
          <w:rFonts w:ascii="宋体" w:hAnsi="宋体" w:eastAsia="宋体" w:cs="宋体"/>
          <w:sz w:val="24"/>
          <w:szCs w:val="24"/>
        </w:rPr>
        <w:t xml:space="preserve"> </w:t>
      </w:r>
      <w:r>
        <w:rPr>
          <w:rFonts w:hint="eastAsia" w:ascii="仿宋_GB2312" w:hAnsi="仿宋_GB2312" w:eastAsia="仿宋_GB2312" w:cs="仿宋_GB2312"/>
          <w:sz w:val="32"/>
          <w:szCs w:val="32"/>
        </w:rPr>
        <w:t>完善平台信息，优化基层政务公开新渠道。</w:t>
      </w:r>
      <w:r>
        <w:rPr>
          <w:rFonts w:hint="eastAsia" w:ascii="仿宋_GB2312" w:hAnsi="仿宋_GB2312" w:eastAsia="仿宋_GB2312" w:cs="仿宋_GB2312"/>
          <w:sz w:val="32"/>
          <w:szCs w:val="32"/>
          <w:lang w:eastAsia="zh-CN"/>
        </w:rPr>
        <w:t>严格按照“五公开”要求</w:t>
      </w:r>
      <w:r>
        <w:rPr>
          <w:rFonts w:hint="eastAsia" w:ascii="仿宋_GB2312" w:hAnsi="仿宋_GB2312" w:eastAsia="仿宋_GB2312" w:cs="仿宋_GB2312"/>
          <w:sz w:val="32"/>
          <w:szCs w:val="32"/>
        </w:rPr>
        <w:t>，持续在“彭阳政务网”、“彭阳</w:t>
      </w:r>
      <w:r>
        <w:rPr>
          <w:rFonts w:hint="eastAsia" w:ascii="仿宋_GB2312" w:hAnsi="仿宋_GB2312" w:eastAsia="仿宋_GB2312" w:cs="仿宋_GB2312"/>
          <w:sz w:val="32"/>
          <w:szCs w:val="32"/>
          <w:lang w:eastAsia="zh-CN"/>
        </w:rPr>
        <w:t>司法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微信公众号</w:t>
      </w:r>
      <w:r>
        <w:rPr>
          <w:rFonts w:hint="eastAsia" w:ascii="仿宋_GB2312" w:hAnsi="仿宋_GB2312" w:eastAsia="仿宋_GB2312" w:cs="仿宋_GB2312"/>
          <w:sz w:val="32"/>
          <w:szCs w:val="32"/>
        </w:rPr>
        <w:t>、“彭阳</w:t>
      </w:r>
      <w:r>
        <w:rPr>
          <w:rFonts w:hint="eastAsia" w:ascii="仿宋_GB2312" w:hAnsi="仿宋_GB2312" w:eastAsia="仿宋_GB2312" w:cs="仿宋_GB2312"/>
          <w:sz w:val="32"/>
          <w:szCs w:val="32"/>
          <w:lang w:eastAsia="zh-CN"/>
        </w:rPr>
        <w:t>司法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微博</w:t>
      </w:r>
      <w:r>
        <w:rPr>
          <w:rFonts w:hint="eastAsia" w:ascii="仿宋_GB2312" w:hAnsi="仿宋_GB2312" w:eastAsia="仿宋_GB2312" w:cs="仿宋_GB2312"/>
          <w:sz w:val="32"/>
          <w:szCs w:val="32"/>
        </w:rPr>
        <w:t>等平台发布</w:t>
      </w:r>
      <w:r>
        <w:rPr>
          <w:rFonts w:hint="eastAsia" w:ascii="仿宋_GB2312" w:hAnsi="仿宋_GB2312" w:eastAsia="仿宋_GB2312" w:cs="仿宋_GB2312"/>
          <w:sz w:val="32"/>
          <w:szCs w:val="32"/>
          <w:lang w:eastAsia="zh-CN"/>
        </w:rPr>
        <w:t>相</w:t>
      </w:r>
      <w:r>
        <w:rPr>
          <w:rFonts w:hint="eastAsia" w:ascii="仿宋_GB2312" w:hAnsi="仿宋_GB2312" w:eastAsia="仿宋_GB2312" w:cs="仿宋_GB2312"/>
          <w:sz w:val="32"/>
          <w:szCs w:val="32"/>
        </w:rPr>
        <w:t>关政策文件及信息。2018 年公开各类信息</w:t>
      </w:r>
      <w:r>
        <w:rPr>
          <w:rFonts w:hint="eastAsia" w:ascii="仿宋_GB2312" w:hAnsi="仿宋_GB2312" w:eastAsia="仿宋_GB2312" w:cs="仿宋_GB2312"/>
          <w:sz w:val="32"/>
          <w:szCs w:val="32"/>
          <w:lang w:val="en-US" w:eastAsia="zh-CN"/>
        </w:rPr>
        <w:t>163</w:t>
      </w:r>
      <w:r>
        <w:rPr>
          <w:rFonts w:hint="eastAsia" w:ascii="仿宋_GB2312" w:hAnsi="仿宋_GB2312" w:eastAsia="仿宋_GB2312" w:cs="仿宋_GB2312"/>
          <w:sz w:val="32"/>
          <w:szCs w:val="32"/>
        </w:rPr>
        <w:t>条，其中，</w:t>
      </w:r>
      <w:r>
        <w:rPr>
          <w:rFonts w:hint="eastAsia" w:ascii="仿宋_GB2312" w:hAnsi="仿宋_GB2312" w:eastAsia="仿宋_GB2312" w:cs="仿宋_GB2312"/>
          <w:color w:val="auto"/>
          <w:kern w:val="0"/>
          <w:sz w:val="32"/>
          <w:szCs w:val="32"/>
          <w:lang w:val="en-US" w:eastAsia="zh-CN"/>
        </w:rPr>
        <w:t>主动公开规范性文件数20条，在</w:t>
      </w:r>
      <w:r>
        <w:rPr>
          <w:rFonts w:hint="eastAsia" w:ascii="仿宋_GB2312" w:hAnsi="仿宋_GB2312" w:eastAsia="仿宋_GB2312" w:cs="仿宋_GB2312"/>
          <w:sz w:val="32"/>
          <w:szCs w:val="32"/>
        </w:rPr>
        <w:t>“彭阳</w:t>
      </w:r>
      <w:r>
        <w:rPr>
          <w:rFonts w:hint="eastAsia" w:ascii="仿宋_GB2312" w:hAnsi="仿宋_GB2312" w:eastAsia="仿宋_GB2312" w:cs="仿宋_GB2312"/>
          <w:sz w:val="32"/>
          <w:szCs w:val="32"/>
          <w:lang w:eastAsia="zh-CN"/>
        </w:rPr>
        <w:t>司法</w:t>
      </w:r>
      <w:r>
        <w:rPr>
          <w:rFonts w:hint="eastAsia" w:ascii="仿宋_GB2312" w:hAnsi="仿宋_GB2312" w:eastAsia="仿宋_GB2312" w:cs="仿宋_GB2312"/>
          <w:sz w:val="32"/>
          <w:szCs w:val="32"/>
        </w:rPr>
        <w:t>”微信公众号发布信息</w:t>
      </w:r>
      <w:r>
        <w:rPr>
          <w:rFonts w:hint="eastAsia" w:ascii="仿宋_GB2312" w:hAnsi="仿宋_GB2312" w:eastAsia="仿宋_GB2312" w:cs="仿宋_GB2312"/>
          <w:sz w:val="32"/>
          <w:szCs w:val="32"/>
          <w:lang w:val="en-US" w:eastAsia="zh-CN"/>
        </w:rPr>
        <w:t>153</w:t>
      </w:r>
      <w:r>
        <w:rPr>
          <w:rFonts w:hint="eastAsia" w:ascii="仿宋_GB2312" w:hAnsi="仿宋_GB2312" w:eastAsia="仿宋_GB2312" w:cs="仿宋_GB2312"/>
          <w:sz w:val="32"/>
          <w:szCs w:val="32"/>
        </w:rPr>
        <w:t>条。</w:t>
      </w:r>
      <w:r>
        <w:rPr>
          <w:rFonts w:hint="eastAsia" w:ascii="仿宋_GB2312" w:hAnsi="仿宋_GB2312" w:eastAsia="仿宋_GB2312" w:cs="仿宋_GB2312"/>
          <w:color w:val="auto"/>
          <w:kern w:val="0"/>
          <w:sz w:val="32"/>
          <w:szCs w:val="32"/>
          <w:lang w:val="en-US" w:eastAsia="zh-CN"/>
        </w:rPr>
        <w:t>2018年度</w:t>
      </w:r>
      <w:r>
        <w:rPr>
          <w:rFonts w:hint="eastAsia" w:ascii="仿宋_GB2312" w:hAnsi="仿宋_GB2312" w:eastAsia="仿宋_GB2312" w:cs="仿宋_GB2312"/>
          <w:color w:val="auto"/>
          <w:sz w:val="32"/>
          <w:szCs w:val="32"/>
          <w:lang w:val="en-US" w:eastAsia="zh-CN"/>
        </w:rPr>
        <w:t>其他方式公开政府信息数10条，</w:t>
      </w:r>
      <w:r>
        <w:rPr>
          <w:rFonts w:hint="eastAsia" w:ascii="仿宋_GB2312" w:hAnsi="仿宋_GB2312" w:eastAsia="仿宋_GB2312" w:cs="仿宋_GB2312"/>
          <w:color w:val="auto"/>
          <w:kern w:val="0"/>
          <w:sz w:val="32"/>
          <w:szCs w:val="32"/>
        </w:rPr>
        <w:t>未发生违规泄密行为</w:t>
      </w:r>
      <w:r>
        <w:rPr>
          <w:rFonts w:hint="eastAsia" w:ascii="仿宋_GB2312" w:hAnsi="仿宋_GB2312" w:eastAsia="仿宋_GB2312" w:cs="仿宋_GB2312"/>
          <w:color w:val="auto"/>
          <w:kern w:val="0"/>
          <w:sz w:val="32"/>
          <w:szCs w:val="32"/>
          <w:lang w:eastAsia="zh-CN"/>
        </w:rPr>
        <w:t>。</w:t>
      </w:r>
    </w:p>
    <w:p>
      <w:pPr>
        <w:pStyle w:val="4"/>
        <w:keepNext w:val="0"/>
        <w:keepLines w:val="0"/>
        <w:pageBreakBefore w:val="0"/>
        <w:widowControl/>
        <w:numPr>
          <w:ilvl w:val="0"/>
          <w:numId w:val="0"/>
        </w:numPr>
        <w:suppressLineNumbers w:val="0"/>
        <w:tabs>
          <w:tab w:val="left" w:pos="1153"/>
        </w:tabs>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三、重点领域政府信息公开工作情况</w:t>
      </w:r>
    </w:p>
    <w:p>
      <w:pPr>
        <w:pStyle w:val="4"/>
        <w:keepNext w:val="0"/>
        <w:keepLines w:val="0"/>
        <w:pageBreakBefore w:val="0"/>
        <w:widowControl/>
        <w:numPr>
          <w:ilvl w:val="0"/>
          <w:numId w:val="0"/>
        </w:numPr>
        <w:suppressLineNumbers w:val="0"/>
        <w:tabs>
          <w:tab w:val="left" w:pos="1153"/>
        </w:tabs>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司法局</w:t>
      </w:r>
      <w:r>
        <w:rPr>
          <w:rFonts w:hint="eastAsia" w:ascii="仿宋_GB2312" w:hAnsi="仿宋_GB2312" w:eastAsia="仿宋_GB2312" w:cs="仿宋_GB2312"/>
          <w:sz w:val="32"/>
          <w:szCs w:val="32"/>
        </w:rPr>
        <w:t>政府信息公开工作始终坚持相对稳定的政府信息长期公开、阶段性信息定期公开、临时性信息随时公开原则；丰富政务信息公开载体，除涉及国家秘密、商业秘密、个人隐私以及可能危及经济社会安全以外的政府信息都努力做到主动公开。积极听取各方面意见，及时公开反馈意见、决策执行的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了信息发布权威、准确、全面。并加大公文类信息公开力度，将新出台的重要制度、行政事务，党务、财务管理办法及三公经费及时公开。为方便群众办事，设立投诉、举报、监督电话和意见箱，接受群众的监督。</w:t>
      </w:r>
    </w:p>
    <w:p>
      <w:pPr>
        <w:pStyle w:val="4"/>
        <w:keepNext w:val="0"/>
        <w:keepLines w:val="0"/>
        <w:pageBreakBefore w:val="0"/>
        <w:widowControl/>
        <w:numPr>
          <w:ilvl w:val="0"/>
          <w:numId w:val="0"/>
        </w:numPr>
        <w:suppressLineNumbers w:val="0"/>
        <w:tabs>
          <w:tab w:val="left" w:pos="475"/>
          <w:tab w:val="left" w:pos="1153"/>
        </w:tabs>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四、各级人大代表建议、政策填办理结果公开情况</w:t>
      </w:r>
    </w:p>
    <w:p>
      <w:pPr>
        <w:pStyle w:val="4"/>
        <w:keepNext w:val="0"/>
        <w:keepLines w:val="0"/>
        <w:pageBreakBefore w:val="0"/>
        <w:widowControl/>
        <w:numPr>
          <w:ilvl w:val="0"/>
          <w:numId w:val="0"/>
        </w:numPr>
        <w:suppressLineNumbers w:val="0"/>
        <w:tabs>
          <w:tab w:val="left" w:pos="1153"/>
        </w:tabs>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五、开展政策解读情况</w:t>
      </w:r>
    </w:p>
    <w:p>
      <w:pPr>
        <w:pStyle w:val="4"/>
        <w:keepNext w:val="0"/>
        <w:keepLines w:val="0"/>
        <w:pageBreakBefore w:val="0"/>
        <w:widowControl/>
        <w:numPr>
          <w:ilvl w:val="0"/>
          <w:numId w:val="0"/>
        </w:numPr>
        <w:suppressLineNumbers w:val="0"/>
        <w:tabs>
          <w:tab w:val="left" w:pos="1153"/>
        </w:tabs>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建立政策解读机制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精心编写解读材料，提高解读效率，切实保障人民群众的知情权</w:t>
      </w:r>
    </w:p>
    <w:p>
      <w:pPr>
        <w:pStyle w:val="4"/>
        <w:keepNext w:val="0"/>
        <w:keepLines w:val="0"/>
        <w:pageBreakBefore w:val="0"/>
        <w:widowControl/>
        <w:numPr>
          <w:ilvl w:val="0"/>
          <w:numId w:val="0"/>
        </w:numPr>
        <w:suppressLineNumbers w:val="0"/>
        <w:tabs>
          <w:tab w:val="left" w:pos="1153"/>
        </w:tabs>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六、回应社会关切情况</w:t>
      </w:r>
    </w:p>
    <w:p>
      <w:pPr>
        <w:pStyle w:val="4"/>
        <w:keepNext w:val="0"/>
        <w:keepLines w:val="0"/>
        <w:pageBreakBefore w:val="0"/>
        <w:widowControl/>
        <w:numPr>
          <w:ilvl w:val="0"/>
          <w:numId w:val="0"/>
        </w:numPr>
        <w:suppressLineNumbers w:val="0"/>
        <w:tabs>
          <w:tab w:val="left" w:pos="1153"/>
        </w:tabs>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建立健全政务舆情、突发公共事件等热点信息回应机制，密切监测政府网站、政务新媒体信息发布内容，及早发现、及时化解苗头性政务舆情，进一步强化政务舆情回应工作，及时回复“彭阳</w:t>
      </w:r>
      <w:r>
        <w:rPr>
          <w:rFonts w:hint="eastAsia" w:ascii="仿宋_GB2312" w:hAnsi="仿宋_GB2312" w:eastAsia="仿宋_GB2312" w:cs="仿宋_GB2312"/>
          <w:sz w:val="32"/>
          <w:szCs w:val="32"/>
          <w:lang w:eastAsia="zh-CN"/>
        </w:rPr>
        <w:t>司法</w:t>
      </w:r>
      <w:r>
        <w:rPr>
          <w:rFonts w:hint="eastAsia" w:ascii="仿宋_GB2312" w:hAnsi="仿宋_GB2312" w:eastAsia="仿宋_GB2312" w:cs="仿宋_GB2312"/>
          <w:sz w:val="32"/>
          <w:szCs w:val="32"/>
        </w:rPr>
        <w:t>”公众号各类咨询信息。</w:t>
      </w:r>
    </w:p>
    <w:p>
      <w:pPr>
        <w:pStyle w:val="4"/>
        <w:keepNext w:val="0"/>
        <w:keepLines w:val="0"/>
        <w:pageBreakBefore w:val="0"/>
        <w:widowControl/>
        <w:numPr>
          <w:ilvl w:val="0"/>
          <w:numId w:val="0"/>
        </w:numPr>
        <w:suppressLineNumbers w:val="0"/>
        <w:tabs>
          <w:tab w:val="left" w:pos="1153"/>
        </w:tabs>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 xml:space="preserve">七、政府信息依申请公开工作情况 </w:t>
      </w:r>
    </w:p>
    <w:p>
      <w:pPr>
        <w:pStyle w:val="4"/>
        <w:keepNext w:val="0"/>
        <w:keepLines w:val="0"/>
        <w:pageBreakBefore w:val="0"/>
        <w:widowControl/>
        <w:numPr>
          <w:ilvl w:val="0"/>
          <w:numId w:val="0"/>
        </w:numPr>
        <w:suppressLineNumbers w:val="0"/>
        <w:tabs>
          <w:tab w:val="left" w:pos="1153"/>
        </w:tabs>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依法依规开展政府依申请公开工作，不断完善依申请公开政府信息的受理程序，对涉及国家秘密、商业秘密、个人隐私以及公开后可能危及国家安全、公共安全、经济安全、 社会稳定的依申请公开政府信息不予公开，并及时答复信息申请人。全年未收到政府信息公开申请书，也未收到因政府信息公开引起的行政复议和行政诉讼案件及举报投诉。</w:t>
      </w:r>
    </w:p>
    <w:p>
      <w:pPr>
        <w:pStyle w:val="4"/>
        <w:keepNext w:val="0"/>
        <w:keepLines w:val="0"/>
        <w:pageBreakBefore w:val="0"/>
        <w:widowControl/>
        <w:numPr>
          <w:ilvl w:val="0"/>
          <w:numId w:val="1"/>
        </w:numPr>
        <w:suppressLineNumbers w:val="0"/>
        <w:tabs>
          <w:tab w:val="left" w:pos="1153"/>
        </w:tabs>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公开平台载体建设和运维情况</w:t>
      </w:r>
    </w:p>
    <w:p>
      <w:pPr>
        <w:pStyle w:val="4"/>
        <w:keepNext w:val="0"/>
        <w:keepLines w:val="0"/>
        <w:pageBreakBefore w:val="0"/>
        <w:widowControl/>
        <w:numPr>
          <w:ilvl w:val="0"/>
          <w:numId w:val="0"/>
        </w:numPr>
        <w:suppressLineNumbers w:val="0"/>
        <w:tabs>
          <w:tab w:val="left" w:pos="1153"/>
        </w:tabs>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 年度建设完善“彭阳</w:t>
      </w:r>
      <w:r>
        <w:rPr>
          <w:rFonts w:hint="eastAsia" w:ascii="仿宋_GB2312" w:hAnsi="仿宋_GB2312" w:eastAsia="仿宋_GB2312" w:cs="仿宋_GB2312"/>
          <w:sz w:val="32"/>
          <w:szCs w:val="32"/>
          <w:lang w:eastAsia="zh-CN"/>
        </w:rPr>
        <w:t>司法</w:t>
      </w:r>
      <w:r>
        <w:rPr>
          <w:rFonts w:hint="eastAsia" w:ascii="仿宋_GB2312" w:hAnsi="仿宋_GB2312" w:eastAsia="仿宋_GB2312" w:cs="仿宋_GB2312"/>
          <w:sz w:val="32"/>
          <w:szCs w:val="32"/>
        </w:rPr>
        <w:t>”微信公众号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“彭阳</w:t>
      </w:r>
      <w:r>
        <w:rPr>
          <w:rFonts w:hint="eastAsia" w:ascii="仿宋_GB2312" w:hAnsi="仿宋_GB2312" w:eastAsia="仿宋_GB2312" w:cs="仿宋_GB2312"/>
          <w:sz w:val="32"/>
          <w:szCs w:val="32"/>
          <w:lang w:eastAsia="zh-CN"/>
        </w:rPr>
        <w:t>司法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公众</w:t>
      </w:r>
      <w:r>
        <w:rPr>
          <w:rFonts w:hint="eastAsia" w:ascii="仿宋_GB2312" w:hAnsi="仿宋_GB2312" w:eastAsia="仿宋_GB2312" w:cs="仿宋_GB2312"/>
          <w:sz w:val="32"/>
          <w:szCs w:val="32"/>
        </w:rPr>
        <w:t>号全年不间断公开政府信息，让社会公众更好了解、监督、关心和支持</w:t>
      </w:r>
      <w:r>
        <w:rPr>
          <w:rFonts w:hint="eastAsia" w:ascii="仿宋_GB2312" w:hAnsi="仿宋_GB2312" w:eastAsia="仿宋_GB2312" w:cs="仿宋_GB2312"/>
          <w:sz w:val="32"/>
          <w:szCs w:val="32"/>
          <w:lang w:eastAsia="zh-CN"/>
        </w:rPr>
        <w:t>司法</w:t>
      </w:r>
      <w:r>
        <w:rPr>
          <w:rFonts w:hint="eastAsia" w:ascii="仿宋_GB2312" w:hAnsi="仿宋_GB2312" w:eastAsia="仿宋_GB2312" w:cs="仿宋_GB2312"/>
          <w:sz w:val="32"/>
          <w:szCs w:val="32"/>
        </w:rPr>
        <w:t>工作。</w:t>
      </w:r>
    </w:p>
    <w:p>
      <w:pPr>
        <w:pStyle w:val="4"/>
        <w:keepNext w:val="0"/>
        <w:keepLines w:val="0"/>
        <w:pageBreakBefore w:val="0"/>
        <w:widowControl/>
        <w:numPr>
          <w:ilvl w:val="0"/>
          <w:numId w:val="1"/>
        </w:numPr>
        <w:suppressLineNumbers w:val="0"/>
        <w:tabs>
          <w:tab w:val="left" w:pos="1153"/>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完善公开制度机制建设情况</w:t>
      </w:r>
    </w:p>
    <w:p>
      <w:pPr>
        <w:pStyle w:val="4"/>
        <w:keepNext w:val="0"/>
        <w:keepLines w:val="0"/>
        <w:pageBreakBefore w:val="0"/>
        <w:widowControl/>
        <w:numPr>
          <w:ilvl w:val="0"/>
          <w:numId w:val="0"/>
        </w:numPr>
        <w:suppressLineNumbers w:val="0"/>
        <w:tabs>
          <w:tab w:val="left" w:pos="1153"/>
        </w:tabs>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outlineLvl w:val="9"/>
        <w:rPr>
          <w:rFonts w:hint="eastAsia" w:ascii="黑体" w:hAnsi="黑体" w:eastAsia="黑体" w:cs="黑体"/>
          <w:color w:val="auto"/>
          <w:kern w:val="2"/>
          <w:sz w:val="32"/>
          <w:szCs w:val="32"/>
          <w:lang w:val="en-US" w:eastAsia="zh-CN" w:bidi="ar-SA"/>
        </w:rPr>
      </w:pPr>
      <w:r>
        <w:rPr>
          <w:rFonts w:hint="eastAsia" w:ascii="仿宋_GB2312" w:hAnsi="仿宋_GB2312" w:eastAsia="仿宋_GB2312" w:cs="仿宋_GB2312"/>
          <w:sz w:val="32"/>
          <w:szCs w:val="32"/>
        </w:rPr>
        <w:t>编制完成政务公开事项清单、标准目录和负面清单，明确了政务公开工作流程</w:t>
      </w:r>
      <w:r>
        <w:rPr>
          <w:rFonts w:hint="eastAsia" w:ascii="仿宋_GB2312" w:hAnsi="仿宋_GB2312" w:eastAsia="仿宋_GB2312" w:cs="仿宋_GB2312"/>
          <w:sz w:val="32"/>
          <w:szCs w:val="32"/>
          <w:lang w:eastAsia="zh-CN"/>
        </w:rPr>
        <w:t>，完善政务公开工作机制</w:t>
      </w:r>
      <w:r>
        <w:rPr>
          <w:rFonts w:hint="eastAsia" w:ascii="仿宋_GB2312" w:hAnsi="仿宋_GB2312" w:eastAsia="仿宋_GB2312" w:cs="仿宋_GB2312"/>
          <w:sz w:val="32"/>
          <w:szCs w:val="32"/>
        </w:rPr>
        <w:t>，夯实了政务公开工作基础。</w:t>
      </w:r>
    </w:p>
    <w:p>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十、</w:t>
      </w:r>
      <w:r>
        <w:rPr>
          <w:rFonts w:hint="eastAsia" w:ascii="黑体" w:hAnsi="黑体" w:eastAsia="黑体" w:cs="黑体"/>
          <w:color w:val="auto"/>
          <w:sz w:val="32"/>
          <w:szCs w:val="32"/>
          <w:lang w:val="en-US" w:eastAsia="zh-CN"/>
        </w:rPr>
        <w:t>2018年政务公开工作存在的主要问题与不足，及开展2019年工作的初步计划安排</w:t>
      </w:r>
    </w:p>
    <w:p>
      <w:pPr>
        <w:keepNext w:val="0"/>
        <w:keepLines w:val="0"/>
        <w:pageBreakBefore w:val="0"/>
        <w:widowControl w:val="0"/>
        <w:kinsoku/>
        <w:wordWrap/>
        <w:overflowPunct/>
        <w:topLinePunct w:val="0"/>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（一）主要问题</w:t>
      </w:r>
    </w:p>
    <w:p>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一是各股室对政府信息公开工作的重要性认识不到位，主动公开、积极公开政府信息公开工作的意识有待进一步加强。二是政府信息公开工作仍然存在着内容简单、形式单一的现象，主动公开的政府信息公开工作与公众的需求还存在一些差距。</w:t>
      </w:r>
    </w:p>
    <w:p>
      <w:pPr>
        <w:keepNext w:val="0"/>
        <w:keepLines w:val="0"/>
        <w:pageBreakBefore w:val="0"/>
        <w:widowControl w:val="0"/>
        <w:kinsoku/>
        <w:wordWrap/>
        <w:overflowPunct/>
        <w:topLinePunct w:val="0"/>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w:t>
      </w:r>
      <w:r>
        <w:rPr>
          <w:rFonts w:hint="eastAsia" w:ascii="仿宋_GB2312" w:hAnsi="仿宋_GB2312" w:eastAsia="仿宋_GB2312" w:cs="仿宋_GB2312"/>
          <w:b/>
          <w:bCs/>
          <w:color w:val="auto"/>
          <w:sz w:val="32"/>
          <w:szCs w:val="32"/>
          <w:lang w:eastAsia="zh-CN"/>
        </w:rPr>
        <w:t>下一步</w:t>
      </w:r>
      <w:r>
        <w:rPr>
          <w:rFonts w:hint="eastAsia" w:ascii="仿宋_GB2312" w:hAnsi="仿宋_GB2312" w:eastAsia="仿宋_GB2312" w:cs="仿宋_GB2312"/>
          <w:b/>
          <w:bCs/>
          <w:color w:val="auto"/>
          <w:sz w:val="32"/>
          <w:szCs w:val="32"/>
        </w:rPr>
        <w:t>工作打算</w:t>
      </w:r>
    </w:p>
    <w:p>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下一步，我们将严格按照省、市、县关于建设开放型政府的相关要求，进一步深化政府信息公开工作，重点做好以下工作。</w:t>
      </w:r>
    </w:p>
    <w:p>
      <w:pPr>
        <w:keepNext w:val="0"/>
        <w:keepLines w:val="0"/>
        <w:pageBreakBefore w:val="0"/>
        <w:widowControl w:val="0"/>
        <w:kinsoku/>
        <w:wordWrap/>
        <w:overflowPunct/>
        <w:topLinePunct w:val="0"/>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一是创新政府信息公开工作管理机制。</w:t>
      </w:r>
      <w:r>
        <w:rPr>
          <w:rFonts w:hint="eastAsia" w:ascii="仿宋_GB2312" w:hAnsi="仿宋_GB2312" w:eastAsia="仿宋_GB2312" w:cs="仿宋_GB2312"/>
          <w:color w:val="auto"/>
          <w:sz w:val="32"/>
          <w:szCs w:val="32"/>
        </w:rPr>
        <w:t>对政府信息公开工作的保密机制、协调机制、监督保障机制等方面进行详细规范，使政府信息公开工作各个方面、各个环节都有规可依、有章可循；强化政府信息公开工作考核制度、社会评议制度和责任追究制度，以强有力的举措推进信息公开工作。</w:t>
      </w:r>
    </w:p>
    <w:p>
      <w:pPr>
        <w:keepNext w:val="0"/>
        <w:keepLines w:val="0"/>
        <w:pageBreakBefore w:val="0"/>
        <w:widowControl w:val="0"/>
        <w:kinsoku/>
        <w:wordWrap/>
        <w:overflowPunct/>
        <w:topLinePunct w:val="0"/>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二是加强组织保障。</w:t>
      </w:r>
      <w:r>
        <w:rPr>
          <w:rFonts w:hint="eastAsia" w:ascii="仿宋_GB2312" w:hAnsi="仿宋_GB2312" w:eastAsia="仿宋_GB2312" w:cs="仿宋_GB2312"/>
          <w:color w:val="auto"/>
          <w:sz w:val="32"/>
          <w:szCs w:val="32"/>
        </w:rPr>
        <w:t>强化对具体工作人员的教育培训，逐步建立一支专业化、专职化的工作队伍。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十一、其他需要报告的事项</w:t>
      </w:r>
    </w:p>
    <w:p>
      <w:pPr>
        <w:keepNext w:val="0"/>
        <w:keepLines w:val="0"/>
        <w:pageBreakBefore w:val="0"/>
        <w:widowControl w:val="0"/>
        <w:numPr>
          <w:ilvl w:val="0"/>
          <w:numId w:val="0"/>
        </w:numPr>
        <w:kinsoku/>
        <w:wordWrap/>
        <w:overflowPunct/>
        <w:topLinePunct w:val="0"/>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无。</w:t>
      </w:r>
    </w:p>
    <w:p>
      <w:pP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附件：政府信息公开情况统计表（</w:t>
      </w:r>
      <w:r>
        <w:rPr>
          <w:rFonts w:hint="eastAsia" w:ascii="仿宋_GB2312" w:hAnsi="仿宋_GB2312" w:eastAsia="仿宋_GB2312" w:cs="仿宋_GB2312"/>
          <w:color w:val="auto"/>
          <w:sz w:val="32"/>
          <w:szCs w:val="32"/>
          <w:lang w:val="en-US" w:eastAsia="zh-CN"/>
        </w:rPr>
        <w:t>2018年度</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80" w:firstLineChars="100"/>
        <w:jc w:val="left"/>
        <w:outlineLvl w:val="9"/>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填报单位（盖章）</w:t>
      </w:r>
      <w:r>
        <w:rPr>
          <w:rFonts w:hint="eastAsia" w:eastAsia="仿宋_GB2312" w:cs="Times New Roman"/>
          <w:color w:val="auto"/>
          <w:sz w:val="28"/>
          <w:szCs w:val="28"/>
          <w:lang w:val="en-US" w:eastAsia="zh-CN"/>
        </w:rPr>
        <w:t>：彭阳县司法局</w:t>
      </w:r>
    </w:p>
    <w:tbl>
      <w:tblPr>
        <w:tblStyle w:val="5"/>
        <w:tblW w:w="856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EEECE1"/>
        <w:tblLayout w:type="fixed"/>
        <w:tblCellMar>
          <w:top w:w="15" w:type="dxa"/>
          <w:left w:w="15" w:type="dxa"/>
          <w:bottom w:w="15" w:type="dxa"/>
          <w:right w:w="15" w:type="dxa"/>
        </w:tblCellMar>
      </w:tblPr>
      <w:tblGrid>
        <w:gridCol w:w="6714"/>
        <w:gridCol w:w="765"/>
        <w:gridCol w:w="1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EEECE1"/>
          <w:tblLayout w:type="fixed"/>
          <w:tblCellMar>
            <w:top w:w="15" w:type="dxa"/>
            <w:left w:w="15" w:type="dxa"/>
            <w:bottom w:w="15" w:type="dxa"/>
            <w:right w:w="15" w:type="dxa"/>
          </w:tblCellMar>
        </w:tblPrEx>
        <w:trPr>
          <w:trHeight w:val="537"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统</w:t>
            </w:r>
            <w:r>
              <w:rPr>
                <w:rStyle w:val="8"/>
                <w:rFonts w:hint="default" w:ascii="Times New Roman" w:hAnsi="Times New Roman" w:eastAsia="黑体" w:cs="Times New Roman"/>
                <w:color w:val="auto"/>
                <w:sz w:val="28"/>
                <w:szCs w:val="28"/>
                <w:lang w:bidi="ar"/>
              </w:rPr>
              <w:t xml:space="preserve">  </w:t>
            </w:r>
            <w:r>
              <w:rPr>
                <w:rStyle w:val="9"/>
                <w:rFonts w:hint="default" w:ascii="Times New Roman" w:hAnsi="Times New Roman" w:cs="Times New Roman"/>
                <w:color w:val="auto"/>
                <w:sz w:val="28"/>
                <w:szCs w:val="28"/>
                <w:lang w:bidi="ar"/>
              </w:rPr>
              <w:t>计</w:t>
            </w:r>
            <w:r>
              <w:rPr>
                <w:rStyle w:val="8"/>
                <w:rFonts w:hint="default" w:ascii="Times New Roman" w:hAnsi="Times New Roman" w:eastAsia="黑体" w:cs="Times New Roman"/>
                <w:color w:val="auto"/>
                <w:sz w:val="28"/>
                <w:szCs w:val="28"/>
                <w:lang w:bidi="ar"/>
              </w:rPr>
              <w:t xml:space="preserve">  </w:t>
            </w:r>
            <w:r>
              <w:rPr>
                <w:rStyle w:val="9"/>
                <w:rFonts w:hint="default" w:ascii="Times New Roman" w:hAnsi="Times New Roman" w:cs="Times New Roman"/>
                <w:color w:val="auto"/>
                <w:sz w:val="28"/>
                <w:szCs w:val="28"/>
                <w:lang w:bidi="ar"/>
              </w:rPr>
              <w:t>指</w:t>
            </w:r>
            <w:r>
              <w:rPr>
                <w:rStyle w:val="8"/>
                <w:rFonts w:hint="default" w:ascii="Times New Roman" w:hAnsi="Times New Roman" w:eastAsia="黑体" w:cs="Times New Roman"/>
                <w:color w:val="auto"/>
                <w:sz w:val="28"/>
                <w:szCs w:val="28"/>
                <w:lang w:bidi="ar"/>
              </w:rPr>
              <w:t xml:space="preserve">  </w:t>
            </w:r>
            <w:r>
              <w:rPr>
                <w:rStyle w:val="9"/>
                <w:rFonts w:hint="default" w:ascii="Times New Roman" w:hAnsi="Times New Roman" w:cs="Times New Roman"/>
                <w:color w:val="auto"/>
                <w:sz w:val="28"/>
                <w:szCs w:val="28"/>
                <w:lang w:bidi="ar"/>
              </w:rPr>
              <w:t>标</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单位</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汇总数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jc w:val="center"/>
        </w:trPr>
        <w:tc>
          <w:tcPr>
            <w:tcW w:w="6714" w:type="dxa"/>
            <w:shd w:val="clear" w:color="auto" w:fill="FFFFFF"/>
            <w:vAlign w:val="bottom"/>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bottom"/>
              <w:outlineLvl w:val="9"/>
              <w:rPr>
                <w:rFonts w:hint="default" w:ascii="Times New Roman" w:hAnsi="Times New Roman" w:eastAsia="仿宋_GB2312" w:cs="Times New Roman"/>
                <w:color w:val="auto"/>
                <w:sz w:val="28"/>
                <w:szCs w:val="28"/>
              </w:rPr>
            </w:pPr>
            <w:r>
              <w:rPr>
                <w:rFonts w:hint="eastAsia" w:ascii="黑体" w:hAnsi="黑体" w:eastAsia="黑体" w:cs="黑体"/>
                <w:color w:val="auto"/>
                <w:kern w:val="0"/>
                <w:sz w:val="28"/>
                <w:szCs w:val="28"/>
                <w:lang w:bidi="ar"/>
              </w:rPr>
              <w:t>一、主动公开情况</w:t>
            </w:r>
          </w:p>
        </w:tc>
        <w:tc>
          <w:tcPr>
            <w:tcW w:w="765" w:type="dxa"/>
            <w:shd w:val="clear" w:color="auto" w:fill="FFFFFF"/>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outlineLvl w:val="9"/>
              <w:rPr>
                <w:rFonts w:hint="default" w:ascii="Times New Roman" w:hAnsi="Times New Roman" w:eastAsia="仿宋_GB2312" w:cs="Times New Roman"/>
                <w:color w:val="auto"/>
                <w:sz w:val="24"/>
              </w:rPr>
            </w:pP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outlineLvl w:val="9"/>
              <w:rPr>
                <w:rFonts w:hint="default" w:ascii="Times New Roman" w:hAnsi="Times New Roman" w:eastAsia="仿宋_GB2312"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80"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center"/>
              <w:outlineLvl w:val="9"/>
              <w:rPr>
                <w:rFonts w:hint="default" w:ascii="Times New Roman" w:hAnsi="Times New Roman" w:eastAsia="仿宋_GB2312" w:cs="Times New Roman"/>
                <w:color w:val="auto"/>
                <w:sz w:val="28"/>
                <w:szCs w:val="28"/>
              </w:rPr>
            </w:pPr>
            <w:r>
              <w:rPr>
                <w:rFonts w:hint="eastAsia" w:ascii="楷体" w:hAnsi="楷体" w:eastAsia="楷体" w:cs="楷体"/>
                <w:color w:val="auto"/>
                <w:kern w:val="0"/>
                <w:sz w:val="28"/>
                <w:szCs w:val="28"/>
                <w:lang w:bidi="ar"/>
              </w:rPr>
              <w:t>（一）主动公开政府信息数</w:t>
            </w:r>
            <w:r>
              <w:rPr>
                <w:rFonts w:hint="default" w:ascii="Times New Roman" w:hAnsi="Times New Roman" w:eastAsia="仿宋_GB2312" w:cs="Times New Roman"/>
                <w:color w:val="auto"/>
                <w:kern w:val="0"/>
                <w:sz w:val="28"/>
                <w:szCs w:val="28"/>
                <w:lang w:bidi="ar"/>
              </w:rPr>
              <w:br w:type="textWrapping"/>
            </w:r>
            <w:r>
              <w:rPr>
                <w:rFonts w:hint="default" w:ascii="Times New Roman" w:hAnsi="Times New Roman" w:eastAsia="仿宋_GB2312" w:cs="Times New Roman"/>
                <w:color w:val="auto"/>
                <w:kern w:val="0"/>
                <w:sz w:val="28"/>
                <w:szCs w:val="28"/>
                <w:lang w:bidi="ar"/>
              </w:rPr>
              <w:t>　　　 （不同渠道和方式公开相同信息计1条）</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条</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163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 xml:space="preserve">       其中：主动公开规范性文件数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条</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 xml:space="preserve">             制发规范性文件总数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件</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eastAsia" w:ascii="楷体" w:hAnsi="楷体" w:eastAsia="楷体" w:cs="楷体"/>
                <w:color w:val="auto"/>
                <w:kern w:val="0"/>
                <w:sz w:val="28"/>
                <w:szCs w:val="28"/>
                <w:lang w:bidi="ar"/>
              </w:rPr>
              <w:t>（二）通过不同渠道和方式公开政府信息的情况</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outlineLvl w:val="9"/>
              <w:rPr>
                <w:rFonts w:hint="default" w:ascii="Times New Roman" w:hAnsi="Times New Roman" w:eastAsia="仿宋_GB2312" w:cs="Times New Roman"/>
                <w:color w:val="auto"/>
                <w:sz w:val="24"/>
              </w:rPr>
            </w:pP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outlineLvl w:val="9"/>
              <w:rPr>
                <w:rFonts w:hint="default" w:ascii="Times New Roman" w:hAnsi="Times New Roman" w:eastAsia="仿宋_GB2312"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 xml:space="preserve">        1.政府公报公开政府信息数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条</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 xml:space="preserve">        2.政府网站公开政府信息数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条</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eastAsia"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 xml:space="preserve">        3.政务微博公开政府信息数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条</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eastAsia"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 xml:space="preserve">        4.政务微信公开政府信息数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条</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153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 xml:space="preserve">        5.其他方式公开政府信息数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条</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eastAsia" w:ascii="黑体" w:hAnsi="黑体" w:eastAsia="黑体" w:cs="黑体"/>
                <w:color w:val="auto"/>
                <w:kern w:val="0"/>
                <w:sz w:val="28"/>
                <w:szCs w:val="28"/>
                <w:lang w:bidi="ar"/>
              </w:rPr>
              <w:t>二、回应解读情况</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outlineLvl w:val="9"/>
              <w:rPr>
                <w:rFonts w:hint="default" w:ascii="Times New Roman" w:hAnsi="Times New Roman" w:eastAsia="仿宋_GB2312" w:cs="Times New Roman"/>
                <w:color w:val="auto"/>
                <w:sz w:val="24"/>
              </w:rPr>
            </w:pP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outlineLvl w:val="9"/>
              <w:rPr>
                <w:rFonts w:hint="default" w:ascii="Times New Roman" w:hAnsi="Times New Roman" w:eastAsia="仿宋_GB2312" w:cs="Times New Roman"/>
                <w:color w:val="auto"/>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80"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center"/>
              <w:outlineLvl w:val="9"/>
              <w:rPr>
                <w:rFonts w:hint="default" w:ascii="Times New Roman" w:hAnsi="Times New Roman" w:eastAsia="仿宋_GB2312" w:cs="Times New Roman"/>
                <w:color w:val="auto"/>
                <w:sz w:val="28"/>
                <w:szCs w:val="28"/>
              </w:rPr>
            </w:pPr>
            <w:r>
              <w:rPr>
                <w:rFonts w:hint="eastAsia" w:ascii="楷体" w:hAnsi="楷体" w:eastAsia="楷体" w:cs="楷体"/>
                <w:color w:val="auto"/>
                <w:kern w:val="0"/>
                <w:sz w:val="28"/>
                <w:szCs w:val="28"/>
                <w:lang w:bidi="ar"/>
              </w:rPr>
              <w:t>（一）回应公众关注热点或重大舆情数</w:t>
            </w:r>
            <w:r>
              <w:rPr>
                <w:rFonts w:hint="default" w:ascii="Times New Roman" w:hAnsi="Times New Roman" w:eastAsia="仿宋_GB2312" w:cs="Times New Roman"/>
                <w:color w:val="auto"/>
                <w:kern w:val="0"/>
                <w:sz w:val="28"/>
                <w:szCs w:val="28"/>
                <w:lang w:bidi="ar"/>
              </w:rPr>
              <w:br w:type="textWrapping"/>
            </w:r>
            <w:r>
              <w:rPr>
                <w:rFonts w:hint="default" w:ascii="Times New Roman" w:hAnsi="Times New Roman" w:eastAsia="仿宋_GB2312" w:cs="Times New Roman"/>
                <w:color w:val="auto"/>
                <w:kern w:val="0"/>
                <w:sz w:val="28"/>
                <w:szCs w:val="28"/>
                <w:lang w:bidi="ar"/>
              </w:rPr>
              <w:t xml:space="preserve">       （不同方式回应同一热点或舆情计1次）</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次</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eastAsia" w:ascii="楷体" w:hAnsi="楷体" w:eastAsia="楷体" w:cs="楷体"/>
                <w:color w:val="auto"/>
                <w:kern w:val="0"/>
                <w:sz w:val="28"/>
                <w:szCs w:val="28"/>
                <w:lang w:bidi="ar"/>
              </w:rPr>
              <w:t>（二）通过不同渠道和方式回应解读的情况</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outlineLvl w:val="9"/>
              <w:rPr>
                <w:rFonts w:hint="default" w:ascii="Times New Roman" w:hAnsi="Times New Roman" w:eastAsia="仿宋_GB2312" w:cs="Times New Roman"/>
                <w:color w:val="auto"/>
                <w:sz w:val="24"/>
              </w:rPr>
            </w:pP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outlineLvl w:val="9"/>
              <w:rPr>
                <w:rFonts w:hint="eastAsia"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 xml:space="preserve">        1.参加或举办新闻发布会总次数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次</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120" w:firstLineChars="400"/>
              <w:jc w:val="both"/>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其中：主要负责同志参加新闻发布会次数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次</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 xml:space="preserve">        2.政府网站在线访谈次数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次</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1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 xml:space="preserve">   </w:t>
            </w:r>
            <w:r>
              <w:rPr>
                <w:rFonts w:hint="eastAsia" w:ascii="Times New Roman" w:hAnsi="Times New Roman" w:eastAsia="仿宋_GB2312" w:cs="Times New Roman"/>
                <w:color w:val="auto"/>
                <w:kern w:val="0"/>
                <w:sz w:val="28"/>
                <w:szCs w:val="28"/>
                <w:lang w:val="en-US" w:eastAsia="zh-CN" w:bidi="ar"/>
              </w:rPr>
              <w:t xml:space="preserve">   </w:t>
            </w:r>
            <w:r>
              <w:rPr>
                <w:rFonts w:hint="default" w:ascii="Times New Roman" w:hAnsi="Times New Roman" w:eastAsia="仿宋_GB2312" w:cs="Times New Roman"/>
                <w:color w:val="auto"/>
                <w:kern w:val="0"/>
                <w:sz w:val="28"/>
                <w:szCs w:val="28"/>
                <w:lang w:bidi="ar"/>
              </w:rPr>
              <w:t>其中：主要负责同志参加政府网站在线访谈次数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次</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 xml:space="preserve">        3.政策解读稿件发布数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篇</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 xml:space="preserve">        4.微博微信回应事件数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次</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 xml:space="preserve">        5.其他方式回应事件数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次</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eastAsia" w:ascii="黑体" w:hAnsi="黑体" w:eastAsia="黑体" w:cs="黑体"/>
                <w:color w:val="auto"/>
                <w:kern w:val="0"/>
                <w:sz w:val="28"/>
                <w:szCs w:val="28"/>
                <w:lang w:bidi="ar"/>
              </w:rPr>
              <w:t>三、依申请公开情况</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outlineLvl w:val="9"/>
              <w:rPr>
                <w:rFonts w:hint="default" w:ascii="Times New Roman" w:hAnsi="Times New Roman" w:eastAsia="仿宋_GB2312" w:cs="Times New Roman"/>
                <w:color w:val="auto"/>
                <w:sz w:val="24"/>
              </w:rPr>
            </w:pP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outlineLvl w:val="9"/>
              <w:rPr>
                <w:rFonts w:hint="default" w:ascii="Times New Roman" w:hAnsi="Times New Roman" w:eastAsia="仿宋_GB2312" w:cs="Times New Roman"/>
                <w:color w:val="auto"/>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eastAsia" w:ascii="楷体" w:hAnsi="楷体" w:eastAsia="楷体" w:cs="楷体"/>
                <w:color w:val="auto"/>
                <w:kern w:val="0"/>
                <w:sz w:val="28"/>
                <w:szCs w:val="28"/>
                <w:lang w:bidi="ar"/>
              </w:rPr>
              <w:t>（一）收到申请数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件</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 xml:space="preserve">    1.当面申请数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件</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 xml:space="preserve">    2.传真申请数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件</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 xml:space="preserve">    3.网络申请数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件</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 xml:space="preserve">    4.信函申请数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件</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default" w:ascii="楷体" w:hAnsi="楷体" w:eastAsia="楷体" w:cs="楷体"/>
                <w:color w:val="auto"/>
                <w:kern w:val="0"/>
                <w:sz w:val="28"/>
                <w:szCs w:val="28"/>
                <w:lang w:bidi="ar"/>
              </w:rPr>
              <w:t>（二）申请办结数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件</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 xml:space="preserve">    1.按时办结数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件</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 xml:space="preserve">    2.延期办结数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件</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default" w:ascii="楷体" w:hAnsi="楷体" w:eastAsia="楷体" w:cs="楷体"/>
                <w:color w:val="auto"/>
                <w:kern w:val="0"/>
                <w:sz w:val="28"/>
                <w:szCs w:val="28"/>
                <w:lang w:bidi="ar"/>
              </w:rPr>
              <w:t>（三）申请答复数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件</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 xml:space="preserve">    1.属于已主动公开范围数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件</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 xml:space="preserve">    2.同意公开答复数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件</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 xml:space="preserve">    3.同意部分公开答复数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件</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 xml:space="preserve">    4.不同意公开答复数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件</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 xml:space="preserve">     </w:t>
            </w:r>
            <w:r>
              <w:rPr>
                <w:rFonts w:hint="eastAsia" w:ascii="Times New Roman" w:hAnsi="Times New Roman" w:eastAsia="仿宋_GB2312" w:cs="Times New Roman"/>
                <w:color w:val="auto"/>
                <w:kern w:val="0"/>
                <w:sz w:val="28"/>
                <w:szCs w:val="28"/>
                <w:lang w:val="en-US" w:eastAsia="zh-CN" w:bidi="ar"/>
              </w:rPr>
              <w:t xml:space="preserve"> </w:t>
            </w:r>
            <w:r>
              <w:rPr>
                <w:rFonts w:hint="default" w:ascii="Times New Roman" w:hAnsi="Times New Roman" w:eastAsia="仿宋_GB2312" w:cs="Times New Roman"/>
                <w:color w:val="auto"/>
                <w:kern w:val="0"/>
                <w:sz w:val="28"/>
                <w:szCs w:val="28"/>
                <w:lang w:bidi="ar"/>
              </w:rPr>
              <w:t>其中：涉及国家秘密</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件</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eastAsia"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 xml:space="preserve">            涉及商业秘密</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件</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 xml:space="preserve">            涉及个人隐私</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件</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93"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1960" w:leftChars="0" w:right="0" w:rightChars="0" w:hanging="1960" w:hangingChars="700"/>
              <w:jc w:val="left"/>
              <w:textAlignment w:val="center"/>
              <w:outlineLvl w:val="9"/>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 xml:space="preserve">           </w:t>
            </w:r>
            <w:r>
              <w:rPr>
                <w:rFonts w:hint="eastAsia" w:ascii="Times New Roman" w:hAnsi="Times New Roman" w:eastAsia="仿宋_GB2312" w:cs="Times New Roman"/>
                <w:color w:val="auto"/>
                <w:kern w:val="0"/>
                <w:sz w:val="28"/>
                <w:szCs w:val="28"/>
                <w:lang w:val="en-US" w:eastAsia="zh-CN" w:bidi="ar"/>
              </w:rPr>
              <w:t xml:space="preserve"> </w:t>
            </w:r>
            <w:r>
              <w:rPr>
                <w:rFonts w:hint="default" w:ascii="Times New Roman" w:hAnsi="Times New Roman" w:eastAsia="仿宋_GB2312" w:cs="Times New Roman"/>
                <w:color w:val="auto"/>
                <w:kern w:val="0"/>
                <w:sz w:val="28"/>
                <w:szCs w:val="28"/>
                <w:lang w:bidi="ar"/>
              </w:rPr>
              <w:t>危及国家安全、公共安全、经济安全和</w:t>
            </w:r>
          </w:p>
          <w:p>
            <w:pPr>
              <w:keepNext w:val="0"/>
              <w:keepLines w:val="0"/>
              <w:pageBreakBefore w:val="0"/>
              <w:widowControl w:val="0"/>
              <w:kinsoku/>
              <w:wordWrap/>
              <w:overflowPunct/>
              <w:topLinePunct w:val="0"/>
              <w:autoSpaceDE/>
              <w:autoSpaceDN/>
              <w:bidi w:val="0"/>
              <w:adjustRightInd/>
              <w:snapToGrid/>
              <w:spacing w:line="560" w:lineRule="exact"/>
              <w:ind w:left="1956" w:leftChars="798" w:right="0" w:rightChars="0" w:hanging="280" w:hangingChars="100"/>
              <w:jc w:val="left"/>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社会稳定</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件</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eastAsia"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21"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firstLine="1680" w:firstLineChars="600"/>
              <w:jc w:val="both"/>
              <w:textAlignment w:val="center"/>
              <w:outlineLvl w:val="9"/>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 xml:space="preserve">不是《条例》所指政府信息 </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件</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kern w:val="0"/>
                <w:sz w:val="24"/>
                <w:lang w:val="en-US" w:eastAsia="zh-CN" w:bidi="ar"/>
              </w:rPr>
            </w:pPr>
            <w:r>
              <w:rPr>
                <w:rFonts w:hint="eastAsia" w:eastAsia="仿宋_GB2312" w:cs="Times New Roman"/>
                <w:color w:val="auto"/>
                <w:kern w:val="0"/>
                <w:sz w:val="24"/>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31"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kern w:val="0"/>
                <w:sz w:val="28"/>
                <w:szCs w:val="28"/>
                <w:lang w:bidi="ar"/>
              </w:rPr>
              <w:t xml:space="preserve">   </w:t>
            </w:r>
            <w:r>
              <w:rPr>
                <w:rFonts w:hint="default" w:ascii="Times New Roman" w:hAnsi="Times New Roman" w:eastAsia="仿宋_GB2312" w:cs="Times New Roman"/>
                <w:color w:val="auto"/>
                <w:kern w:val="0"/>
                <w:sz w:val="28"/>
                <w:szCs w:val="28"/>
                <w:lang w:val="en-US" w:eastAsia="zh-CN" w:bidi="ar"/>
              </w:rPr>
              <w:t xml:space="preserve">         </w:t>
            </w:r>
            <w:r>
              <w:rPr>
                <w:rFonts w:hint="default" w:ascii="Times New Roman" w:hAnsi="Times New Roman" w:eastAsia="仿宋_GB2312" w:cs="Times New Roman"/>
                <w:color w:val="auto"/>
                <w:kern w:val="0"/>
                <w:sz w:val="28"/>
                <w:szCs w:val="28"/>
                <w:lang w:bidi="ar"/>
              </w:rPr>
              <w:t xml:space="preserve">法律法规规定的其他情形 </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kern w:val="0"/>
                <w:sz w:val="24"/>
                <w:lang w:bidi="ar"/>
              </w:rPr>
            </w:pPr>
            <w:r>
              <w:rPr>
                <w:rFonts w:hint="default" w:ascii="Times New Roman" w:hAnsi="Times New Roman" w:eastAsia="仿宋_GB2312" w:cs="Times New Roman"/>
                <w:color w:val="auto"/>
                <w:kern w:val="0"/>
                <w:sz w:val="24"/>
                <w:lang w:bidi="ar"/>
              </w:rPr>
              <w:t>件</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kern w:val="0"/>
                <w:sz w:val="24"/>
                <w:lang w:val="en-US" w:eastAsia="zh-CN" w:bidi="ar"/>
              </w:rPr>
            </w:pPr>
            <w:r>
              <w:rPr>
                <w:rFonts w:hint="eastAsia" w:eastAsia="仿宋_GB2312" w:cs="Times New Roman"/>
                <w:color w:val="auto"/>
                <w:kern w:val="0"/>
                <w:sz w:val="24"/>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 xml:space="preserve">    5.不属于本行政机关公开数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件</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 xml:space="preserve">    6.申请信息不存在数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件</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 xml:space="preserve">    7.告知作出更改补充数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件</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 xml:space="preserve">    8.告知通过其他途径办理数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件</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eastAsia" w:ascii="黑体" w:hAnsi="黑体" w:eastAsia="黑体" w:cs="黑体"/>
                <w:color w:val="auto"/>
                <w:kern w:val="0"/>
                <w:sz w:val="28"/>
                <w:szCs w:val="28"/>
                <w:lang w:bidi="ar"/>
              </w:rPr>
              <w:t>四、行政复议数量</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件</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eastAsia" w:ascii="楷体" w:hAnsi="楷体" w:eastAsia="楷体" w:cs="楷体"/>
                <w:color w:val="auto"/>
                <w:sz w:val="28"/>
                <w:szCs w:val="28"/>
              </w:rPr>
            </w:pPr>
            <w:r>
              <w:rPr>
                <w:rFonts w:hint="eastAsia" w:ascii="楷体" w:hAnsi="楷体" w:eastAsia="楷体" w:cs="楷体"/>
                <w:color w:val="auto"/>
                <w:kern w:val="0"/>
                <w:sz w:val="28"/>
                <w:szCs w:val="28"/>
                <w:lang w:bidi="ar"/>
              </w:rPr>
              <w:t>（一）维持具体行政行为数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件</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eastAsia" w:ascii="楷体" w:hAnsi="楷体" w:eastAsia="楷体" w:cs="楷体"/>
                <w:color w:val="auto"/>
                <w:sz w:val="28"/>
                <w:szCs w:val="28"/>
              </w:rPr>
            </w:pPr>
            <w:r>
              <w:rPr>
                <w:rFonts w:hint="eastAsia" w:ascii="楷体" w:hAnsi="楷体" w:eastAsia="楷体" w:cs="楷体"/>
                <w:color w:val="auto"/>
                <w:kern w:val="0"/>
                <w:sz w:val="28"/>
                <w:szCs w:val="28"/>
                <w:lang w:bidi="ar"/>
              </w:rPr>
              <w:t>（二）被依法纠错数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件</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eastAsia" w:ascii="楷体" w:hAnsi="楷体" w:eastAsia="楷体" w:cs="楷体"/>
                <w:color w:val="auto"/>
                <w:sz w:val="28"/>
                <w:szCs w:val="28"/>
              </w:rPr>
            </w:pPr>
            <w:r>
              <w:rPr>
                <w:rFonts w:hint="eastAsia" w:ascii="楷体" w:hAnsi="楷体" w:eastAsia="楷体" w:cs="楷体"/>
                <w:color w:val="auto"/>
                <w:kern w:val="0"/>
                <w:sz w:val="28"/>
                <w:szCs w:val="28"/>
                <w:lang w:bidi="ar"/>
              </w:rPr>
              <w:t>（三）其他情形数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件</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eastAsia" w:ascii="黑体" w:hAnsi="黑体" w:eastAsia="黑体" w:cs="黑体"/>
                <w:color w:val="auto"/>
                <w:kern w:val="0"/>
                <w:sz w:val="28"/>
                <w:szCs w:val="28"/>
                <w:lang w:bidi="ar"/>
              </w:rPr>
              <w:t>五、行政诉讼数量</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件</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60"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eastAsia" w:ascii="楷体" w:hAnsi="楷体" w:eastAsia="楷体" w:cs="楷体"/>
                <w:color w:val="auto"/>
                <w:sz w:val="28"/>
                <w:szCs w:val="28"/>
              </w:rPr>
            </w:pPr>
            <w:r>
              <w:rPr>
                <w:rFonts w:hint="eastAsia" w:ascii="楷体" w:hAnsi="楷体" w:eastAsia="楷体" w:cs="楷体"/>
                <w:color w:val="auto"/>
                <w:kern w:val="0"/>
                <w:sz w:val="28"/>
                <w:szCs w:val="28"/>
                <w:lang w:bidi="ar"/>
              </w:rPr>
              <w:t xml:space="preserve">  （一）维持具体行政行为或者驳回原告诉讼请求数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件</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eastAsia" w:ascii="楷体" w:hAnsi="楷体" w:eastAsia="楷体" w:cs="楷体"/>
                <w:color w:val="auto"/>
                <w:sz w:val="28"/>
                <w:szCs w:val="28"/>
              </w:rPr>
            </w:pPr>
            <w:r>
              <w:rPr>
                <w:rFonts w:hint="eastAsia" w:ascii="楷体" w:hAnsi="楷体" w:eastAsia="楷体" w:cs="楷体"/>
                <w:color w:val="auto"/>
                <w:kern w:val="0"/>
                <w:sz w:val="28"/>
                <w:szCs w:val="28"/>
                <w:lang w:bidi="ar"/>
              </w:rPr>
              <w:t xml:space="preserve">  （二）被依法纠错数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件</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eastAsia" w:ascii="楷体" w:hAnsi="楷体" w:eastAsia="楷体" w:cs="楷体"/>
                <w:color w:val="auto"/>
                <w:sz w:val="28"/>
                <w:szCs w:val="28"/>
              </w:rPr>
            </w:pPr>
            <w:r>
              <w:rPr>
                <w:rFonts w:hint="eastAsia" w:ascii="楷体" w:hAnsi="楷体" w:eastAsia="楷体" w:cs="楷体"/>
                <w:color w:val="auto"/>
                <w:kern w:val="0"/>
                <w:sz w:val="28"/>
                <w:szCs w:val="28"/>
                <w:lang w:bidi="ar"/>
              </w:rPr>
              <w:t xml:space="preserve">  （三）其他情形数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件</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eastAsia" w:ascii="黑体" w:hAnsi="黑体" w:eastAsia="黑体" w:cs="黑体"/>
                <w:color w:val="auto"/>
                <w:kern w:val="0"/>
                <w:sz w:val="28"/>
                <w:szCs w:val="28"/>
                <w:lang w:bidi="ar"/>
              </w:rPr>
              <w:t>六、举报投诉数量</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件</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60"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eastAsia" w:ascii="黑体" w:hAnsi="黑体" w:eastAsia="黑体" w:cs="黑体"/>
                <w:color w:val="auto"/>
                <w:kern w:val="0"/>
                <w:sz w:val="28"/>
                <w:szCs w:val="28"/>
                <w:lang w:bidi="ar"/>
              </w:rPr>
              <w:t>七、依申请公开信息收取的费用</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万元</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eastAsia" w:ascii="黑体" w:hAnsi="黑体" w:eastAsia="黑体" w:cs="黑体"/>
                <w:color w:val="auto"/>
                <w:kern w:val="0"/>
                <w:sz w:val="28"/>
                <w:szCs w:val="28"/>
                <w:lang w:bidi="ar"/>
              </w:rPr>
              <w:t>八、机构建设和保障经费情况</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outlineLvl w:val="9"/>
              <w:rPr>
                <w:rFonts w:hint="default" w:ascii="Times New Roman" w:hAnsi="Times New Roman" w:eastAsia="仿宋_GB2312" w:cs="Times New Roman"/>
                <w:color w:val="auto"/>
                <w:sz w:val="24"/>
              </w:rPr>
            </w:pP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outlineLvl w:val="9"/>
              <w:rPr>
                <w:rFonts w:hint="default" w:ascii="Times New Roman" w:hAnsi="Times New Roman" w:eastAsia="仿宋_GB2312"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eastAsia" w:ascii="楷体" w:hAnsi="楷体" w:eastAsia="楷体" w:cs="楷体"/>
                <w:color w:val="auto"/>
                <w:sz w:val="28"/>
                <w:szCs w:val="28"/>
              </w:rPr>
            </w:pPr>
            <w:r>
              <w:rPr>
                <w:rFonts w:hint="eastAsia" w:ascii="楷体" w:hAnsi="楷体" w:eastAsia="楷体" w:cs="楷体"/>
                <w:color w:val="auto"/>
                <w:kern w:val="0"/>
                <w:sz w:val="28"/>
                <w:szCs w:val="28"/>
                <w:lang w:bidi="ar"/>
              </w:rPr>
              <w:t xml:space="preserve">  （一）政府信息公开工作专门机构数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个</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eastAsia" w:ascii="楷体" w:hAnsi="楷体" w:eastAsia="楷体" w:cs="楷体"/>
                <w:color w:val="auto"/>
                <w:sz w:val="28"/>
                <w:szCs w:val="28"/>
              </w:rPr>
            </w:pPr>
            <w:r>
              <w:rPr>
                <w:rFonts w:hint="eastAsia" w:ascii="楷体" w:hAnsi="楷体" w:eastAsia="楷体" w:cs="楷体"/>
                <w:color w:val="auto"/>
                <w:kern w:val="0"/>
                <w:sz w:val="28"/>
                <w:szCs w:val="28"/>
                <w:lang w:bidi="ar"/>
              </w:rPr>
              <w:t xml:space="preserve">  （二）设置政府信息公开查阅点数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个</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eastAsia" w:ascii="楷体" w:hAnsi="楷体" w:eastAsia="楷体" w:cs="楷体"/>
                <w:color w:val="auto"/>
                <w:sz w:val="28"/>
                <w:szCs w:val="28"/>
              </w:rPr>
            </w:pPr>
            <w:r>
              <w:rPr>
                <w:rFonts w:hint="eastAsia" w:ascii="楷体" w:hAnsi="楷体" w:eastAsia="楷体" w:cs="楷体"/>
                <w:color w:val="auto"/>
                <w:kern w:val="0"/>
                <w:sz w:val="28"/>
                <w:szCs w:val="28"/>
                <w:lang w:bidi="ar"/>
              </w:rPr>
              <w:t xml:space="preserve">  （三）从事政府信息公开工作人员数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人</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 xml:space="preserve">        1.专职人员数（不包括政府公报及网站人员数）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人</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eastAsia"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 xml:space="preserve">        2.兼职人员数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人</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80" w:firstLineChars="100"/>
              <w:jc w:val="left"/>
              <w:textAlignment w:val="center"/>
              <w:outlineLvl w:val="9"/>
              <w:rPr>
                <w:rFonts w:hint="default" w:ascii="Times New Roman" w:hAnsi="Times New Roman" w:eastAsia="仿宋_GB2312" w:cs="Times New Roman"/>
                <w:color w:val="auto"/>
                <w:sz w:val="28"/>
                <w:szCs w:val="28"/>
              </w:rPr>
            </w:pPr>
            <w:r>
              <w:rPr>
                <w:rFonts w:hint="eastAsia" w:ascii="楷体" w:hAnsi="楷体" w:eastAsia="楷体" w:cs="楷体"/>
                <w:color w:val="auto"/>
                <w:kern w:val="0"/>
                <w:sz w:val="28"/>
                <w:szCs w:val="28"/>
                <w:lang w:bidi="ar"/>
              </w:rPr>
              <w:t>（四）政府信息公开专项经费（不包括用于政府公报编辑管理及政府网站建设维护等方面的经费）</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万元</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default" w:ascii="Times New Roman" w:hAnsi="Times New Roman" w:eastAsia="仿宋_GB2312" w:cs="Times New Roman"/>
                <w:color w:val="auto"/>
                <w:sz w:val="28"/>
                <w:szCs w:val="28"/>
              </w:rPr>
            </w:pPr>
            <w:r>
              <w:rPr>
                <w:rFonts w:hint="eastAsia" w:ascii="黑体" w:hAnsi="黑体" w:eastAsia="黑体" w:cs="黑体"/>
                <w:color w:val="auto"/>
                <w:kern w:val="0"/>
                <w:sz w:val="28"/>
                <w:szCs w:val="28"/>
                <w:lang w:bidi="ar"/>
              </w:rPr>
              <w:t>九、政府信息公开会议和培训情况</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outlineLvl w:val="9"/>
              <w:rPr>
                <w:rFonts w:hint="default" w:ascii="Times New Roman" w:hAnsi="Times New Roman" w:eastAsia="仿宋_GB2312" w:cs="Times New Roman"/>
                <w:color w:val="auto"/>
                <w:sz w:val="24"/>
              </w:rPr>
            </w:pP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outlineLvl w:val="9"/>
              <w:rPr>
                <w:rFonts w:hint="default" w:ascii="Times New Roman" w:hAnsi="Times New Roman" w:eastAsia="仿宋_GB2312" w:cs="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7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eastAsia" w:ascii="楷体" w:hAnsi="楷体" w:eastAsia="楷体" w:cs="楷体"/>
                <w:color w:val="auto"/>
                <w:sz w:val="28"/>
                <w:szCs w:val="28"/>
              </w:rPr>
            </w:pPr>
            <w:r>
              <w:rPr>
                <w:rFonts w:hint="eastAsia" w:ascii="楷体" w:hAnsi="楷体" w:eastAsia="楷体" w:cs="楷体"/>
                <w:color w:val="auto"/>
                <w:kern w:val="0"/>
                <w:sz w:val="28"/>
                <w:szCs w:val="28"/>
                <w:lang w:bidi="ar"/>
              </w:rPr>
              <w:t xml:space="preserve">  （一）召开政府信息公开工作会议或专题会议数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次</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eastAsia" w:ascii="楷体" w:hAnsi="楷体" w:eastAsia="楷体" w:cs="楷体"/>
                <w:color w:val="auto"/>
                <w:sz w:val="28"/>
                <w:szCs w:val="28"/>
              </w:rPr>
            </w:pPr>
            <w:r>
              <w:rPr>
                <w:rFonts w:hint="eastAsia" w:ascii="楷体" w:hAnsi="楷体" w:eastAsia="楷体" w:cs="楷体"/>
                <w:color w:val="auto"/>
                <w:kern w:val="0"/>
                <w:sz w:val="28"/>
                <w:szCs w:val="28"/>
                <w:lang w:bidi="ar"/>
              </w:rPr>
              <w:t xml:space="preserve">  （二）举办各类培训班数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次</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0" w:hRule="atLeast"/>
          <w:jc w:val="center"/>
        </w:trPr>
        <w:tc>
          <w:tcPr>
            <w:tcW w:w="6714"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center"/>
              <w:outlineLvl w:val="9"/>
              <w:rPr>
                <w:rFonts w:hint="eastAsia" w:ascii="楷体" w:hAnsi="楷体" w:eastAsia="楷体" w:cs="楷体"/>
                <w:color w:val="auto"/>
                <w:sz w:val="28"/>
                <w:szCs w:val="28"/>
              </w:rPr>
            </w:pPr>
            <w:r>
              <w:rPr>
                <w:rFonts w:hint="eastAsia" w:ascii="楷体" w:hAnsi="楷体" w:eastAsia="楷体" w:cs="楷体"/>
                <w:color w:val="auto"/>
                <w:kern w:val="0"/>
                <w:sz w:val="28"/>
                <w:szCs w:val="28"/>
                <w:lang w:bidi="ar"/>
              </w:rPr>
              <w:t xml:space="preserve">  （三）接受培训人员数</w:t>
            </w:r>
          </w:p>
        </w:tc>
        <w:tc>
          <w:tcPr>
            <w:tcW w:w="765"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kern w:val="0"/>
                <w:sz w:val="24"/>
                <w:lang w:bidi="ar"/>
              </w:rPr>
              <w:t>人次</w:t>
            </w:r>
          </w:p>
        </w:tc>
        <w:tc>
          <w:tcPr>
            <w:tcW w:w="108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center"/>
              <w:outlineLvl w:val="9"/>
              <w:rPr>
                <w:rFonts w:hint="default" w:ascii="Times New Roman" w:hAnsi="Times New Roman" w:eastAsia="仿宋_GB2312" w:cs="Times New Roman"/>
                <w:color w:val="auto"/>
                <w:sz w:val="24"/>
                <w:lang w:val="en-US" w:eastAsia="zh-CN"/>
              </w:rPr>
            </w:pPr>
            <w:r>
              <w:rPr>
                <w:rFonts w:hint="eastAsia" w:eastAsia="仿宋_GB2312" w:cs="Times New Roman"/>
                <w:color w:val="auto"/>
                <w:sz w:val="24"/>
                <w:lang w:val="en-US" w:eastAsia="zh-CN"/>
              </w:rPr>
              <w:t>92</w:t>
            </w:r>
          </w:p>
        </w:tc>
      </w:tr>
    </w:tbl>
    <w:p>
      <w:pPr>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单位负责人：曹永旿</w:t>
      </w:r>
      <w:r>
        <w:rPr>
          <w:rFonts w:hint="eastAsia" w:ascii="仿宋_GB2312" w:hAnsi="仿宋_GB2312" w:eastAsia="仿宋_GB2312" w:cs="仿宋_GB2312"/>
          <w:color w:val="auto"/>
          <w:sz w:val="28"/>
          <w:szCs w:val="28"/>
          <w:lang w:val="en-US" w:eastAsia="zh-CN"/>
        </w:rPr>
        <w:t xml:space="preserve">                    审核人：陈宏</w:t>
      </w:r>
    </w:p>
    <w:p>
      <w:pPr>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填报人：杨陇东                   联系电话：0954-7012148</w:t>
      </w:r>
    </w:p>
    <w:p>
      <w:pPr>
        <w:pStyle w:val="2"/>
        <w:rPr>
          <w:rFonts w:hint="eastAsia"/>
          <w:color w:val="auto"/>
          <w:lang w:eastAsia="zh-CN"/>
        </w:rPr>
      </w:pPr>
      <w:r>
        <w:rPr>
          <w:rFonts w:hint="eastAsia" w:ascii="仿宋_GB2312" w:hAnsi="仿宋_GB2312" w:eastAsia="仿宋_GB2312" w:cs="仿宋_GB2312"/>
          <w:color w:val="auto"/>
          <w:sz w:val="28"/>
          <w:szCs w:val="28"/>
          <w:lang w:val="en-US" w:eastAsia="zh-CN"/>
        </w:rPr>
        <w:t>填报日期:2019年3月28日</w:t>
      </w:r>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45FF2"/>
    <w:multiLevelType w:val="singleLevel"/>
    <w:tmpl w:val="14C45FF2"/>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val="1"/>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F271B"/>
    <w:rsid w:val="14FA5492"/>
    <w:rsid w:val="1CAF2BF8"/>
    <w:rsid w:val="1F1111E4"/>
    <w:rsid w:val="3D7A60D4"/>
    <w:rsid w:val="410B662B"/>
    <w:rsid w:val="494D3984"/>
    <w:rsid w:val="5B9C4FED"/>
    <w:rsid w:val="6D6F0BB2"/>
    <w:rsid w:val="737454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link w:val="7"/>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200"/>
    </w:pPr>
    <w:rPr>
      <w:rFonts w:ascii="Times New Roman" w:hAnsi="Times New Roman"/>
    </w:rPr>
  </w:style>
  <w:style w:type="paragraph" w:styleId="3">
    <w:name w:val="Body Text Indent"/>
    <w:basedOn w:val="1"/>
    <w:qFormat/>
    <w:uiPriority w:val="0"/>
    <w:pPr>
      <w:ind w:firstLine="640" w:firstLineChars="200"/>
    </w:pPr>
    <w:rPr>
      <w:kern w:val="0"/>
      <w:sz w:val="24"/>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7">
    <w:name w:val=" Char"/>
    <w:basedOn w:val="1"/>
    <w:link w:val="6"/>
    <w:qFormat/>
    <w:uiPriority w:val="0"/>
  </w:style>
  <w:style w:type="character" w:customStyle="1" w:styleId="8">
    <w:name w:val="font31"/>
    <w:basedOn w:val="6"/>
    <w:qFormat/>
    <w:uiPriority w:val="0"/>
    <w:rPr>
      <w:rFonts w:hint="default" w:ascii="Times New Roman" w:hAnsi="Times New Roman" w:cs="Times New Roman"/>
      <w:color w:val="000000"/>
      <w:sz w:val="22"/>
      <w:szCs w:val="22"/>
      <w:u w:val="none"/>
    </w:rPr>
  </w:style>
  <w:style w:type="character" w:customStyle="1" w:styleId="9">
    <w:name w:val="font51"/>
    <w:basedOn w:val="6"/>
    <w:qFormat/>
    <w:uiPriority w:val="0"/>
    <w:rPr>
      <w:rFonts w:hint="eastAsia" w:ascii="黑体" w:hAnsi="宋体" w:eastAsia="黑体" w:cs="黑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Office_11.1.0.8412_F1E327BC-269C-435d-A152-05C5408002CA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2019-04-16T06:16:33Z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