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773" w:type="dxa"/>
        <w:tblInd w:w="-5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625"/>
        <w:gridCol w:w="1222"/>
        <w:gridCol w:w="1476"/>
        <w:gridCol w:w="1222"/>
        <w:gridCol w:w="1431"/>
        <w:gridCol w:w="1595"/>
        <w:gridCol w:w="1595"/>
        <w:gridCol w:w="1416"/>
        <w:gridCol w:w="1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iCs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37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彭阳县2022年第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批购买乡村公益性岗位指标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及资金需求</w:t>
            </w: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指标（人）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月工资标准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年度工资总额（元）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年度涉农整合资金（元）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意外伤害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险（元）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年度县财政资金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白阳镇（17村）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村两委（含社区）后勤保障服务人员、移民社区服务人员、环境道路保洁员、河（渠）道维护员、乡村“老饭桌”服务员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1059480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1059480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14580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员工资从涉农资金中列支981万元，县财政解决商业意外伤害保险费13.5万元，共计994.5万元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古城镇（20村）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95（移民23）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王洼镇（20村）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新集乡（20村）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95（移民15）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城阳乡（10村）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50（移民20）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草庙乡（14村）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66（移民18）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冯庄乡（11村）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小岔乡（7村）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33（移民5）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罗洼乡（7村）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红河镇（12村）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57（移民7）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745560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745560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孟塬乡（11村）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52（移民12）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交岔乡（7村）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社会经济调查队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104640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104640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9810000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9810000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135000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1BD11A66"/>
    <w:rsid w:val="20260FB9"/>
    <w:rsid w:val="3EBBB9C5"/>
    <w:rsid w:val="406F2C51"/>
    <w:rsid w:val="48D4452C"/>
    <w:rsid w:val="6B8F4126"/>
    <w:rsid w:val="74877005"/>
    <w:rsid w:val="7D4775C9"/>
    <w:rsid w:val="7EA41069"/>
    <w:rsid w:val="8F753B01"/>
    <w:rsid w:val="EFFFAA41"/>
    <w:rsid w:val="FB77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3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928</Characters>
  <Lines>0</Lines>
  <Paragraphs>0</Paragraphs>
  <TotalTime>6</TotalTime>
  <ScaleCrop>false</ScaleCrop>
  <LinksUpToDate>false</LinksUpToDate>
  <CharactersWithSpaces>952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2022-05-06T10:05:00Z</dcterms:created>
  <dc:creator>Administrator</dc:creator>
  <cp:lastModifiedBy>俱往矣</cp:lastModifiedBy>
  <cp:lastPrinted>2022-05-09T18:25:00Z</cp:lastPrinted>
  <dcterms:modified xsi:type="dcterms:W3CDTF">2022-05-10T02:05:53Z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64311263ECB843B1ABD503C9243C5453</vt:lpwstr>
  </property>
</Properties>
</file>