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36"/>
          <w:szCs w:val="36"/>
          <w:lang w:val="en-US" w:eastAsia="zh-CN" w:bidi="ar-SA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36"/>
          <w:szCs w:val="36"/>
          <w:lang w:val="en-US" w:eastAsia="zh-CN" w:bidi="ar-SA"/>
        </w:rPr>
        <w:t>年彭阳县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大豆价格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保险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36"/>
          <w:szCs w:val="36"/>
          <w:lang w:val="en-US" w:eastAsia="zh-CN" w:bidi="ar-SA"/>
        </w:rPr>
        <w:t>保费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补贴核算表</w:t>
      </w:r>
    </w:p>
    <w:bookmarkEnd w:id="0"/>
    <w:tbl>
      <w:tblPr>
        <w:tblStyle w:val="3"/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430"/>
        <w:gridCol w:w="990"/>
        <w:gridCol w:w="980"/>
        <w:gridCol w:w="1100"/>
        <w:gridCol w:w="1090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保险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元/亩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（%）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县级财政补贴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（%）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大豆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（绥农26、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黑农52、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垦豆43、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中黄30）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13.44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13.44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27DF9"/>
    <w:rsid w:val="55C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2022-04-22T02:55:00Z</dcterms:created>
  <dc:creator>lenovo</dc:creator>
  <cp:lastModifiedBy>lenovo</cp:lastModifiedBy>
  <dcterms:modified xsi:type="dcterms:W3CDTF">2022-04-22T02:56:07Z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A729064F984D480F967CBBB4F2D3410D</vt:lpwstr>
  </property>
</Properties>
</file>