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彭阳县城乡居民产业就业收入双增计划落实台账</w:t>
      </w:r>
    </w:p>
    <w:bookmarkEnd w:id="0"/>
    <w:tbl>
      <w:tblPr>
        <w:tblStyle w:val="10"/>
        <w:tblW w:w="15396" w:type="dxa"/>
        <w:tblInd w:w="-7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93"/>
        <w:gridCol w:w="3846"/>
        <w:gridCol w:w="1339"/>
        <w:gridCol w:w="1361"/>
        <w:gridCol w:w="570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8"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序号</w:t>
            </w:r>
          </w:p>
        </w:tc>
        <w:tc>
          <w:tcPr>
            <w:tcW w:w="1393"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主要任务</w:t>
            </w:r>
          </w:p>
        </w:tc>
        <w:tc>
          <w:tcPr>
            <w:tcW w:w="3846"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具体措施</w:t>
            </w:r>
          </w:p>
        </w:tc>
        <w:tc>
          <w:tcPr>
            <w:tcW w:w="1339"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责任领导</w:t>
            </w:r>
          </w:p>
        </w:tc>
        <w:tc>
          <w:tcPr>
            <w:tcW w:w="1361"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责任单位</w:t>
            </w:r>
          </w:p>
        </w:tc>
        <w:tc>
          <w:tcPr>
            <w:tcW w:w="5700"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落实情况</w:t>
            </w:r>
          </w:p>
        </w:tc>
        <w:tc>
          <w:tcPr>
            <w:tcW w:w="889" w:type="dxa"/>
            <w:vAlign w:val="center"/>
          </w:tcPr>
          <w:p>
            <w:pPr>
              <w:jc w:val="center"/>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增加就业促增收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以县内劳务移民为抓手，充分发挥劳动力资源优势，依托劳动密集型企业，着力推进产业就业扩容，力促2021年县内就地就近就业人数稳定在2.4万人以上，工资性收入达到5亿元</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eastAsia="zh-CN"/>
              </w:rPr>
              <w:t>完善“点对点、一站式”劳务输出对接机制，扎实组织开展好“春风行动”，做到输出有组织、健康有监测、承运有防护、送达有交接的“四有”模式，2021年转移就业稳定在5.2万人以上，务工收入达到12.5亿元</w:t>
            </w:r>
            <w:r>
              <w:rPr>
                <w:rFonts w:hint="eastAsia" w:ascii="Times New Roman" w:hAnsi="Times New Roman" w:eastAsia="仿宋_GB2312" w:cs="Times New Roman"/>
                <w:sz w:val="22"/>
                <w:szCs w:val="22"/>
                <w:vertAlign w:val="baseline"/>
                <w:lang w:val="en-US"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发挥全县扶贫车间、企业用工联农带动作用，适时开展全县零就业家庭“大摸排、大起底”，通过建筑工地临时用工和造林绿化季节性用工等途径，多渠道鼓励移民和低收入家庭就近就地务工，积极引导全县农业产业化示范基地、各类企业在用工时，优先招聘采用当地农民群众，2021年吸纳就地就业人数达到1500人</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乡村振兴局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增加就业促增收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继续加大政府购买服务力度，2021年购买乡村护路员、生态护林员、保洁员等公益性岗位1500个</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创业增岗促增收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全面运行彭阳县返乡农民工创业园，打造“电商园区+众创空间”运营管理模式，拓展创业政策咨询、产业链接、融资孵化、创业培训等服务功能，力争2021年发放农村妇女创业贷款、种养业贷款、创业担保贷款等4亿元以上，带动创业就业1万人，发放创业贷款和带动就业人数逐年增长12%和10%。</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大力支持“夜市经济”和“地摊经济”发展，引导劳动者创办小规模经济实体，新增就业点2个，带动就业200人以上。</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住房城乡建设局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支持新业态发展，推动网络直播、网络零售、线上教育培训、互联网医疗等行业发展，年均新增加就业岗位60个，带动就业300人以上</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王志会</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发展改革局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提升技能促增收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高质量实施高素质农民培训、职业技能培训、实用技术培训等培训项目，结合当地企业用工需求，推行订单、定向、定岗式培训，着力打造具有彭阳特色的“彭阳月嫂”、“彭阳保姆”等劳务品牌及一支有文化、懂技术、善经营、会管理的高素质农民队伍，2021年完成各类技能培训5000人</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将有培训需求的返乡创业人员全部纳入培训范围，充分发挥乡土技能人才作用，重点开展种植、养殖、加工等方面具有针对性的培训，组建农村“土专家”专业服务队，注重开展“田间地头”、“车间大棚”式培训，并按规定落实好培训补贴</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积极同全国高校、科研院所、医疗机构对接，充分发挥闽宁协作及中央定点帮扶工作机制，加强与全国、全区高端技术人才互访交流，通过网络教学、互派挂职干部、聘请技术专家等方式，不断提升县域知识产权人才储备和知识产权运用水平，不断夯实群众增收技术人才基础。</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荆瑞芳</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教育体育局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r>
              <w:rPr>
                <w:rFonts w:hint="eastAsia" w:ascii="Times New Roman" w:hAnsi="Times New Roman" w:eastAsia="仿宋_GB2312" w:cs="Times New Roman"/>
                <w:sz w:val="22"/>
                <w:szCs w:val="22"/>
                <w:vertAlign w:val="baseline"/>
                <w:lang w:val="en-US" w:eastAsia="zh-CN"/>
              </w:rPr>
              <w:t xml:space="preserve"> </w:t>
            </w:r>
            <w:r>
              <w:rPr>
                <w:rFonts w:hint="eastAsia" w:ascii="Times New Roman" w:hAnsi="Times New Roman" w:eastAsia="仿宋_GB2312" w:cs="Times New Roman"/>
                <w:sz w:val="22"/>
                <w:szCs w:val="22"/>
                <w:vertAlign w:val="baseline"/>
                <w:lang w:eastAsia="zh-CN"/>
              </w:rPr>
              <w:t>卫生健康局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乡村振兴局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落实政策促增收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建立健全党内激励关怀帮扶机制和机关事业单位、村干部工作人员考核体系，考核结果与工资收入挂钩，提高干部工资性收入。完善机关事业单位改革性补贴和奖励性补贴政策，接续推进住房补贴和乡镇补贴等政策落实。</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组织部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财政局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支持和鼓励事业单位选派专业技术人员到企业挂职、参与项目合作和离岗创新创业，提高干部干事创业劲头，实现企业、专业技术人员两方受益，双方增收。</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组织部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进一步完善公务员职务职级并行、事业单位管理岗位晋升、村干部工作报酬同村级党组织评星定级挂钩制度。</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组织部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全力促进劳动力报酬合理增长机制，调整最低工资标准和企业工资指导线，严格落实合理调整小规模纳税人、小微企业、个体工商户增值税起征点政策，指导企业根据经济效益和劳动生产率情况，确定企业平均工资增长幅度。</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税务局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扩大一产增收</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深入“实施藏粮于地，藏粮于技战略”，坚决遏制耕地非农化，防止非粮化，全县粮食播种面积稳定在72.5万亩以上，粮食产量稳定在22万吨以上。</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以建设国家农业绿色发展示范县、国家农业示范园为目标，不断扩大产业规模，推进农机农艺融合、良种良法配套，提升资源利用率、土地产出力、劳动生产率，全力创建30万头肉牛、60万亩牧草、20万亩林果、10万亩蔬菜、20万亩中药材、10亿元地方板块“六大产业集群”。2021年农业产业提供农民人均可支配收入达到5060元</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17</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促进二产增产</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以“粮头食尾，农头工尾”为抓手，大力开发高档牛肉制品、休闲方便肉食品。新引进辣椒酱加工、火锅底料等休闲食品开发企业3家以上，新引进中华蜂蜜、中药饮茶等高端康养食品开发企业4家，培育巩固蔬菜烘干、果品加工企业10家以上，建成区级以上绿色食品加工园区，农产品加工转化率达到50%以上</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王志会</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园区管委会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促进二产增产</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着力构建纺织服装、农副产品加工、煤炭综合利用“三大工业体系”，积极培育建材、农产品精深加工等延伸产业，2021年规上工业增加值达到12.95亿元</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王志会</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园区管委会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发展改革局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推动三产增效</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依托国家全域旅游示范县、长征长城旅游中转站等，做足“旅游+体育”文章，每年举办各类大型节庆、体育活动15场次，体育活动综合收入每年稳定在2000万元以上。</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教育体育局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文化旅游广电局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拓展旅游新业态，新建重点旅游景点、旅游示范村7个，培育巩固星级酒店、餐厅2家，新发展星级农家乐30家。每年举办农民丰收节、山花节、梯田花儿节等重点节庆活动5次，大力开发宣传剪纸、特色手工制品等旅游商品，2021年接待游客、旅游综合收入分别达到70万人次和2.8亿元以上</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文化旅游广电局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21</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大力发展电子商务，加大线上线下推广和营销力度，建立外销窗口和农产品电商销售网点，持续培育巩固农产品电商平台企业，积极促进消费品下行带动农产品上行，2021年实现电商销售收入1.2亿元</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王志会</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发展改革局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22</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推动三产增效</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鼓励学校、机关食堂、当地餐饮场所优先采购当地农产品，不断带动群众增收。</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教育体育局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23</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深化农村土地改革</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规范县农村产权流转交易服务中心，建立并完善流转交易规则和监管办法、权益保障、风险防范等各项制度，规范信息发布、价值评估、交易签证、贷款服务等运行机制，依法、自愿、有序地鼓励承包农户通过转让、互换、出租等方式流转承包地。新建农村土地承包经营权股份制改革示范点15个，推进资源变资产、资金变股金、农民变股东。</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24</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探索通过创新宅基地退出形式和闲置宅基地统筹利用方式，根据实际情况设定退出补偿标准，用相关政府资金利用引导，鼓励移民搬迁和超面积占用宅基地农户退出宅基地，通过土地整治等方式，建立宅基地资源有偿退出的机制。</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自然资源局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深化农村土地改革</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切实保障农户宅基地用益物权，通过开展试点工作，完善农村宅基地制度，稳步推进农民住房财产权抵押、担保、转让。通过集体经营性建设用地出让、租赁、入股等方式，进一步拓宽农民增收渠道，全县宅基地年出租面积达到200亩，宅基地出租收入达到600万元；流转土地面积达到30万亩，土地流转收入达到1亿元。</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自然资源局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26</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积极动员群众流转增收，土地入股村集体经济合作组织、企业、合作社等新型农业经营主体增收，社会化服务组织代耕代种增收，统筹利用撂荒地5万亩，实现收入1000万元。</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自然资源局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27</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全面深化“四权”改革</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认真贯彻落实建设黄河流域生态保护和高质量发展先行区第四次推进会议精神，重点抓好水权改革“节水增效”、土地权改革“盘活增值”、排污权改革“降污增益”、山林权改革“增绿植绿”，更大力度释放改革红利，促进城乡居民增收。</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水务局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自然资源局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市生态环境局彭阳分局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28</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壮大村级集体经济</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严格村集体资金管理和使用，进一步完善村集体经济管理各项制度，出台《彭阳县扶持发展壮大村级集体经济项目管理暂行办法》，管好用活农村集体“三资”，打破靠资源租赁等低层次创收模式，灵活运用光伏产业、电子商务、乡村旅游等发展模式，实施好壮大村集体经济项目，盘活存量资产，挖掘资源性收入、提高经营性收入。到2021年底，打造发展壮大村集体经济示范点10个，村级集体经济收入7万元以上的行政村达到100%，全县实现村级集体收入2000万元以上，当年完成分红800万元。</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组织部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29</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完善房屋交易市场</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严格落实《彭阳县房地产市场“一城一策”调控工作方案》工作要求，增强市场预判性和调控主动性。建成彭阳县住房租赁交易服务平台，实现与固原市住房租赁信息服务监管平台联网并行，利用政府闲置物业、直管公房、老旧社区以及城中村闲置物业等资源，开展住房租赁业务，支持专业化住房租赁机构发展，鼓励机构通过自建、回收、回购、代租等方式筹集租赁住房房源。</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住房城乡建设局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加强收入保障力度</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建立财政支持城乡融合发展机制，完善地方金融有效监管和金融有效支持实体经济的体制机制，增强重点战略任务财力保障，提升基层公共服务保障能力，2021年新增贷款5亿元</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金融局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31</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每年开展打击非法集资、网络诈骗、“515”防范经济犯罪宣传不少于2次，建立彭阳县反诈联盟工作微信群，每周发布案情通报，转发转载防诈宣传内容，推广国家反诈中心APP，开展电信网络诈骗案件现场勘查声纹应用工作，常态化推进防诈反诈宣传，进一步加强对群众财产的法治保障。</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张</w:t>
            </w:r>
            <w:r>
              <w:rPr>
                <w:rFonts w:hint="eastAsia" w:ascii="Times New Roman" w:hAnsi="Times New Roman" w:eastAsia="仿宋_GB2312" w:cs="Times New Roman"/>
                <w:sz w:val="22"/>
                <w:szCs w:val="22"/>
                <w:vertAlign w:val="baseline"/>
                <w:lang w:val="en-US" w:eastAsia="zh-CN"/>
              </w:rPr>
              <w:t xml:space="preserve">  </w:t>
            </w:r>
            <w:r>
              <w:rPr>
                <w:rFonts w:hint="eastAsia" w:ascii="Times New Roman" w:hAnsi="Times New Roman" w:eastAsia="仿宋_GB2312" w:cs="Times New Roman"/>
                <w:sz w:val="22"/>
                <w:szCs w:val="22"/>
                <w:vertAlign w:val="baseline"/>
                <w:lang w:eastAsia="zh-CN"/>
              </w:rPr>
              <w:t>学</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公安局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司法局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每年深入建筑工地现场向农民工宣传《中华人民共和国劳动法》、保障农民工工资支付、安全生产、法律援助、个人所得税等相关法律法规和政策3次，结合欠薪维权案例以案说法，切实增强用人单位和农民工法律意识。</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张</w:t>
            </w:r>
            <w:r>
              <w:rPr>
                <w:rFonts w:hint="eastAsia" w:ascii="Times New Roman" w:hAnsi="Times New Roman" w:eastAsia="仿宋_GB2312" w:cs="Times New Roman"/>
                <w:sz w:val="22"/>
                <w:szCs w:val="22"/>
                <w:vertAlign w:val="baseline"/>
                <w:lang w:val="en-US" w:eastAsia="zh-CN"/>
              </w:rPr>
              <w:t xml:space="preserve">  </w:t>
            </w:r>
            <w:r>
              <w:rPr>
                <w:rFonts w:hint="eastAsia" w:ascii="Times New Roman" w:hAnsi="Times New Roman" w:eastAsia="仿宋_GB2312" w:cs="Times New Roman"/>
                <w:sz w:val="22"/>
                <w:szCs w:val="22"/>
                <w:vertAlign w:val="baseline"/>
                <w:lang w:eastAsia="zh-CN"/>
              </w:rPr>
              <w:t>学</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司法局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强化社会保障</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进一步完善城乡居民基本养老保险制度，建立基础养老金正常调整机制，继续落实好被征地农民养老保险政策宣传，城乡居民基本养老保险标准在现有185元的基础上，每两年提高15元</w:t>
            </w:r>
            <w:r>
              <w:rPr>
                <w:rFonts w:hint="eastAsia" w:ascii="Times New Roman" w:hAnsi="Times New Roman" w:eastAsia="仿宋_GB2312" w:cs="Times New Roman"/>
                <w:sz w:val="22"/>
                <w:szCs w:val="22"/>
                <w:vertAlign w:val="baseline"/>
                <w:lang w:eastAsia="zh-CN"/>
              </w:rPr>
              <w:t>。</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人力资源社会保障局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34</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强化社会保障</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在重点保障城乡低保对象、特困人员的基础上，形成阶梯式救助模式。强化社会救助兜底保障作用，及时兑现农村低保、特困人员救助、农村困难残疾人补贴等保障资金，及时启动相关价格补贴联动机制，加强对困难群体基本生活保障。</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民政局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35</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充分发挥各级工会帮困解难作用，准确掌握困难职工群体规模、分布、就业、收入等情况，扎实开展困难职工建档立卡工作，对全县建档困难职工，按期发放救助金，跟进完成自治区安排救助困难职工。</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总工会</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严格落实“一个平台+三色预警+五步监测+八项帮扶”防返贫监测预警精准帮扶机制，对“两类人口”精准落实产业发展、金融扶持、技能培训、就业补助、移民后续扶持发展等帮扶措施，不断提升帮扶实效。</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乡村振兴局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37</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兑现惠农补贴</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加大乡村干部培训力度，实现乡村干部政策学习培训全覆盖，年开展政策培训宣讲活动不少于2次，群众政策知晓率达到100%。</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组织部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农业农村局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38</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兑现惠农补贴</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加大对“三农”投入力度，深化涉农资金统筹整合，建立产业到户项目“443”监管机制，实施全面验收、全过程跟踪、全方位公开，主动接受全社会监督，坚持做到同步启动验收、同步签字确认、同步公开公示、同步核查认定，确保及时足额发放退耕还林、草原奖补、耕地地力保护补贴、产业奖补等惠农补贴。</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财政局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乡村振兴局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39</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探索建立农产品价格保险，进一步提高农业抗风险能力，切实保障农民收益。</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金融局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节约群众支出</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加快推进城乡客运“一体化”、“四好农村路”建设，打造以县汽车站为中心，红河、新集等乡镇客运站为节点的城乡客运服务体系，推动乡村公路向进村入户倾斜，降低群众出行成本。</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王继讲</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交通运输局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41</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深入推进“互联网+医疗”“互联网+政务服务”“互联网+城乡供水”等数字化政府建设，实现所有行政村“家门口服务站”、医疗报销、用水购水等便民业务全覆盖。</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荆瑞芳</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王志会</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水务局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卫生健康局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审批局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医保局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42</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节约群众支出</w:t>
            </w: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引导群众树立健康生活理念，全面推进健康知识“五进”、“健康细胞”、爱国卫生创建等活动。实施乡村卫生院远程诊疗试点，开展常住户健康筛查，建立地方病和慢性病台账，由基层医务人员定期入户开展医疗服务，逐步实现由“治已病”向“防未病”转变，降低群众医疗成本。</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荆瑞芳</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卫生健康局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认真落实“两免一补”、大学生无息贷款等一揽子惠民利民政策，积极引导社会群体、公益性组织、企业加强对困难学生家庭的资助力度，继续向符合条件的监测对象家庭安排“雨露计划”补助。</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何少庸</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教育体育局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w:t>
            </w: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c>
          <w:tcPr>
            <w:tcW w:w="384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r>
              <w:rPr>
                <w:rFonts w:hint="default" w:ascii="Times New Roman" w:hAnsi="Times New Roman" w:eastAsia="仿宋_GB2312" w:cs="Times New Roman"/>
                <w:sz w:val="22"/>
                <w:szCs w:val="22"/>
                <w:vertAlign w:val="baseline"/>
                <w:lang w:eastAsia="zh-CN"/>
              </w:rPr>
              <w:t>持续推进移风易俗，发挥“一约四会”作用，选树一批移风易俗示范村、模范户，坚决遏制农村高额彩礼、大操大办、铺张浪费、薄养厚葬等陈规陋习。</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马  瑾</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宣传部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r>
              <w:rPr>
                <w:rFonts w:hint="eastAsia" w:ascii="Times New Roman" w:hAnsi="Times New Roman" w:eastAsia="仿宋_GB2312" w:cs="Times New Roman"/>
                <w:sz w:val="22"/>
                <w:szCs w:val="22"/>
                <w:vertAlign w:val="baseline"/>
                <w:lang w:eastAsia="zh-CN"/>
              </w:rPr>
              <w:t>文化旅游广电局</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z w:val="22"/>
                <w:szCs w:val="22"/>
                <w:vertAlign w:val="baseline"/>
                <w:lang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2"/>
                <w:szCs w:val="22"/>
                <w:vertAlign w:val="baseline"/>
                <w:lang w:eastAsia="zh-CN"/>
              </w:rPr>
            </w:pPr>
          </w:p>
        </w:tc>
      </w:tr>
    </w:tbl>
    <w:p/>
    <w:p>
      <w:pPr>
        <w:pStyle w:val="2"/>
        <w:rPr>
          <w:rFonts w:hint="default"/>
          <w:lang w:eastAsia="zh-CN"/>
        </w:rPr>
        <w:sectPr>
          <w:headerReference r:id="rId3" w:type="default"/>
          <w:footerReference r:id="rId4" w:type="default"/>
          <w:pgSz w:w="16838" w:h="11906" w:orient="landscape"/>
          <w:pgMar w:top="1587" w:right="2098" w:bottom="1474" w:left="1984" w:header="851" w:footer="850" w:gutter="0"/>
          <w:cols w:space="0" w:num="1"/>
          <w:rtlGutter w:val="0"/>
          <w:docGrid w:type="lines" w:linePitch="312" w:charSpace="0"/>
        </w:sectPr>
      </w:pPr>
    </w:p>
    <w:p>
      <w:pPr>
        <w:rPr>
          <w:rFonts w:hint="default"/>
          <w:lang w:eastAsia="zh-CN"/>
        </w:rPr>
      </w:pPr>
    </w:p>
    <w:p>
      <w:pPr>
        <w:rPr>
          <w:rFonts w:hint="default" w:ascii="Times New Roman" w:hAnsi="Times New Roman" w:eastAsia="仿宋_GB2312" w:cs="Times New Roman"/>
          <w:color w:val="auto"/>
          <w:sz w:val="32"/>
          <w:szCs w:val="32"/>
          <w:lang w:eastAsia="zh-CN"/>
        </w:rPr>
      </w:pPr>
    </w:p>
    <w:p>
      <w:pPr>
        <w:pStyle w:val="2"/>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pStyle w:val="2"/>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pStyle w:val="2"/>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pStyle w:val="2"/>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40" w:lineRule="exact"/>
        <w:ind w:firstLine="210" w:firstLineChars="100"/>
        <w:jc w:val="both"/>
        <w:textAlignment w:val="center"/>
        <w:outlineLvl w:val="9"/>
        <w:rPr>
          <w:rFonts w:hint="default" w:ascii="Times New Roman" w:hAnsi="Times New Roman" w:cs="Times New Roman"/>
        </w:rPr>
      </w:pPr>
    </w:p>
    <w:sectPr>
      <w:pgSz w:w="11906" w:h="16838"/>
      <w:pgMar w:top="2098" w:right="1474" w:bottom="1984" w:left="158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-464820</wp:posOffset>
              </wp:positionV>
              <wp:extent cx="1828800" cy="342265"/>
              <wp:effectExtent l="0" t="0" r="0" b="0"/>
              <wp:wrapNone/>
              <wp:docPr id="27" name="文本框1"/>
              <wp:cNvGraphicFramePr/>
              <a:graphic xmlns:a="http://schemas.openxmlformats.org/drawingml/2006/main">
                <a:graphicData uri="http://schemas.microsoft.com/office/word/2010/wordprocessingShape">
                  <wps:wsp>
                    <wps:cNvSpPr txBox="1"/>
                    <wps:spPr>
                      <a:xfrm>
                        <a:off x="0" y="0"/>
                        <a:ext cx="1828800" cy="342265"/>
                      </a:xfrm>
                      <a:prstGeom prst="rect">
                        <a:avLst/>
                      </a:prstGeom>
                      <a:noFill/>
                      <a:ln w="9525">
                        <a:noFill/>
                      </a:ln>
                      <a:effectLst/>
                    </wps:spPr>
                    <wps:txbx>
                      <w:txbxContent>
                        <w:p>
                          <w:pPr>
                            <w:snapToGrid w:val="0"/>
                            <w:ind w:left="420" w:leftChars="200" w:right="420" w:rightChars="200"/>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a:noAutofit/>
                    </wps:bodyPr>
                  </wps:wsp>
                </a:graphicData>
              </a:graphic>
            </wp:anchor>
          </w:drawing>
        </mc:Choice>
        <mc:Fallback>
          <w:pict>
            <v:shape id="文本框1" o:spid="_x0000_s1026" o:spt="202" type="#_x0000_t202" style="position:absolute;left:0pt;margin-top:-36.6pt;height:26.95pt;width:144pt;mso-position-horizontal:outside;mso-position-horizontal-relative:margin;mso-wrap-style:none;z-index:251659264;mso-width-relative:page;mso-height-relative:page;" filled="f" stroked="f" coordsize="21600,21600" o:gfxdata="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neGztUAAAAIAQAADwAAAAAAAAABACAAAAAi&#10;AAAAZHJzL2Rvd25yZXYueG1sUEsBAhQAFAAAAAgAh07iQC2X8rPUAQAAowMAAA4AAAAAAAAAAQAg&#10;AAAAJAEAAGRycy9lMm9Eb2MueG1sUEsFBgAAAAAGAAYAWQEAAGoFAAAAAA==&#10;">
              <v:fill on="f" focussize="0,0"/>
              <v:stroke on="f"/>
              <v:imagedata o:title=""/>
              <o:lock v:ext="edit" aspectratio="f"/>
              <v:textbox inset="0mm,0mm,0mm,0mm">
                <w:txbxContent>
                  <w:p>
                    <w:pPr>
                      <w:snapToGrid w:val="0"/>
                      <w:ind w:left="420" w:leftChars="200" w:right="420" w:rightChars="200"/>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zAwYjI2YzFiMjQzMDIyNGQxNzgwMGIxNmQyMGMifQ=="/>
  </w:docVars>
  <w:rsids>
    <w:rsidRoot w:val="455444CF"/>
    <w:rsid w:val="00A90C44"/>
    <w:rsid w:val="0232433C"/>
    <w:rsid w:val="0520210F"/>
    <w:rsid w:val="05E556DD"/>
    <w:rsid w:val="0C0724A7"/>
    <w:rsid w:val="0C35214E"/>
    <w:rsid w:val="0F9472F3"/>
    <w:rsid w:val="0FB75A2B"/>
    <w:rsid w:val="14BD0382"/>
    <w:rsid w:val="1A3B3F6C"/>
    <w:rsid w:val="1C3B3836"/>
    <w:rsid w:val="1D0F6327"/>
    <w:rsid w:val="1DCB24CE"/>
    <w:rsid w:val="21FB1065"/>
    <w:rsid w:val="22F277B5"/>
    <w:rsid w:val="27E56E80"/>
    <w:rsid w:val="29F45EEE"/>
    <w:rsid w:val="2B634CF0"/>
    <w:rsid w:val="2C0337CD"/>
    <w:rsid w:val="2C2A0CA0"/>
    <w:rsid w:val="317B24FC"/>
    <w:rsid w:val="31D522C1"/>
    <w:rsid w:val="338263E3"/>
    <w:rsid w:val="338D77C2"/>
    <w:rsid w:val="35BA0222"/>
    <w:rsid w:val="37FB162E"/>
    <w:rsid w:val="3C11112E"/>
    <w:rsid w:val="3D4A402D"/>
    <w:rsid w:val="3DE60392"/>
    <w:rsid w:val="3EAF5DC7"/>
    <w:rsid w:val="40134D5F"/>
    <w:rsid w:val="43D535C3"/>
    <w:rsid w:val="44F01446"/>
    <w:rsid w:val="452F0B93"/>
    <w:rsid w:val="455444CF"/>
    <w:rsid w:val="52B037D2"/>
    <w:rsid w:val="550408B9"/>
    <w:rsid w:val="5B444BBA"/>
    <w:rsid w:val="5B66035A"/>
    <w:rsid w:val="634239B9"/>
    <w:rsid w:val="63CF4A4F"/>
    <w:rsid w:val="67DD7E37"/>
    <w:rsid w:val="6AD84CF3"/>
    <w:rsid w:val="6C8759C0"/>
    <w:rsid w:val="6E017802"/>
    <w:rsid w:val="6E31620A"/>
    <w:rsid w:val="6F797552"/>
    <w:rsid w:val="706A404E"/>
    <w:rsid w:val="70DD096D"/>
    <w:rsid w:val="7B793558"/>
    <w:rsid w:val="7DE93412"/>
    <w:rsid w:val="7E4C0829"/>
    <w:rsid w:val="7F9D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line="560" w:lineRule="exact"/>
      <w:ind w:firstLine="1200" w:firstLineChars="200"/>
      <w:outlineLvl w:val="2"/>
    </w:pPr>
    <w:rPr>
      <w:rFonts w:ascii="Calibri" w:hAnsi="Calibri" w:eastAsia="宋体" w:cs="Times New Roman"/>
      <w:b/>
      <w:bCs/>
    </w:rPr>
  </w:style>
  <w:style w:type="character" w:default="1" w:styleId="11">
    <w:name w:val="Default Paragraph Font"/>
    <w:link w:val="12"/>
    <w:semiHidden/>
    <w:qFormat/>
    <w:uiPriority w:val="0"/>
    <w:rPr>
      <w:szCs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eastAsia="zh-CN" w:bidi="zh-CN"/>
    </w:rPr>
  </w:style>
  <w:style w:type="paragraph" w:styleId="4">
    <w:name w:val="index 5"/>
    <w:basedOn w:val="1"/>
    <w:next w:val="1"/>
    <w:qFormat/>
    <w:uiPriority w:val="0"/>
    <w:pPr>
      <w:ind w:left="1680"/>
    </w:pPr>
  </w:style>
  <w:style w:type="paragraph" w:styleId="5">
    <w:name w:val="Body Text Indent"/>
    <w:basedOn w:val="1"/>
    <w:next w:val="4"/>
    <w:qFormat/>
    <w:uiPriority w:val="0"/>
    <w:pPr>
      <w:ind w:firstLine="630"/>
    </w:pPr>
    <w:rPr>
      <w:rFonts w:eastAsia="仿宋_GB2312"/>
      <w:sz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1 Char Char Char"/>
    <w:basedOn w:val="1"/>
    <w:link w:val="11"/>
    <w:qFormat/>
    <w:uiPriority w:val="0"/>
    <w:rPr>
      <w:szCs w:val="24"/>
    </w:rPr>
  </w:style>
  <w:style w:type="character" w:styleId="13">
    <w:name w:val="page number"/>
    <w:basedOn w:val="11"/>
    <w:qFormat/>
    <w:uiPriority w:val="0"/>
    <w:rPr>
      <w:rFonts w:hint="default" w:asci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4935</Words>
  <Characters>5097</Characters>
  <Lines>0</Lines>
  <Paragraphs>0</Paragraphs>
  <TotalTime>2</TotalTime>
  <ScaleCrop>false</ScaleCrop>
  <LinksUpToDate>false</LinksUpToDate>
  <CharactersWithSpaces>5141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2021-06-02T07:59:00Z</dcterms:created>
  <dc:creator>李翔宇</dc:creator>
  <cp:lastModifiedBy>lenovo</cp:lastModifiedBy>
  <cp:lastPrinted>2021-06-22T07:34:00Z</cp:lastPrinted>
  <dcterms:modified xsi:type="dcterms:W3CDTF">2022-11-07T01:52:59Z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C6A553A7DF5D44148EC0E2144820F546</vt:lpwstr>
  </property>
</Properties>
</file>