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000000"/>
          <w:sz w:val="32"/>
          <w:szCs w:val="32"/>
        </w:rPr>
      </w:pPr>
      <w:r>
        <w:rPr>
          <w:rFonts w:hint="eastAsia" w:ascii="仿宋_GB2312" w:eastAsia="仿宋_GB2312"/>
          <w:color w:val="000000"/>
          <w:sz w:val="32"/>
          <w:szCs w:val="32"/>
        </w:rPr>
        <w:t>附件1</w:t>
      </w:r>
    </w:p>
    <w:p>
      <w:pPr>
        <w:pStyle w:val="2"/>
        <w:adjustRightInd/>
        <w:spacing w:after="120" w:line="740" w:lineRule="exact"/>
        <w:jc w:val="center"/>
        <w:textAlignment w:val="auto"/>
        <w:rPr>
          <w:rFonts w:hint="eastAsia" w:eastAsia="方正小标宋简体" w:cs="方正小标宋简体"/>
          <w:color w:val="000000"/>
          <w:kern w:val="0"/>
          <w:sz w:val="52"/>
          <w:szCs w:val="52"/>
        </w:rPr>
      </w:pPr>
      <w:r>
        <w:rPr>
          <w:rFonts w:hint="eastAsia" w:eastAsia="方正小标宋简体" w:cs="方正小标宋简体"/>
          <w:color w:val="000000"/>
          <w:kern w:val="0"/>
          <w:sz w:val="52"/>
          <w:szCs w:val="52"/>
          <w:lang w:eastAsia="zh-CN"/>
        </w:rPr>
        <w:t>2022年度</w:t>
      </w:r>
      <w:r>
        <w:rPr>
          <w:rFonts w:hint="eastAsia" w:eastAsia="方正小标宋简体" w:cs="方正小标宋简体"/>
          <w:color w:val="000000"/>
          <w:kern w:val="0"/>
          <w:sz w:val="52"/>
          <w:szCs w:val="52"/>
        </w:rPr>
        <w:t>行政事业单位</w:t>
      </w:r>
    </w:p>
    <w:p>
      <w:pPr>
        <w:pStyle w:val="2"/>
        <w:adjustRightInd/>
        <w:spacing w:after="120" w:line="740" w:lineRule="exact"/>
        <w:jc w:val="center"/>
        <w:textAlignment w:val="auto"/>
        <w:rPr>
          <w:rFonts w:hint="eastAsia" w:eastAsia="方正小标宋简体" w:cs="方正小标宋简体"/>
          <w:color w:val="000000"/>
          <w:kern w:val="0"/>
          <w:sz w:val="52"/>
          <w:szCs w:val="52"/>
        </w:rPr>
      </w:pPr>
      <w:r>
        <w:rPr>
          <w:rFonts w:hint="eastAsia" w:eastAsia="方正小标宋简体" w:cs="方正小标宋简体"/>
          <w:color w:val="000000"/>
          <w:kern w:val="0"/>
          <w:sz w:val="52"/>
          <w:szCs w:val="52"/>
        </w:rPr>
        <w:t>内部控制报告</w:t>
      </w:r>
    </w:p>
    <w:p>
      <w:pPr>
        <w:jc w:val="center"/>
        <w:rPr>
          <w:rFonts w:ascii="黑体" w:eastAsia="黑体"/>
          <w:b/>
          <w:sz w:val="24"/>
        </w:rPr>
      </w:pPr>
    </w:p>
    <w:p>
      <w:pPr>
        <w:jc w:val="center"/>
        <w:rPr>
          <w:rFonts w:ascii="黑体" w:eastAsia="黑体"/>
          <w:b/>
          <w:sz w:val="24"/>
        </w:rPr>
      </w:pPr>
    </w:p>
    <w:p>
      <w:pPr>
        <w:spacing w:line="480" w:lineRule="exact"/>
        <w:jc w:val="center"/>
        <w:outlineLvl w:val="0"/>
        <w:rPr>
          <w:rFonts w:hint="eastAsia" w:ascii="仿宋_GB2312" w:eastAsia="仿宋_GB2312"/>
          <w:sz w:val="32"/>
          <w:szCs w:val="32"/>
        </w:rPr>
      </w:pPr>
      <w:r>
        <w:rPr>
          <w:rFonts w:hint="eastAsia" w:ascii="仿宋_GB2312" w:eastAsia="仿宋_GB2312"/>
          <w:sz w:val="32"/>
          <w:szCs w:val="32"/>
        </w:rPr>
        <w:t>(单位公章)</w:t>
      </w:r>
    </w:p>
    <w:p>
      <w:pPr>
        <w:spacing w:line="480" w:lineRule="exact"/>
        <w:jc w:val="center"/>
        <w:outlineLvl w:val="0"/>
        <w:rPr>
          <w:rFonts w:hint="eastAsia" w:ascii="仿宋_GB2312" w:eastAsia="仿宋_GB2312"/>
          <w:sz w:val="32"/>
          <w:szCs w:val="32"/>
        </w:rPr>
      </w:pP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名 称:</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负 责 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rPr>
      </w:pPr>
      <w:r>
        <w:rPr>
          <w:rFonts w:hint="eastAsia" w:ascii="仿宋_GB2312" w:eastAsia="仿宋_GB2312"/>
          <w:sz w:val="32"/>
          <w:szCs w:val="32"/>
        </w:rPr>
        <w:t>分管内控负责人: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rPr>
      </w:pPr>
      <w:r>
        <w:rPr>
          <w:rFonts w:hint="eastAsia" w:ascii="仿宋_GB2312" w:eastAsia="仿宋_GB2312"/>
          <w:sz w:val="32"/>
          <w:szCs w:val="32"/>
        </w:rPr>
        <w:t>牵头部门负责人: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填   表  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填 表 部 门:</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电 话 号 码:</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地 址:</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b/>
          <w:sz w:val="32"/>
          <w:szCs w:val="32"/>
          <w:u w:val="single"/>
        </w:rPr>
      </w:pPr>
      <w:r>
        <w:rPr>
          <w:rFonts w:hint="eastAsia" w:ascii="仿宋_GB2312" w:eastAsia="仿宋_GB2312"/>
          <w:sz w:val="32"/>
          <w:szCs w:val="32"/>
        </w:rPr>
        <w:t>邮 政 编 码:</w:t>
      </w:r>
      <w:r>
        <w:rPr>
          <w:rFonts w:hint="eastAsia" w:ascii="仿宋_GB2312" w:eastAsia="仿宋_GB2312"/>
          <w:sz w:val="32"/>
          <w:szCs w:val="32"/>
          <w:u w:val="single"/>
        </w:rPr>
        <w:t xml:space="preserve">                     </w:t>
      </w:r>
    </w:p>
    <w:p>
      <w:pPr>
        <w:spacing w:line="360" w:lineRule="auto"/>
        <w:ind w:left="1260" w:firstLine="420"/>
        <w:jc w:val="left"/>
        <w:outlineLvl w:val="0"/>
        <w:rPr>
          <w:rFonts w:hint="eastAsia" w:ascii="仿宋_GB2312" w:eastAsia="仿宋_GB2312"/>
          <w:sz w:val="32"/>
          <w:szCs w:val="32"/>
          <w:u w:val="single"/>
        </w:rPr>
      </w:pPr>
      <w:r>
        <w:rPr>
          <w:rFonts w:hint="eastAsia" w:ascii="仿宋_GB2312" w:eastAsia="仿宋_GB2312"/>
          <w:sz w:val="32"/>
          <w:szCs w:val="32"/>
        </w:rPr>
        <w:t>报 送 日 期:</w:t>
      </w:r>
      <w:r>
        <w:rPr>
          <w:rFonts w:hint="eastAsia" w:ascii="仿宋_GB2312" w:eastAsia="仿宋_GB2312"/>
          <w:sz w:val="32"/>
          <w:szCs w:val="32"/>
          <w:u w:val="single"/>
        </w:rPr>
        <w:t xml:space="preserve">         年  月  日  </w:t>
      </w:r>
    </w:p>
    <w:p>
      <w:pPr>
        <w:spacing w:line="480" w:lineRule="exact"/>
        <w:jc w:val="left"/>
        <w:outlineLvl w:val="0"/>
        <w:rPr>
          <w:rFonts w:hint="eastAsia" w:ascii="仿宋_GB2312" w:eastAsia="仿宋_GB2312"/>
          <w:sz w:val="32"/>
          <w:szCs w:val="32"/>
          <w:u w:val="single"/>
        </w:rPr>
      </w:pPr>
    </w:p>
    <w:p>
      <w:pPr>
        <w:pStyle w:val="2"/>
        <w:adjustRightInd/>
        <w:spacing w:after="62" w:afterLines="20" w:line="520" w:lineRule="exact"/>
        <w:jc w:val="center"/>
        <w:textAlignment w:val="auto"/>
        <w:rPr>
          <w:rFonts w:hint="eastAsia" w:ascii="楷体_GB2312" w:hAnsi="宋体" w:eastAsia="楷体_GB2312" w:cs="宋体"/>
          <w:color w:val="000000"/>
          <w:spacing w:val="-6"/>
          <w:kern w:val="0"/>
          <w:sz w:val="32"/>
          <w:szCs w:val="32"/>
        </w:rPr>
      </w:pPr>
      <w:r>
        <w:rPr>
          <w:rFonts w:hint="eastAsia" w:ascii="楷体_GB2312" w:hAnsi="宋体" w:eastAsia="楷体_GB2312" w:cs="宋体"/>
          <w:color w:val="000000"/>
          <w:spacing w:val="-6"/>
          <w:kern w:val="0"/>
          <w:sz w:val="32"/>
          <w:szCs w:val="32"/>
          <w:lang w:val="en-US" w:eastAsia="zh-CN"/>
        </w:rPr>
        <w:t xml:space="preserve">  </w:t>
      </w:r>
      <w:r>
        <w:rPr>
          <w:rFonts w:hint="eastAsia" w:ascii="楷体_GB2312" w:hAnsi="宋体" w:eastAsia="楷体_GB2312" w:cs="宋体"/>
          <w:color w:val="000000"/>
          <w:spacing w:val="-6"/>
          <w:kern w:val="0"/>
          <w:sz w:val="32"/>
          <w:szCs w:val="32"/>
        </w:rPr>
        <w:t>财政部</w:t>
      </w:r>
    </w:p>
    <w:p>
      <w:pPr>
        <w:pStyle w:val="2"/>
        <w:adjustRightInd/>
        <w:spacing w:after="62" w:afterLines="20" w:line="520" w:lineRule="exact"/>
        <w:jc w:val="center"/>
        <w:textAlignment w:val="auto"/>
        <w:rPr>
          <w:rFonts w:ascii="楷体_GB2312" w:hAnsi="宋体" w:eastAsia="楷体_GB2312" w:cs="宋体"/>
          <w:color w:val="000000"/>
          <w:spacing w:val="-6"/>
          <w:kern w:val="0"/>
          <w:sz w:val="32"/>
          <w:szCs w:val="32"/>
        </w:rPr>
      </w:pPr>
      <w:r>
        <w:rPr>
          <w:rFonts w:hint="eastAsia" w:eastAsia="楷体_GB2312"/>
          <w:color w:val="000000"/>
          <w:spacing w:val="-6"/>
          <w:kern w:val="0"/>
          <w:sz w:val="32"/>
          <w:szCs w:val="32"/>
          <w:lang w:val="en-US" w:eastAsia="zh-CN"/>
        </w:rPr>
        <w:t xml:space="preserve"> </w:t>
      </w:r>
      <w:r>
        <w:rPr>
          <w:rFonts w:hint="eastAsia" w:eastAsia="楷体_GB2312"/>
          <w:color w:val="000000"/>
          <w:spacing w:val="-6"/>
          <w:kern w:val="0"/>
          <w:sz w:val="32"/>
          <w:szCs w:val="32"/>
        </w:rPr>
        <w:t>202</w:t>
      </w:r>
      <w:r>
        <w:rPr>
          <w:rFonts w:hint="eastAsia" w:eastAsia="楷体_GB2312"/>
          <w:color w:val="000000"/>
          <w:spacing w:val="-6"/>
          <w:kern w:val="0"/>
          <w:sz w:val="32"/>
          <w:szCs w:val="32"/>
          <w:lang w:val="en-US" w:eastAsia="zh-CN"/>
        </w:rPr>
        <w:t>3</w:t>
      </w:r>
      <w:r>
        <w:rPr>
          <w:rFonts w:hint="eastAsia" w:ascii="楷体_GB2312" w:hAnsi="宋体" w:eastAsia="楷体_GB2312" w:cs="宋体"/>
          <w:color w:val="000000"/>
          <w:spacing w:val="-6"/>
          <w:kern w:val="0"/>
          <w:sz w:val="32"/>
          <w:szCs w:val="32"/>
        </w:rPr>
        <w:t>年 制</w:t>
      </w:r>
    </w:p>
    <w:p>
      <w:pPr>
        <w:spacing w:line="480" w:lineRule="exact"/>
        <w:ind w:left="1680" w:firstLine="420"/>
        <w:jc w:val="left"/>
        <w:outlineLvl w:val="0"/>
        <w:rPr>
          <w:rFonts w:hint="eastAsia" w:ascii="仿宋_GB2312" w:eastAsia="仿宋_GB2312"/>
          <w:sz w:val="32"/>
          <w:szCs w:val="32"/>
          <w:u w:val="single"/>
        </w:rPr>
      </w:pPr>
    </w:p>
    <w:p>
      <w:pPr>
        <w:rPr>
          <w:rFonts w:ascii="黑体" w:eastAsia="黑体"/>
          <w:sz w:val="24"/>
        </w:rPr>
        <w:sectPr>
          <w:footerReference r:id="rId5" w:type="default"/>
          <w:footerReference r:id="rId6" w:type="even"/>
          <w:pgSz w:w="11906" w:h="16838"/>
          <w:pgMar w:top="1440" w:right="1800" w:bottom="1440" w:left="1800" w:header="851" w:footer="499" w:gutter="0"/>
          <w:cols w:space="720" w:num="1"/>
          <w:docGrid w:type="lines" w:linePitch="312" w:charSpace="0"/>
        </w:sectPr>
      </w:pPr>
    </w:p>
    <w:p>
      <w:pPr>
        <w:rPr>
          <w:rFonts w:ascii="黑体" w:eastAsia="黑体"/>
          <w:sz w:val="28"/>
          <w:szCs w:val="28"/>
        </w:rPr>
      </w:pPr>
    </w:p>
    <w:p>
      <w:pPr>
        <w:spacing w:line="560" w:lineRule="exact"/>
        <w:jc w:val="center"/>
        <w:rPr>
          <w:rFonts w:hint="eastAsia" w:ascii="黑体" w:eastAsia="黑体" w:cs="方正小标宋简体"/>
          <w:color w:val="000000"/>
          <w:spacing w:val="-10"/>
          <w:sz w:val="36"/>
          <w:szCs w:val="36"/>
        </w:rPr>
      </w:pPr>
    </w:p>
    <w:p>
      <w:pPr>
        <w:spacing w:line="560" w:lineRule="exact"/>
        <w:jc w:val="center"/>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pPr>
        <w:spacing w:line="460" w:lineRule="exact"/>
        <w:ind w:firstLine="576" w:firstLineChars="200"/>
        <w:rPr>
          <w:rFonts w:hint="eastAsia" w:eastAsia="仿宋_GB2312" w:cs="仿宋_GB2312"/>
          <w:color w:val="000000"/>
          <w:spacing w:val="4"/>
          <w:sz w:val="28"/>
          <w:szCs w:val="28"/>
        </w:rPr>
      </w:pP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 xml:space="preserve">1. </w:t>
      </w:r>
      <w:r>
        <w:rPr>
          <w:rFonts w:hint="eastAsia" w:eastAsia="仿宋_GB2312" w:cs="仿宋_GB2312"/>
          <w:color w:val="000000"/>
          <w:spacing w:val="4"/>
          <w:sz w:val="28"/>
          <w:szCs w:val="28"/>
          <w:lang w:eastAsia="zh-CN"/>
        </w:rPr>
        <w:t>2022年度</w:t>
      </w:r>
      <w:r>
        <w:rPr>
          <w:rFonts w:hint="eastAsia" w:eastAsia="仿宋_GB2312" w:cs="仿宋_GB2312"/>
          <w:color w:val="000000"/>
          <w:spacing w:val="4"/>
          <w:sz w:val="28"/>
          <w:szCs w:val="28"/>
        </w:rPr>
        <w:t>行政事业单位内部控制报告分为正文和附表两个部分。</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2.各单位根据《行政事业单位内部控制规范（试行）》，在本报告中如实填写本单位经济活动所涉及的预算、收支、政府采购、资产、建设项目、合同等业务的内部控制建设情况，不包括人事、党建等领域的内部控制情况。</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3.各单位应在</w:t>
      </w:r>
      <w:r>
        <w:rPr>
          <w:rFonts w:hint="eastAsia" w:eastAsia="仿宋_GB2312" w:cs="仿宋_GB2312"/>
          <w:color w:val="000000"/>
          <w:spacing w:val="4"/>
          <w:sz w:val="28"/>
          <w:szCs w:val="28"/>
          <w:lang w:eastAsia="zh-CN"/>
        </w:rPr>
        <w:t>2022年度</w:t>
      </w:r>
      <w:r>
        <w:rPr>
          <w:rFonts w:hint="eastAsia" w:eastAsia="仿宋_GB2312" w:cs="仿宋_GB2312"/>
          <w:color w:val="000000"/>
          <w:spacing w:val="4"/>
          <w:sz w:val="28"/>
          <w:szCs w:val="28"/>
        </w:rPr>
        <w:t>行政事业单位内部控制报告系统中填报相关内容，系统自动生成“</w:t>
      </w:r>
      <w:r>
        <w:rPr>
          <w:rFonts w:hint="eastAsia" w:eastAsia="仿宋_GB2312" w:cs="仿宋_GB2312"/>
          <w:color w:val="000000"/>
          <w:spacing w:val="4"/>
          <w:sz w:val="28"/>
          <w:szCs w:val="28"/>
          <w:lang w:eastAsia="zh-CN"/>
        </w:rPr>
        <w:t>2022年度</w:t>
      </w:r>
      <w:r>
        <w:rPr>
          <w:rFonts w:hint="eastAsia" w:eastAsia="仿宋_GB2312" w:cs="仿宋_GB2312"/>
          <w:color w:val="000000"/>
          <w:spacing w:val="4"/>
          <w:sz w:val="28"/>
          <w:szCs w:val="28"/>
        </w:rPr>
        <w:t>行政事业单位内部控制报告”。</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4.单位名称填列单位的全称，各级主管部门填报本级报告时，应在单位名称后加“（本级）”。</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5.报告中的年、月、日一律用公历和阿拉伯数字表示。</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6.电话号码处填写填表人的联系电话号码。</w:t>
      </w:r>
    </w:p>
    <w:p>
      <w:pPr>
        <w:spacing w:line="360" w:lineRule="auto"/>
        <w:ind w:firstLine="576" w:firstLineChars="200"/>
        <w:rPr>
          <w:rFonts w:eastAsia="仿宋_GB2312" w:cs="仿宋_GB2312"/>
          <w:color w:val="000000"/>
          <w:spacing w:val="4"/>
          <w:sz w:val="28"/>
          <w:szCs w:val="28"/>
        </w:rPr>
      </w:pPr>
      <w:r>
        <w:rPr>
          <w:rFonts w:hint="eastAsia" w:eastAsia="仿宋_GB2312" w:cs="仿宋_GB2312"/>
          <w:color w:val="000000"/>
          <w:spacing w:val="4"/>
          <w:sz w:val="28"/>
          <w:szCs w:val="28"/>
        </w:rPr>
        <w:t>7.报送日期填写单位负责人审批通过内部控制报告的时间。</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8.填写前请认真阅读填报须知和附表内每一事项表格下方的填写说明。</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9.本报告应当按照规定进行脱敏脱密处理，严禁报送涉密信息</w:t>
      </w:r>
      <w:r>
        <w:rPr>
          <w:rFonts w:hint="eastAsia" w:eastAsia="仿宋_GB2312" w:cs="仿宋_GB2312"/>
          <w:color w:val="000000"/>
          <w:spacing w:val="4"/>
          <w:sz w:val="28"/>
          <w:szCs w:val="28"/>
          <w:lang w:eastAsia="zh-CN"/>
        </w:rPr>
        <w:t>，敏感信息通过光盘报送</w:t>
      </w:r>
      <w:r>
        <w:rPr>
          <w:rFonts w:hint="eastAsia" w:eastAsia="仿宋_GB2312" w:cs="仿宋_GB2312"/>
          <w:color w:val="000000"/>
          <w:spacing w:val="4"/>
          <w:sz w:val="28"/>
          <w:szCs w:val="28"/>
        </w:rPr>
        <w:t>。</w:t>
      </w:r>
    </w:p>
    <w:p>
      <w:pPr>
        <w:autoSpaceDE w:val="0"/>
        <w:autoSpaceDN w:val="0"/>
        <w:ind w:firstLine="616" w:firstLineChars="200"/>
        <w:textAlignment w:val="baseline"/>
        <w:rPr>
          <w:rFonts w:ascii="仿宋_GB2312" w:eastAsia="仿宋_GB2312"/>
          <w:sz w:val="30"/>
          <w:szCs w:val="30"/>
        </w:rPr>
      </w:pPr>
      <w:r>
        <w:rPr>
          <w:rFonts w:eastAsia="仿宋_GB2312" w:cs="仿宋_GB2312"/>
          <w:color w:val="000000"/>
          <w:spacing w:val="4"/>
          <w:sz w:val="30"/>
          <w:szCs w:val="30"/>
        </w:rPr>
        <w:br w:type="page"/>
      </w:r>
      <w:r>
        <w:rPr>
          <w:rFonts w:hint="eastAsia" w:ascii="仿宋_GB2312" w:eastAsia="仿宋_GB2312"/>
          <w:sz w:val="30"/>
          <w:szCs w:val="30"/>
        </w:rPr>
        <w:t>为贯彻落实《财政部关于全面推进行政事业单位内部控制建设的指导意见》（财会〔</w:t>
      </w:r>
      <w:r>
        <w:rPr>
          <w:rFonts w:ascii="仿宋_GB2312" w:eastAsia="仿宋_GB2312"/>
          <w:sz w:val="30"/>
          <w:szCs w:val="30"/>
        </w:rPr>
        <w:t>2015</w:t>
      </w:r>
      <w:r>
        <w:rPr>
          <w:rFonts w:hint="eastAsia" w:ascii="仿宋_GB2312" w:eastAsia="仿宋_GB2312"/>
          <w:sz w:val="30"/>
          <w:szCs w:val="30"/>
        </w:rPr>
        <w:t>〕</w:t>
      </w:r>
      <w:r>
        <w:rPr>
          <w:rFonts w:ascii="仿宋_GB2312" w:eastAsia="仿宋_GB2312"/>
          <w:sz w:val="30"/>
          <w:szCs w:val="30"/>
        </w:rPr>
        <w:t>24</w:t>
      </w:r>
      <w:r>
        <w:rPr>
          <w:rFonts w:hint="eastAsia" w:ascii="仿宋_GB2312" w:eastAsia="仿宋_GB2312"/>
          <w:sz w:val="30"/>
          <w:szCs w:val="30"/>
        </w:rPr>
        <w:t>号）的有关精神，依据《行政事业单位内部控制规范（试行）》（财会〔</w:t>
      </w:r>
      <w:r>
        <w:rPr>
          <w:rFonts w:ascii="仿宋_GB2312" w:eastAsia="仿宋_GB2312"/>
          <w:sz w:val="30"/>
          <w:szCs w:val="30"/>
        </w:rPr>
        <w:t>2012</w:t>
      </w:r>
      <w:r>
        <w:rPr>
          <w:rFonts w:hint="eastAsia" w:ascii="仿宋_GB2312" w:eastAsia="仿宋_GB2312"/>
          <w:sz w:val="30"/>
          <w:szCs w:val="30"/>
        </w:rPr>
        <w:t>〕</w:t>
      </w:r>
      <w:r>
        <w:rPr>
          <w:rFonts w:ascii="仿宋_GB2312" w:eastAsia="仿宋_GB2312"/>
          <w:sz w:val="30"/>
          <w:szCs w:val="30"/>
        </w:rPr>
        <w:t>21</w:t>
      </w:r>
      <w:r>
        <w:rPr>
          <w:rFonts w:hint="eastAsia" w:ascii="仿宋_GB2312" w:eastAsia="仿宋_GB2312"/>
          <w:sz w:val="30"/>
          <w:szCs w:val="30"/>
        </w:rPr>
        <w:t>号）和《行政事业单位内部控制报告管理制度（试行）》（财会〔</w:t>
      </w:r>
      <w:r>
        <w:rPr>
          <w:rFonts w:ascii="仿宋_GB2312" w:eastAsia="仿宋_GB2312"/>
          <w:sz w:val="30"/>
          <w:szCs w:val="30"/>
        </w:rPr>
        <w:t>2017</w:t>
      </w: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号）的有关规定，现将本单位</w:t>
      </w:r>
      <w:r>
        <w:rPr>
          <w:rFonts w:hint="default" w:ascii="仿宋_GB2312" w:eastAsia="仿宋_GB2312"/>
          <w:sz w:val="30"/>
          <w:szCs w:val="30"/>
          <w:lang w:val="en"/>
        </w:rPr>
        <w:t>2022</w:t>
      </w:r>
      <w:r>
        <w:rPr>
          <w:rFonts w:hint="eastAsia" w:ascii="仿宋_GB2312" w:eastAsia="仿宋_GB2312"/>
          <w:sz w:val="30"/>
          <w:szCs w:val="30"/>
          <w:lang w:val="en" w:eastAsia="zh-CN"/>
        </w:rPr>
        <w:t>年度</w:t>
      </w:r>
      <w:r>
        <w:rPr>
          <w:rFonts w:hint="eastAsia" w:ascii="仿宋_GB2312" w:eastAsia="仿宋_GB2312"/>
          <w:sz w:val="30"/>
          <w:szCs w:val="30"/>
        </w:rPr>
        <w:t>内部控制工作情况报告如下：</w:t>
      </w:r>
    </w:p>
    <w:p>
      <w:pPr>
        <w:autoSpaceDE w:val="0"/>
        <w:autoSpaceDN w:val="0"/>
        <w:ind w:firstLine="606" w:firstLineChars="202"/>
        <w:textAlignment w:val="baseline"/>
        <w:rPr>
          <w:rFonts w:ascii="黑体" w:hAnsi="黑体" w:eastAsia="黑体"/>
          <w:color w:val="000000"/>
          <w:sz w:val="30"/>
          <w:szCs w:val="30"/>
        </w:rPr>
      </w:pPr>
      <w:r>
        <w:rPr>
          <w:rFonts w:hint="eastAsia" w:ascii="黑体" w:hAnsi="黑体" w:eastAsia="黑体"/>
          <w:color w:val="000000"/>
          <w:sz w:val="30"/>
          <w:szCs w:val="30"/>
        </w:rPr>
        <w:t>一、单位内部控制工作的基本情况</w:t>
      </w:r>
    </w:p>
    <w:p>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（一）内部控制机构设置与运行情况。</w:t>
      </w:r>
    </w:p>
    <w:p>
      <w:pPr>
        <w:autoSpaceDE w:val="0"/>
        <w:autoSpaceDN w:val="0"/>
        <w:ind w:firstLine="567"/>
        <w:textAlignment w:val="baseline"/>
        <w:rPr>
          <w:rFonts w:ascii="仿宋_GB2312" w:hAnsi="黑体" w:eastAsia="仿宋_GB2312"/>
          <w:color w:val="000000"/>
          <w:sz w:val="30"/>
          <w:szCs w:val="30"/>
        </w:rPr>
      </w:pPr>
      <w:r>
        <w:rPr>
          <w:rFonts w:hint="eastAsia" w:ascii="仿宋_GB2312" w:hAnsi="黑体" w:eastAsia="仿宋_GB2312"/>
          <w:color w:val="000000"/>
          <w:sz w:val="30"/>
          <w:szCs w:val="30"/>
        </w:rPr>
        <w:t>（二）内部控制工作的组织实施情况。</w:t>
      </w:r>
    </w:p>
    <w:p>
      <w:pPr>
        <w:autoSpaceDE w:val="0"/>
        <w:autoSpaceDN w:val="0"/>
        <w:ind w:firstLine="567"/>
        <w:textAlignment w:val="baseline"/>
        <w:rPr>
          <w:rFonts w:ascii="黑体" w:hAnsi="黑体" w:eastAsia="黑体"/>
          <w:color w:val="000000"/>
          <w:sz w:val="30"/>
          <w:szCs w:val="30"/>
        </w:rPr>
      </w:pPr>
      <w:r>
        <w:rPr>
          <w:rFonts w:hint="eastAsia" w:ascii="仿宋_GB2312" w:hAnsi="黑体" w:eastAsia="仿宋_GB2312"/>
          <w:color w:val="000000"/>
          <w:sz w:val="30"/>
          <w:szCs w:val="30"/>
        </w:rPr>
        <w:t>（三）内部控制制度建设与执行情况。</w:t>
      </w:r>
    </w:p>
    <w:p>
      <w:pPr>
        <w:autoSpaceDE w:val="0"/>
        <w:autoSpaceDN w:val="0"/>
        <w:ind w:firstLine="567"/>
        <w:textAlignment w:val="baseline"/>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（四）内部控制评价与监督情况。</w:t>
      </w:r>
    </w:p>
    <w:p>
      <w:pPr>
        <w:autoSpaceDE w:val="0"/>
        <w:autoSpaceDN w:val="0"/>
        <w:ind w:left="147" w:firstLine="420"/>
        <w:textAlignment w:val="baseline"/>
        <w:rPr>
          <w:rFonts w:ascii="黑体" w:hAnsi="黑体" w:eastAsia="黑体"/>
          <w:color w:val="000000"/>
          <w:sz w:val="30"/>
          <w:szCs w:val="30"/>
        </w:rPr>
      </w:pPr>
      <w:r>
        <w:rPr>
          <w:rFonts w:hint="eastAsia" w:ascii="黑体" w:hAnsi="黑体" w:eastAsia="黑体"/>
          <w:color w:val="000000"/>
          <w:sz w:val="30"/>
          <w:szCs w:val="30"/>
        </w:rPr>
        <w:t>二、单位存在的内部控制问题及其整改情况</w:t>
      </w:r>
    </w:p>
    <w:p>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w:t>
      </w:r>
      <w:r>
        <w:rPr>
          <w:rFonts w:hint="eastAsia" w:ascii="仿宋_GB2312" w:hAnsi="黑体" w:eastAsia="仿宋_GB2312"/>
          <w:color w:val="000000"/>
          <w:sz w:val="30"/>
          <w:szCs w:val="30"/>
          <w:lang w:eastAsia="zh-CN"/>
        </w:rPr>
        <w:t>2022年度</w:t>
      </w:r>
      <w:r>
        <w:rPr>
          <w:rFonts w:hint="eastAsia" w:ascii="仿宋_GB2312" w:hAnsi="黑体" w:eastAsia="仿宋_GB2312"/>
          <w:color w:val="000000"/>
          <w:sz w:val="30"/>
          <w:szCs w:val="30"/>
        </w:rPr>
        <w:t>单位内部控制评价发现问题及其整改情况。</w:t>
      </w:r>
    </w:p>
    <w:p>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（二）</w:t>
      </w:r>
      <w:r>
        <w:rPr>
          <w:rFonts w:hint="eastAsia" w:ascii="仿宋_GB2312" w:hAnsi="黑体" w:eastAsia="仿宋_GB2312"/>
          <w:color w:val="000000"/>
          <w:sz w:val="30"/>
          <w:szCs w:val="30"/>
          <w:lang w:eastAsia="zh-CN"/>
        </w:rPr>
        <w:t>2022年度</w:t>
      </w:r>
      <w:r>
        <w:rPr>
          <w:rFonts w:hint="eastAsia" w:ascii="仿宋_GB2312" w:hAnsi="黑体" w:eastAsia="仿宋_GB2312"/>
          <w:color w:val="000000"/>
          <w:sz w:val="30"/>
          <w:szCs w:val="30"/>
        </w:rPr>
        <w:t>单位巡视、纪检监察、审计等工作发现的与内部控制相关问题及其整改情况。</w:t>
      </w:r>
    </w:p>
    <w:p>
      <w:pPr>
        <w:autoSpaceDE w:val="0"/>
        <w:autoSpaceDN w:val="0"/>
        <w:ind w:left="147" w:firstLine="420"/>
        <w:textAlignment w:val="baseline"/>
        <w:rPr>
          <w:rFonts w:ascii="黑体" w:hAnsi="黑体" w:eastAsia="黑体"/>
          <w:color w:val="000000"/>
          <w:sz w:val="30"/>
          <w:szCs w:val="30"/>
        </w:rPr>
      </w:pPr>
      <w:r>
        <w:rPr>
          <w:rFonts w:hint="eastAsia" w:ascii="黑体" w:hAnsi="黑体" w:eastAsia="黑体"/>
          <w:color w:val="000000"/>
          <w:sz w:val="30"/>
          <w:szCs w:val="30"/>
        </w:rPr>
        <w:t>三、单位</w:t>
      </w:r>
      <w:r>
        <w:rPr>
          <w:rFonts w:hint="eastAsia" w:ascii="黑体" w:hAnsi="黑体" w:eastAsia="黑体"/>
          <w:color w:val="000000"/>
          <w:sz w:val="30"/>
          <w:szCs w:val="30"/>
          <w:lang w:eastAsia="zh-CN"/>
        </w:rPr>
        <w:t>内部控制报告</w:t>
      </w:r>
      <w:r>
        <w:rPr>
          <w:rFonts w:hint="eastAsia" w:ascii="黑体" w:hAnsi="黑体" w:eastAsia="黑体"/>
          <w:color w:val="000000"/>
          <w:sz w:val="30"/>
          <w:szCs w:val="30"/>
        </w:rPr>
        <w:t>审核情况</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（一）报告材料的规范性。</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报告材料是否完整，数据填列是否齐全并符合填报要求，报送手续是否齐全。</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（二）上下年数据变动合理性。</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上下年度数据衔接是否一致，变动是否合理，差异过大应当说明。</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（三）业务数据的准确性。</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有关业务数据与决算报表、国有资产报表等同口径数据是否保持一致。</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（四）数值型指标的合理性。</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数值型指标是否存在不合理的异常值。</w:t>
      </w:r>
    </w:p>
    <w:p>
      <w:pPr>
        <w:autoSpaceDE w:val="0"/>
        <w:autoSpaceDN w:val="0"/>
        <w:ind w:firstLine="606" w:firstLineChars="202"/>
        <w:textAlignment w:val="baseline"/>
        <w:rPr>
          <w:rFonts w:ascii="黑体" w:hAnsi="黑体" w:eastAsia="黑体"/>
          <w:color w:val="000000"/>
          <w:sz w:val="30"/>
          <w:szCs w:val="30"/>
        </w:rPr>
      </w:pPr>
      <w:r>
        <w:rPr>
          <w:rFonts w:hint="eastAsia" w:ascii="黑体" w:hAnsi="黑体" w:eastAsia="黑体"/>
          <w:color w:val="000000"/>
          <w:sz w:val="30"/>
          <w:szCs w:val="30"/>
        </w:rPr>
        <w:t>四、单位内部控制工作的经验做法和取得的成效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仿宋_GB2312" w:eastAsia="仿宋_GB2312"/>
          <w:color w:val="000000"/>
          <w:sz w:val="30"/>
          <w:szCs w:val="30"/>
        </w:rPr>
        <w:t>（</w:t>
      </w:r>
      <w:r>
        <w:rPr>
          <w:rFonts w:hint="eastAsia" w:ascii="仿宋_GB2312" w:hAnsi="黑体" w:eastAsia="仿宋_GB2312" w:cs="Times New Roman"/>
          <w:color w:val="000000"/>
          <w:sz w:val="30"/>
          <w:szCs w:val="30"/>
        </w:rPr>
        <w:t>一）单位在推动内部控制工作中总结出的有关经验做法。</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（二）单位建立与实施内部控制后取得的有关成效。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1.在提升单位内部控制意识及管理水平方面的成效。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2.在预算业务、收支业务、政府采购业务、资产管理、建设项目管理及合同管理六大经济业务领域方面的成效。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3.在内部控制评价监督方面的成效。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4.内部控制报告的应用领域和成效。</w:t>
      </w:r>
    </w:p>
    <w:p>
      <w:pPr>
        <w:autoSpaceDE w:val="0"/>
        <w:autoSpaceDN w:val="0"/>
        <w:ind w:firstLine="567"/>
        <w:textAlignment w:val="baseline"/>
        <w:outlineLvl w:val="0"/>
        <w:rPr>
          <w:rFonts w:ascii="黑体" w:hAnsi="黑体" w:eastAsia="黑体"/>
          <w:color w:val="000000"/>
          <w:sz w:val="30"/>
          <w:szCs w:val="30"/>
        </w:rPr>
      </w:pPr>
      <w:r>
        <w:rPr>
          <w:rFonts w:hint="eastAsia" w:ascii="黑体" w:hAnsi="黑体" w:eastAsia="黑体"/>
          <w:color w:val="000000"/>
          <w:sz w:val="30"/>
          <w:szCs w:val="30"/>
        </w:rPr>
        <w:t>五、有关意见建议</w:t>
      </w:r>
    </w:p>
    <w:p>
      <w:pPr>
        <w:autoSpaceDE w:val="0"/>
        <w:autoSpaceDN w:val="0"/>
        <w:ind w:firstLine="567"/>
        <w:textAlignment w:val="baseline"/>
        <w:rPr>
          <w:rFonts w:ascii="仿宋_GB2312" w:hAnsi="黑体" w:eastAsia="仿宋_GB2312"/>
          <w:color w:val="000000"/>
          <w:sz w:val="30"/>
          <w:szCs w:val="30"/>
        </w:rPr>
      </w:pPr>
      <w:r>
        <w:rPr>
          <w:rFonts w:hint="eastAsia" w:ascii="仿宋_GB2312" w:hAnsi="黑体" w:eastAsia="仿宋_GB2312"/>
          <w:color w:val="000000"/>
          <w:sz w:val="30"/>
          <w:szCs w:val="30"/>
        </w:rPr>
        <w:t>本单位对行政事业单位内部控制工作的意见建议。</w:t>
      </w:r>
    </w:p>
    <w:p>
      <w:pPr>
        <w:rPr>
          <w:rFonts w:ascii="黑体" w:eastAsia="黑体"/>
          <w:sz w:val="24"/>
        </w:rPr>
      </w:pPr>
      <w:r>
        <w:rPr>
          <w:rFonts w:hint="eastAsia" w:eastAsia="仿宋_GB2312" w:cs="仿宋_GB2312"/>
          <w:color w:val="000000"/>
          <w:spacing w:val="4"/>
          <w:sz w:val="30"/>
          <w:szCs w:val="30"/>
        </w:rPr>
        <w:br w:type="page"/>
      </w:r>
      <w:r>
        <w:rPr>
          <w:rFonts w:hint="eastAsia" w:eastAsia="仿宋_GB2312" w:cs="仿宋_GB2312"/>
          <w:color w:val="000000"/>
          <w:spacing w:val="4"/>
          <w:sz w:val="30"/>
          <w:szCs w:val="30"/>
        </w:rPr>
        <w:t>附表</w:t>
      </w: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一、单位基本情况</w:t>
      </w:r>
    </w:p>
    <w:tbl>
      <w:tblPr>
        <w:tblStyle w:val="4"/>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411"/>
        <w:gridCol w:w="165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7" w:type="dxa"/>
            <w:noWrap w:val="0"/>
            <w:vAlign w:val="center"/>
          </w:tcPr>
          <w:p>
            <w:pPr>
              <w:spacing w:line="280" w:lineRule="exact"/>
              <w:jc w:val="center"/>
              <w:rPr>
                <w:rFonts w:eastAsia="仿宋_GB2312"/>
                <w:color w:val="000000"/>
                <w:sz w:val="24"/>
              </w:rPr>
            </w:pPr>
            <w:r>
              <w:rPr>
                <w:rFonts w:hint="eastAsia" w:eastAsia="仿宋_GB2312"/>
                <w:color w:val="000000"/>
                <w:sz w:val="24"/>
              </w:rPr>
              <w:t>组织机构代码</w:t>
            </w:r>
          </w:p>
        </w:tc>
        <w:tc>
          <w:tcPr>
            <w:tcW w:w="2411" w:type="dxa"/>
            <w:noWrap w:val="0"/>
            <w:vAlign w:val="center"/>
          </w:tcPr>
          <w:p>
            <w:pPr>
              <w:spacing w:line="280" w:lineRule="exact"/>
              <w:jc w:val="center"/>
              <w:rPr>
                <w:rFonts w:hint="eastAsia" w:ascii="楷体_GB2312" w:eastAsia="楷体_GB2312"/>
                <w:color w:val="000000"/>
                <w:sz w:val="24"/>
              </w:rPr>
            </w:pPr>
            <w:r>
              <w:rPr>
                <w:rFonts w:hint="eastAsia" w:ascii="楷体_GB2312" w:hAnsi="宋体" w:eastAsia="楷体_GB2312"/>
                <w:sz w:val="24"/>
              </w:rPr>
              <w:t>□□□□□□□□□</w:t>
            </w:r>
          </w:p>
        </w:tc>
        <w:tc>
          <w:tcPr>
            <w:tcW w:w="1658" w:type="dxa"/>
            <w:noWrap w:val="0"/>
            <w:vAlign w:val="center"/>
          </w:tcPr>
          <w:p>
            <w:pPr>
              <w:spacing w:line="280" w:lineRule="exact"/>
              <w:jc w:val="center"/>
              <w:rPr>
                <w:rFonts w:eastAsia="仿宋_GB2312"/>
                <w:color w:val="000000"/>
                <w:sz w:val="24"/>
              </w:rPr>
            </w:pPr>
            <w:r>
              <w:rPr>
                <w:rFonts w:hint="eastAsia" w:eastAsia="仿宋_GB2312"/>
                <w:color w:val="000000"/>
                <w:sz w:val="24"/>
              </w:rPr>
              <w:t>基本性质</w:t>
            </w:r>
          </w:p>
        </w:tc>
        <w:tc>
          <w:tcPr>
            <w:tcW w:w="2573" w:type="dxa"/>
            <w:noWrap w:val="0"/>
            <w:vAlign w:val="center"/>
          </w:tcPr>
          <w:p>
            <w:pPr>
              <w:spacing w:line="280" w:lineRule="exact"/>
              <w:jc w:val="left"/>
              <w:rPr>
                <w:rFonts w:hint="eastAsia" w:ascii="楷体_GB2312" w:eastAsia="楷体_GB2312"/>
                <w:color w:val="000000"/>
                <w:sz w:val="24"/>
              </w:rPr>
            </w:pPr>
            <w:r>
              <w:rPr>
                <w:rFonts w:hint="eastAsia" w:ascii="楷体_GB2312" w:hAnsi="宋体" w:eastAsia="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97" w:type="dxa"/>
            <w:noWrap w:val="0"/>
            <w:vAlign w:val="center"/>
          </w:tcPr>
          <w:p>
            <w:pPr>
              <w:spacing w:line="280" w:lineRule="exact"/>
              <w:jc w:val="center"/>
              <w:rPr>
                <w:rFonts w:eastAsia="仿宋_GB2312"/>
                <w:color w:val="000000"/>
                <w:sz w:val="24"/>
              </w:rPr>
            </w:pPr>
            <w:r>
              <w:rPr>
                <w:rFonts w:hint="eastAsia" w:eastAsia="仿宋_GB2312"/>
                <w:color w:val="000000"/>
                <w:sz w:val="24"/>
              </w:rPr>
              <w:t>预算级次</w:t>
            </w:r>
          </w:p>
        </w:tc>
        <w:tc>
          <w:tcPr>
            <w:tcW w:w="2411" w:type="dxa"/>
            <w:noWrap w:val="0"/>
            <w:vAlign w:val="center"/>
          </w:tcPr>
          <w:p>
            <w:pPr>
              <w:spacing w:line="280" w:lineRule="exact"/>
              <w:jc w:val="left"/>
              <w:rPr>
                <w:rFonts w:hint="eastAsia" w:ascii="楷体_GB2312" w:eastAsia="楷体_GB2312"/>
                <w:color w:val="000000"/>
                <w:sz w:val="24"/>
              </w:rPr>
            </w:pPr>
            <w:r>
              <w:rPr>
                <w:rFonts w:hint="eastAsia" w:ascii="楷体_GB2312" w:hAnsi="宋体" w:eastAsia="楷体_GB2312"/>
                <w:sz w:val="24"/>
              </w:rPr>
              <w:t>□</w:t>
            </w:r>
          </w:p>
        </w:tc>
        <w:tc>
          <w:tcPr>
            <w:tcW w:w="1658" w:type="dxa"/>
            <w:noWrap w:val="0"/>
            <w:vAlign w:val="center"/>
          </w:tcPr>
          <w:p>
            <w:pPr>
              <w:spacing w:line="280" w:lineRule="exact"/>
              <w:jc w:val="center"/>
              <w:rPr>
                <w:rFonts w:eastAsia="仿宋_GB2312"/>
                <w:color w:val="000000"/>
                <w:sz w:val="24"/>
              </w:rPr>
            </w:pPr>
            <w:r>
              <w:rPr>
                <w:rFonts w:hint="eastAsia" w:eastAsia="仿宋_GB2312"/>
                <w:color w:val="000000"/>
                <w:sz w:val="24"/>
              </w:rPr>
              <w:t>预算管理级次</w:t>
            </w:r>
          </w:p>
        </w:tc>
        <w:tc>
          <w:tcPr>
            <w:tcW w:w="2573" w:type="dxa"/>
            <w:noWrap w:val="0"/>
            <w:vAlign w:val="center"/>
          </w:tcPr>
          <w:p>
            <w:pPr>
              <w:spacing w:line="280" w:lineRule="exact"/>
              <w:jc w:val="left"/>
              <w:rPr>
                <w:rFonts w:hint="eastAsia" w:ascii="楷体_GB2312" w:eastAsia="楷体_GB2312"/>
                <w:color w:val="000000"/>
                <w:sz w:val="24"/>
              </w:rPr>
            </w:pPr>
            <w:r>
              <w:rPr>
                <w:rFonts w:hint="eastAsia" w:ascii="楷体_GB2312" w:hAnsi="宋体" w:eastAsia="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97" w:type="dxa"/>
            <w:noWrap w:val="0"/>
            <w:vAlign w:val="center"/>
          </w:tcPr>
          <w:p>
            <w:pPr>
              <w:spacing w:line="280" w:lineRule="exact"/>
              <w:jc w:val="center"/>
              <w:rPr>
                <w:rFonts w:eastAsia="仿宋_GB2312"/>
                <w:color w:val="000000"/>
                <w:sz w:val="24"/>
              </w:rPr>
            </w:pPr>
            <w:r>
              <w:rPr>
                <w:rFonts w:hint="eastAsia" w:eastAsia="仿宋_GB2312"/>
                <w:color w:val="000000"/>
                <w:sz w:val="24"/>
              </w:rPr>
              <w:t>支出功能分类</w:t>
            </w:r>
          </w:p>
        </w:tc>
        <w:tc>
          <w:tcPr>
            <w:tcW w:w="2411" w:type="dxa"/>
            <w:noWrap w:val="0"/>
            <w:vAlign w:val="center"/>
          </w:tcPr>
          <w:p>
            <w:pPr>
              <w:spacing w:line="280" w:lineRule="exact"/>
              <w:jc w:val="left"/>
              <w:rPr>
                <w:rFonts w:eastAsia="仿宋_GB2312"/>
                <w:color w:val="000000"/>
                <w:sz w:val="24"/>
              </w:rPr>
            </w:pPr>
          </w:p>
        </w:tc>
        <w:tc>
          <w:tcPr>
            <w:tcW w:w="1658" w:type="dxa"/>
            <w:noWrap w:val="0"/>
            <w:vAlign w:val="center"/>
          </w:tcPr>
          <w:p>
            <w:pPr>
              <w:spacing w:line="280" w:lineRule="exact"/>
              <w:jc w:val="center"/>
              <w:rPr>
                <w:rFonts w:hint="eastAsia" w:eastAsia="仿宋_GB2312"/>
                <w:color w:val="000000"/>
                <w:sz w:val="24"/>
              </w:rPr>
            </w:pPr>
            <w:r>
              <w:rPr>
                <w:rFonts w:hint="eastAsia" w:eastAsia="仿宋_GB2312"/>
                <w:color w:val="000000"/>
                <w:sz w:val="24"/>
              </w:rPr>
              <w:t>年末在职人数</w:t>
            </w:r>
          </w:p>
        </w:tc>
        <w:tc>
          <w:tcPr>
            <w:tcW w:w="2573" w:type="dxa"/>
            <w:noWrap w:val="0"/>
            <w:vAlign w:val="center"/>
          </w:tcPr>
          <w:p>
            <w:pPr>
              <w:spacing w:line="28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7" w:type="dxa"/>
            <w:noWrap w:val="0"/>
            <w:vAlign w:val="center"/>
          </w:tcPr>
          <w:p>
            <w:pPr>
              <w:spacing w:line="280" w:lineRule="exact"/>
              <w:jc w:val="center"/>
              <w:rPr>
                <w:rFonts w:eastAsia="仿宋_GB2312"/>
                <w:color w:val="000000"/>
                <w:sz w:val="24"/>
              </w:rPr>
            </w:pPr>
            <w:r>
              <w:rPr>
                <w:rFonts w:hint="eastAsia" w:eastAsia="仿宋_GB2312"/>
                <w:color w:val="000000"/>
                <w:sz w:val="24"/>
              </w:rPr>
              <w:t>所在地区</w:t>
            </w:r>
          </w:p>
        </w:tc>
        <w:tc>
          <w:tcPr>
            <w:tcW w:w="2411" w:type="dxa"/>
            <w:noWrap w:val="0"/>
            <w:vAlign w:val="center"/>
          </w:tcPr>
          <w:p>
            <w:pPr>
              <w:spacing w:line="280" w:lineRule="exact"/>
              <w:jc w:val="left"/>
              <w:rPr>
                <w:rFonts w:hint="eastAsia" w:ascii="楷体_GB2312" w:eastAsia="楷体_GB2312"/>
                <w:color w:val="000000"/>
                <w:sz w:val="24"/>
              </w:rPr>
            </w:pPr>
            <w:r>
              <w:rPr>
                <w:rFonts w:hint="eastAsia" w:ascii="楷体_GB2312" w:eastAsia="楷体_GB2312" w:cs="仿宋_GB2312"/>
                <w:color w:val="000000"/>
                <w:spacing w:val="-12"/>
                <w:sz w:val="24"/>
              </w:rPr>
              <w:t>□□□□□□</w:t>
            </w:r>
          </w:p>
        </w:tc>
        <w:tc>
          <w:tcPr>
            <w:tcW w:w="1658" w:type="dxa"/>
            <w:noWrap w:val="0"/>
            <w:vAlign w:val="center"/>
          </w:tcPr>
          <w:p>
            <w:pPr>
              <w:spacing w:line="280" w:lineRule="exact"/>
              <w:jc w:val="center"/>
              <w:rPr>
                <w:rFonts w:eastAsia="仿宋_GB2312"/>
                <w:color w:val="000000"/>
                <w:sz w:val="24"/>
              </w:rPr>
            </w:pPr>
            <w:r>
              <w:rPr>
                <w:rFonts w:hint="eastAsia" w:eastAsia="仿宋_GB2312"/>
                <w:color w:val="000000"/>
                <w:sz w:val="24"/>
              </w:rPr>
              <w:t>隶属关系</w:t>
            </w:r>
          </w:p>
        </w:tc>
        <w:tc>
          <w:tcPr>
            <w:tcW w:w="2573" w:type="dxa"/>
            <w:noWrap w:val="0"/>
            <w:vAlign w:val="center"/>
          </w:tcPr>
          <w:p>
            <w:pPr>
              <w:spacing w:line="280" w:lineRule="exact"/>
              <w:jc w:val="center"/>
              <w:rPr>
                <w:rFonts w:hint="eastAsia" w:ascii="楷体_GB2312" w:eastAsia="楷体_GB2312"/>
                <w:color w:val="000000"/>
                <w:sz w:val="24"/>
              </w:rPr>
            </w:pPr>
            <w:r>
              <w:rPr>
                <w:rFonts w:hint="eastAsia" w:ascii="楷体_GB2312" w:hAnsi="宋体" w:eastAsia="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97" w:type="dxa"/>
            <w:noWrap w:val="0"/>
            <w:vAlign w:val="center"/>
          </w:tcPr>
          <w:p>
            <w:pPr>
              <w:spacing w:line="280" w:lineRule="exact"/>
              <w:jc w:val="center"/>
              <w:rPr>
                <w:rFonts w:eastAsia="仿宋_GB2312"/>
                <w:color w:val="000000"/>
                <w:sz w:val="24"/>
              </w:rPr>
            </w:pPr>
            <w:r>
              <w:rPr>
                <w:rFonts w:hint="eastAsia" w:eastAsia="仿宋_GB2312"/>
                <w:color w:val="000000"/>
                <w:sz w:val="24"/>
              </w:rPr>
              <w:t>财政预算代码</w:t>
            </w:r>
          </w:p>
        </w:tc>
        <w:tc>
          <w:tcPr>
            <w:tcW w:w="6642" w:type="dxa"/>
            <w:gridSpan w:val="3"/>
            <w:noWrap w:val="0"/>
            <w:vAlign w:val="center"/>
          </w:tcPr>
          <w:p>
            <w:pPr>
              <w:pStyle w:val="7"/>
              <w:tabs>
                <w:tab w:val="left" w:pos="851"/>
              </w:tabs>
              <w:spacing w:line="360" w:lineRule="auto"/>
              <w:ind w:firstLine="0" w:firstLineChars="0"/>
              <w:rPr>
                <w:rFonts w:eastAsia="仿宋_GB2312"/>
                <w:color w:val="000000"/>
                <w:sz w:val="24"/>
              </w:rPr>
            </w:pPr>
            <w:r>
              <w:rPr>
                <w:rFonts w:hint="eastAsia" w:eastAsia="楷体_GB2312" w:cs="楷体_GB2312"/>
                <w:color w:val="000000"/>
                <w:sz w:val="24"/>
              </w:rPr>
              <w:t>□□□□□□□□□□□□□□□□□□□□□</w:t>
            </w:r>
          </w:p>
        </w:tc>
      </w:tr>
    </w:tbl>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说明：组织机构代码根据各级技术监督部门核发的机关、团体、事业单位代码证书规定的9位码填列。单位如已取得统一社会信用代码，需按统一社会信用代码第9－17位信息填列。</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单位预算级次填列部门和单位按照预算管理权限和经费领拨关系所确定的预算级次，与部门决算封面上预算级次一致。非预算单位此项填报“无”。</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预算管理级次按单位预算分级管理的级次选择填列。非预算单位填报“90.非预算单位”。</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支出功能分类填列部门决算《支出决算表》（财决04表）中涉及金额最多的支出功能分类科目。</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年末在职人数填列在政府编制管理部门核定的编制内、由单位人事部门管理的实有年末在职人数，与部门决算《基本数字表》（财决附02表）第4栏合计数一致，即“年末实有人数”中“人员总计”的“在职人员”合计数。</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所在地区以6位代码表示，根据国家标准《中华人民共和国行政区划代码》（GB/T 2260-2007）填列。</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隶属关系以9位代码表示，前6位中央单位均填零，地方单位填行政区划代码。后3位为部门标识码，根据国家标准《</w:t>
      </w:r>
      <w:r>
        <w:rPr>
          <w:rFonts w:eastAsia="楷体_GB2312" w:cs="楷体_GB2312"/>
          <w:color w:val="000000"/>
          <w:sz w:val="24"/>
          <w:highlight w:val="none"/>
        </w:rPr>
        <w:t>中央党政机关</w:t>
      </w:r>
      <w:r>
        <w:rPr>
          <w:rFonts w:hint="eastAsia" w:eastAsia="楷体_GB2312" w:cs="楷体_GB2312"/>
          <w:color w:val="000000"/>
          <w:sz w:val="24"/>
          <w:highlight w:val="none"/>
        </w:rPr>
        <w:t>、</w:t>
      </w:r>
      <w:r>
        <w:rPr>
          <w:rFonts w:eastAsia="楷体_GB2312" w:cs="楷体_GB2312"/>
          <w:color w:val="000000"/>
          <w:sz w:val="24"/>
          <w:highlight w:val="none"/>
        </w:rPr>
        <w:t>人民团体及其他机构名称代码</w:t>
      </w:r>
      <w:r>
        <w:rPr>
          <w:rFonts w:hint="eastAsia" w:eastAsia="楷体_GB2312" w:cs="楷体_GB2312"/>
          <w:color w:val="000000"/>
          <w:sz w:val="24"/>
          <w:highlight w:val="none"/>
        </w:rPr>
        <w:t>》（GB/T 4657-2009）填列。</w:t>
      </w:r>
    </w:p>
    <w:p>
      <w:pPr>
        <w:pStyle w:val="7"/>
        <w:tabs>
          <w:tab w:val="left" w:pos="851"/>
        </w:tabs>
        <w:spacing w:line="360" w:lineRule="auto"/>
        <w:ind w:firstLine="480"/>
        <w:rPr>
          <w:rFonts w:ascii="楷体" w:hAnsi="楷体" w:eastAsia="楷体" w:cs="楷体"/>
          <w:sz w:val="24"/>
          <w:highlight w:val="none"/>
        </w:rPr>
      </w:pPr>
      <w:r>
        <w:rPr>
          <w:rFonts w:hint="eastAsia" w:eastAsia="楷体_GB2312" w:cs="楷体_GB2312"/>
          <w:color w:val="000000"/>
          <w:sz w:val="24"/>
          <w:highlight w:val="none"/>
        </w:rPr>
        <w:t>单位财政预算代码</w:t>
      </w:r>
      <w:r>
        <w:rPr>
          <w:rFonts w:hint="eastAsia" w:eastAsia="楷体_GB2312" w:cs="楷体_GB2312"/>
          <w:color w:val="000000"/>
          <w:sz w:val="24"/>
          <w:highlight w:val="none"/>
          <w:lang w:eastAsia="zh-CN"/>
        </w:rPr>
        <w:t>即预算管理一体化系统中的单位代码，</w:t>
      </w:r>
      <w:r>
        <w:rPr>
          <w:rFonts w:hint="eastAsia" w:eastAsia="楷体_GB2312" w:cs="楷体_GB2312"/>
          <w:color w:val="000000"/>
          <w:sz w:val="24"/>
          <w:highlight w:val="none"/>
        </w:rPr>
        <w:t>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非预算单位此项不需填报。</w:t>
      </w: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二、单位层面内部控制情况</w:t>
      </w:r>
    </w:p>
    <w:p>
      <w:pPr>
        <w:widowControl/>
        <w:tabs>
          <w:tab w:val="left" w:pos="851"/>
        </w:tabs>
        <w:spacing w:line="360" w:lineRule="auto"/>
        <w:rPr>
          <w:rFonts w:hint="eastAsia" w:ascii="黑体" w:eastAsia="黑体" w:cs="方正小标宋简体"/>
          <w:color w:val="000000"/>
          <w:spacing w:val="8"/>
          <w:sz w:val="40"/>
          <w:szCs w:val="40"/>
        </w:rPr>
      </w:pPr>
      <w:r>
        <w:rPr>
          <w:rFonts w:hint="eastAsia" w:eastAsia="仿宋_GB2312" w:cs="仿宋_GB2312"/>
          <w:color w:val="000000"/>
          <w:spacing w:val="-12"/>
          <w:sz w:val="28"/>
          <w:szCs w:val="28"/>
        </w:rPr>
        <w:t>（一）内部控制机构组成情况</w:t>
      </w:r>
    </w:p>
    <w:tbl>
      <w:tblPr>
        <w:tblStyle w:val="4"/>
        <w:tblpPr w:leftFromText="180" w:rightFromText="180" w:vertAnchor="text" w:tblpXSpec="center" w:tblpY="1"/>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38"/>
        <w:gridCol w:w="1644"/>
        <w:gridCol w:w="1848"/>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trPr>
        <w:tc>
          <w:tcPr>
            <w:tcW w:w="3138"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单位是否成立内部控制领导小组</w:t>
            </w:r>
          </w:p>
        </w:tc>
        <w:tc>
          <w:tcPr>
            <w:tcW w:w="1644"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c>
          <w:tcPr>
            <w:tcW w:w="1848"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单位是否成立内部控制工作小组</w:t>
            </w:r>
          </w:p>
        </w:tc>
        <w:tc>
          <w:tcPr>
            <w:tcW w:w="2082"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trPr>
        <w:tc>
          <w:tcPr>
            <w:tcW w:w="3138" w:type="dxa"/>
            <w:tcBorders>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单位内部控制领导小组负责人为</w:t>
            </w:r>
          </w:p>
        </w:tc>
        <w:tc>
          <w:tcPr>
            <w:tcW w:w="5574" w:type="dxa"/>
            <w:gridSpan w:val="3"/>
            <w:tcBorders>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单位主要负责人□分管财务领导□其他分管领导□</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姓名：</w:t>
            </w:r>
            <w:r>
              <w:rPr>
                <w:rFonts w:hint="eastAsia" w:eastAsia="楷体_GB2312" w:cs="楷体_GB2312"/>
                <w:color w:val="000000"/>
                <w:sz w:val="24"/>
                <w:u w:val="single"/>
              </w:rPr>
              <w:t xml:space="preserve">      </w:t>
            </w:r>
            <w:r>
              <w:rPr>
                <w:rFonts w:hint="eastAsia" w:eastAsia="楷体_GB2312" w:cs="楷体_GB2312"/>
                <w:color w:val="000000"/>
                <w:sz w:val="24"/>
              </w:rPr>
              <w:t>职务：</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9" w:hRule="atLeast"/>
        </w:trPr>
        <w:tc>
          <w:tcPr>
            <w:tcW w:w="3138"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内部控制建设牵头部门设在</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 xml:space="preserve">行政管理部门□ 财务部门□ 内审部门□ </w:t>
            </w:r>
          </w:p>
          <w:p>
            <w:pPr>
              <w:spacing w:line="320" w:lineRule="exact"/>
              <w:jc w:val="left"/>
              <w:rPr>
                <w:rFonts w:hint="eastAsia" w:eastAsia="楷体_GB2312" w:cs="楷体_GB2312"/>
                <w:color w:val="000000"/>
                <w:sz w:val="24"/>
              </w:rPr>
            </w:pPr>
            <w:r>
              <w:rPr>
                <w:rFonts w:hint="eastAsia" w:eastAsia="楷体_GB2312" w:cs="楷体_GB2312"/>
                <w:color w:val="000000"/>
                <w:sz w:val="24"/>
              </w:rPr>
              <w:t>纪检监察部门□ 其他部门□ 未设置□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3138"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内部控制评价与监督部门设在</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行政管理部门□ 财务部门□ 内审部门□</w:t>
            </w:r>
          </w:p>
          <w:p>
            <w:pPr>
              <w:spacing w:line="320" w:lineRule="exact"/>
              <w:jc w:val="left"/>
              <w:rPr>
                <w:rFonts w:hint="eastAsia" w:eastAsia="楷体_GB2312" w:cs="楷体_GB2312"/>
                <w:color w:val="000000"/>
                <w:sz w:val="24"/>
              </w:rPr>
            </w:pPr>
            <w:r>
              <w:rPr>
                <w:rFonts w:hint="eastAsia" w:eastAsia="楷体_GB2312" w:cs="楷体_GB2312"/>
                <w:color w:val="000000"/>
                <w:sz w:val="24"/>
              </w:rPr>
              <w:t>纪检监察部门□ 其他部门□ 未设置□</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说明：需上传成立内部控制相关机构的制度文件作为佐证材料。</w:t>
      </w:r>
    </w:p>
    <w:p>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（二）内部控制机构运行情况</w:t>
      </w:r>
    </w:p>
    <w:tbl>
      <w:tblPr>
        <w:tblStyle w:val="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35"/>
        <w:gridCol w:w="1044"/>
        <w:gridCol w:w="1326"/>
        <w:gridCol w:w="589"/>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4505" w:type="dxa"/>
            <w:gridSpan w:val="3"/>
            <w:noWrap/>
            <w:vAlign w:val="center"/>
          </w:tcPr>
          <w:p>
            <w:pPr>
              <w:spacing w:line="320" w:lineRule="exact"/>
              <w:jc w:val="left"/>
              <w:rPr>
                <w:rFonts w:eastAsia="仿宋_GB2312" w:cs="仿宋_GB2312"/>
                <w:color w:val="000000"/>
                <w:spacing w:val="-12"/>
                <w:sz w:val="24"/>
                <w:u w:val="single"/>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单位召开内部控制领导小组会议次数</w:t>
            </w:r>
            <w:r>
              <w:rPr>
                <w:rFonts w:hint="eastAsia" w:eastAsia="仿宋_GB2312" w:cs="仿宋_GB2312"/>
                <w:color w:val="000000"/>
                <w:spacing w:val="-12"/>
                <w:sz w:val="24"/>
                <w:u w:val="single"/>
              </w:rPr>
              <w:t xml:space="preserve">    </w:t>
            </w:r>
          </w:p>
        </w:tc>
        <w:tc>
          <w:tcPr>
            <w:tcW w:w="4150" w:type="dxa"/>
            <w:gridSpan w:val="2"/>
            <w:noWrap w:val="0"/>
            <w:vAlign w:val="center"/>
          </w:tcPr>
          <w:p>
            <w:pPr>
              <w:spacing w:line="320" w:lineRule="exact"/>
              <w:jc w:val="left"/>
              <w:rPr>
                <w:rFonts w:eastAsia="仿宋_GB2312" w:cs="仿宋_GB2312"/>
                <w:color w:val="000000"/>
                <w:spacing w:val="-12"/>
                <w:sz w:val="24"/>
                <w:u w:val="single"/>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单位开展内部控制相关培训次数</w:t>
            </w:r>
            <w:r>
              <w:rPr>
                <w:rFonts w:hint="eastAsia" w:eastAsia="仿宋_GB2312" w:cs="仿宋_GB2312"/>
                <w:color w:val="000000"/>
                <w:spacing w:val="-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atLeast"/>
          <w:jc w:val="center"/>
        </w:trPr>
        <w:tc>
          <w:tcPr>
            <w:tcW w:w="213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单位层面内部控制风险评估覆盖情况</w:t>
            </w:r>
          </w:p>
        </w:tc>
        <w:tc>
          <w:tcPr>
            <w:tcW w:w="6520" w:type="dxa"/>
            <w:gridSpan w:val="4"/>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组织架构：□  运行机制：□ 关键岗位：□</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制度体系：□  信息系统：□ 未评估：□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1" w:hRule="atLeast"/>
          <w:jc w:val="center"/>
        </w:trPr>
        <w:tc>
          <w:tcPr>
            <w:tcW w:w="213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单位是否开展内部控制评价</w:t>
            </w:r>
          </w:p>
        </w:tc>
        <w:tc>
          <w:tcPr>
            <w:tcW w:w="1044"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仿宋_GB2312" w:cs="仿宋_GB2312"/>
                <w:color w:val="000000"/>
                <w:spacing w:val="-12"/>
                <w:sz w:val="24"/>
              </w:rPr>
            </w:pPr>
            <w:r>
              <w:rPr>
                <w:rFonts w:hint="eastAsia" w:eastAsia="楷体_GB2312" w:cs="楷体_GB2312"/>
                <w:color w:val="000000"/>
                <w:sz w:val="24"/>
              </w:rPr>
              <w:t>否□</w:t>
            </w:r>
          </w:p>
        </w:tc>
        <w:tc>
          <w:tcPr>
            <w:tcW w:w="1915" w:type="dxa"/>
            <w:gridSpan w:val="2"/>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单位内部控制评价结果应用领域</w:t>
            </w:r>
          </w:p>
        </w:tc>
        <w:tc>
          <w:tcPr>
            <w:tcW w:w="356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作为完善内部管理制度的依据□</w:t>
            </w:r>
          </w:p>
          <w:p>
            <w:pPr>
              <w:spacing w:line="320" w:lineRule="exact"/>
              <w:jc w:val="left"/>
              <w:rPr>
                <w:rFonts w:hint="eastAsia" w:eastAsia="楷体_GB2312" w:cs="楷体_GB2312"/>
                <w:color w:val="000000"/>
                <w:sz w:val="24"/>
              </w:rPr>
            </w:pPr>
            <w:r>
              <w:rPr>
                <w:rFonts w:hint="eastAsia" w:eastAsia="楷体_GB2312" w:cs="楷体_GB2312"/>
                <w:color w:val="000000"/>
                <w:sz w:val="24"/>
              </w:rPr>
              <w:t>作为绩效</w:t>
            </w:r>
            <w:r>
              <w:rPr>
                <w:rFonts w:hint="eastAsia" w:eastAsia="楷体_GB2312" w:cs="楷体_GB2312"/>
                <w:color w:val="000000"/>
                <w:sz w:val="24"/>
                <w:lang w:eastAsia="zh-CN"/>
              </w:rPr>
              <w:t>管理</w:t>
            </w:r>
            <w:r>
              <w:rPr>
                <w:rFonts w:hint="eastAsia" w:eastAsia="楷体_GB2312" w:cs="楷体_GB2312"/>
                <w:color w:val="000000"/>
                <w:sz w:val="24"/>
              </w:rPr>
              <w:t>的依据□</w:t>
            </w:r>
          </w:p>
          <w:p>
            <w:pPr>
              <w:spacing w:line="320" w:lineRule="exact"/>
              <w:jc w:val="left"/>
              <w:rPr>
                <w:rFonts w:hint="eastAsia" w:eastAsia="楷体_GB2312" w:cs="楷体_GB2312"/>
                <w:color w:val="000000"/>
                <w:sz w:val="24"/>
              </w:rPr>
            </w:pPr>
            <w:r>
              <w:rPr>
                <w:rFonts w:hint="eastAsia" w:eastAsia="楷体_GB2312" w:cs="楷体_GB2312"/>
                <w:color w:val="000000"/>
                <w:sz w:val="24"/>
              </w:rPr>
              <w:t>作为监督问责的参考依据□</w:t>
            </w:r>
          </w:p>
          <w:p>
            <w:pPr>
              <w:spacing w:line="320" w:lineRule="exact"/>
              <w:jc w:val="left"/>
              <w:rPr>
                <w:rFonts w:hint="eastAsia" w:eastAsia="楷体_GB2312" w:cs="楷体_GB2312"/>
                <w:color w:val="000000"/>
                <w:sz w:val="24"/>
              </w:rPr>
            </w:pPr>
            <w:r>
              <w:rPr>
                <w:rFonts w:hint="eastAsia" w:eastAsia="楷体_GB2312" w:cs="楷体_GB2312"/>
                <w:color w:val="000000"/>
                <w:sz w:val="24"/>
              </w:rPr>
              <w:t>作为领导干部选拔任用的参考□</w:t>
            </w:r>
          </w:p>
          <w:p>
            <w:pPr>
              <w:spacing w:line="320" w:lineRule="exact"/>
              <w:jc w:val="left"/>
              <w:rPr>
                <w:rFonts w:hint="eastAsia" w:eastAsia="楷体_GB2312" w:cs="楷体_GB2312"/>
                <w:color w:val="000000"/>
                <w:sz w:val="24"/>
              </w:rPr>
            </w:pPr>
            <w:r>
              <w:rPr>
                <w:rFonts w:hint="eastAsia" w:eastAsia="楷体_GB2312" w:cs="楷体_GB2312"/>
                <w:color w:val="000000"/>
                <w:sz w:val="24"/>
              </w:rPr>
              <w:t>其他领域□</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未应用□</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说明：内部控制领导小组会议包括内部控制专题会议或与内部控制工作相关的会议。需上传内部控制领导小组会议纪要作为佐证材料。</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内部控制相关培训包括内部控制专题培训或将内部控制作为议题之一的相关培训。需上传内部控制培训</w:t>
      </w:r>
      <w:r>
        <w:rPr>
          <w:rFonts w:hint="eastAsia" w:ascii="Times New Roman" w:hAnsi="Times New Roman" w:eastAsia="楷体_GB2312" w:cs="楷体_GB2312"/>
          <w:color w:val="000000"/>
          <w:sz w:val="24"/>
          <w:lang w:eastAsia="zh-CN"/>
        </w:rPr>
        <w:t>通知或</w:t>
      </w:r>
      <w:r>
        <w:rPr>
          <w:rFonts w:hint="eastAsia" w:eastAsia="楷体_GB2312" w:cs="楷体_GB2312"/>
          <w:color w:val="000000"/>
          <w:sz w:val="24"/>
        </w:rPr>
        <w:t>纪要</w:t>
      </w:r>
      <w:r>
        <w:rPr>
          <w:rFonts w:hint="eastAsia" w:ascii="Times New Roman" w:hAnsi="Times New Roman" w:eastAsia="楷体_GB2312" w:cs="楷体_GB2312"/>
          <w:color w:val="000000"/>
          <w:sz w:val="24"/>
          <w:lang w:eastAsia="zh-CN"/>
        </w:rPr>
        <w:t>等</w:t>
      </w:r>
      <w:r>
        <w:rPr>
          <w:rFonts w:hint="eastAsia" w:eastAsia="楷体_GB2312" w:cs="楷体_GB2312"/>
          <w:color w:val="000000"/>
          <w:sz w:val="24"/>
        </w:rPr>
        <w:t>作为佐证材料。</w:t>
      </w:r>
    </w:p>
    <w:p>
      <w:pPr>
        <w:pStyle w:val="7"/>
        <w:tabs>
          <w:tab w:val="left" w:pos="851"/>
        </w:tabs>
        <w:spacing w:line="360" w:lineRule="auto"/>
        <w:ind w:firstLine="480"/>
        <w:rPr>
          <w:rFonts w:eastAsia="楷体_GB2312" w:cs="楷体_GB2312"/>
          <w:color w:val="000000"/>
          <w:sz w:val="24"/>
        </w:rPr>
      </w:pPr>
      <w:r>
        <w:rPr>
          <w:rFonts w:hint="eastAsia" w:ascii="Times New Roman" w:hAnsi="Times New Roman" w:eastAsia="楷体_GB2312" w:cs="楷体_GB2312"/>
          <w:color w:val="000000"/>
          <w:sz w:val="24"/>
          <w:lang w:eastAsia="zh-CN"/>
        </w:rPr>
        <w:t>2022年度</w:t>
      </w:r>
      <w:r>
        <w:rPr>
          <w:rFonts w:hint="eastAsia" w:eastAsia="楷体_GB2312" w:cs="楷体_GB2312"/>
          <w:color w:val="000000"/>
          <w:sz w:val="24"/>
        </w:rPr>
        <w:t>单位层面内部控制风险评估覆盖情况根据</w:t>
      </w:r>
      <w:r>
        <w:rPr>
          <w:rFonts w:hint="eastAsia" w:ascii="Times New Roman" w:hAnsi="Times New Roman" w:eastAsia="楷体_GB2312" w:cs="楷体_GB2312"/>
          <w:color w:val="000000"/>
          <w:sz w:val="24"/>
          <w:lang w:eastAsia="zh-CN"/>
        </w:rPr>
        <w:t>2022年度</w:t>
      </w:r>
      <w:r>
        <w:rPr>
          <w:rFonts w:hint="eastAsia" w:eastAsia="楷体_GB2312" w:cs="楷体_GB2312"/>
          <w:color w:val="000000"/>
          <w:sz w:val="24"/>
        </w:rPr>
        <w:t>单位组织开展</w:t>
      </w:r>
      <w:r>
        <w:rPr>
          <w:rFonts w:hint="eastAsia" w:ascii="Times New Roman" w:hAnsi="Times New Roman" w:eastAsia="楷体_GB2312" w:cs="楷体_GB2312"/>
          <w:color w:val="000000"/>
          <w:sz w:val="24"/>
          <w:lang w:eastAsia="zh-CN"/>
        </w:rPr>
        <w:t>或委托第三方开展</w:t>
      </w:r>
      <w:r>
        <w:rPr>
          <w:rFonts w:hint="eastAsia" w:eastAsia="楷体_GB2312" w:cs="楷体_GB2312"/>
          <w:color w:val="000000"/>
          <w:sz w:val="24"/>
        </w:rPr>
        <w:t>单位层面风险评估工作以及出具的风险评估报告或其他文件，逐项勾选已进行内部控制风险评估的方面。需上传风险评估报告等材料作为佐证材料。</w:t>
      </w:r>
    </w:p>
    <w:p>
      <w:pPr>
        <w:pStyle w:val="7"/>
        <w:spacing w:line="360" w:lineRule="auto"/>
        <w:ind w:firstLine="480"/>
        <w:rPr>
          <w:rFonts w:hint="eastAsia" w:ascii="Times New Roman" w:hAnsi="Times New Roman" w:eastAsia="楷体_GB2312" w:cs="楷体_GB2312"/>
          <w:color w:val="000000"/>
          <w:spacing w:val="0"/>
          <w:sz w:val="24"/>
          <w:szCs w:val="24"/>
        </w:rPr>
      </w:pPr>
      <w:r>
        <w:rPr>
          <w:rFonts w:hint="eastAsia" w:eastAsia="楷体_GB2312" w:cs="楷体_GB2312"/>
          <w:color w:val="000000"/>
          <w:sz w:val="24"/>
        </w:rPr>
        <w:t>内部控制评价是指单位自行或者委托第三方对单位内部控制体系建立与实施情况评价并出具评价报告。需上传内部控制评价报告作为佐证材料。</w:t>
      </w:r>
    </w:p>
    <w:p>
      <w:pPr>
        <w:pStyle w:val="7"/>
        <w:ind w:left="0" w:leftChars="0" w:firstLine="0" w:firstLineChars="0"/>
        <w:rPr>
          <w:rFonts w:hint="eastAsia" w:eastAsia="仿宋_GB2312" w:cs="仿宋_GB2312"/>
          <w:color w:val="000000"/>
          <w:spacing w:val="-12"/>
          <w:sz w:val="28"/>
          <w:szCs w:val="28"/>
        </w:rPr>
      </w:pPr>
      <w:r>
        <w:rPr>
          <w:rFonts w:hint="eastAsia" w:eastAsia="仿宋_GB2312" w:cs="仿宋_GB2312"/>
          <w:color w:val="000000"/>
          <w:spacing w:val="-12"/>
          <w:sz w:val="28"/>
          <w:szCs w:val="28"/>
        </w:rPr>
        <w:t>（三）规范权力运行情况</w:t>
      </w:r>
    </w:p>
    <w:tbl>
      <w:tblPr>
        <w:tblStyle w:val="4"/>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4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atLeast"/>
          <w:jc w:val="center"/>
        </w:trPr>
        <w:tc>
          <w:tcPr>
            <w:tcW w:w="6040" w:type="dxa"/>
            <w:noWrap/>
            <w:vAlign w:val="center"/>
          </w:tcPr>
          <w:p>
            <w:pPr>
              <w:spacing w:line="320" w:lineRule="exact"/>
              <w:jc w:val="center"/>
              <w:rPr>
                <w:rFonts w:hint="eastAsia" w:eastAsia="仿宋_GB2312" w:cs="仿宋_GB2312"/>
                <w:color w:val="000000"/>
                <w:spacing w:val="-12"/>
                <w:sz w:val="24"/>
                <w:lang w:eastAsia="zh-CN"/>
              </w:rPr>
            </w:pPr>
            <w:r>
              <w:rPr>
                <w:rFonts w:hint="eastAsia" w:eastAsia="仿宋_GB2312" w:cs="仿宋_GB2312"/>
                <w:color w:val="000000"/>
                <w:spacing w:val="-12"/>
                <w:sz w:val="24"/>
              </w:rPr>
              <w:t>单位是否建立健全分事行权、分岗设权、分级授权机制</w:t>
            </w:r>
          </w:p>
        </w:tc>
        <w:tc>
          <w:tcPr>
            <w:tcW w:w="2015"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6040"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单位是否建立关键岗位干部交流或定期轮岗机制，并明确不具备条件轮岗的实行专项审计。</w:t>
            </w:r>
          </w:p>
        </w:tc>
        <w:tc>
          <w:tcPr>
            <w:tcW w:w="2015"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6040" w:type="dxa"/>
            <w:noWrap/>
            <w:vAlign w:val="center"/>
          </w:tcPr>
          <w:p>
            <w:pPr>
              <w:spacing w:line="320" w:lineRule="exact"/>
              <w:jc w:val="center"/>
              <w:rPr>
                <w:rFonts w:hint="eastAsia" w:eastAsia="仿宋_GB2312" w:cs="仿宋_GB2312"/>
                <w:color w:val="000000"/>
                <w:spacing w:val="-12"/>
                <w:sz w:val="24"/>
                <w:lang w:eastAsia="zh-CN"/>
              </w:rPr>
            </w:pPr>
            <w:r>
              <w:rPr>
                <w:rFonts w:hint="eastAsia" w:eastAsia="仿宋_GB2312" w:cs="仿宋_GB2312"/>
                <w:color w:val="000000"/>
                <w:spacing w:val="-12"/>
                <w:sz w:val="24"/>
              </w:rPr>
              <w:t>单位是否针对“三重一大”事项建立集体议事决策机制</w:t>
            </w:r>
          </w:p>
        </w:tc>
        <w:tc>
          <w:tcPr>
            <w:tcW w:w="2015" w:type="dxa"/>
            <w:noWrap w:val="0"/>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分事行权是指对单位经济活动和业务活动的决策、执行、监督，应当明确分工、相互分离、分别行权；分岗设权是指对涉及经济活动、业务活动的相关岗位，应当依职定岗、分岗定权、权责明确；分级授权是指对单位各管理层级和相关岗位，应当明确授权范围、授权对象、授权期限、授权与行权责任、一般授权与特殊授权界限。</w:t>
      </w:r>
    </w:p>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单位应当按照有关规定对关键岗位人员实行轮岗交流，明确轮岗范围、轮岗周期与轮岗方式，不具备轮岗条件的可以采用专项审计等替代措施。需上传定期轮岗（或专项审计）相关制度</w:t>
      </w:r>
      <w:r>
        <w:rPr>
          <w:rFonts w:hint="eastAsia" w:eastAsia="楷体_GB2312" w:cs="楷体_GB2312"/>
          <w:color w:val="000000"/>
          <w:sz w:val="24"/>
          <w:lang w:eastAsia="zh-CN"/>
        </w:rPr>
        <w:t>。</w:t>
      </w:r>
    </w:p>
    <w:p>
      <w:pPr>
        <w:pStyle w:val="7"/>
        <w:tabs>
          <w:tab w:val="left" w:pos="851"/>
        </w:tabs>
        <w:spacing w:line="360" w:lineRule="auto"/>
        <w:ind w:firstLine="480"/>
        <w:rPr>
          <w:rFonts w:hint="eastAsia" w:ascii="楷体_GB2312" w:eastAsia="楷体_GB2312"/>
          <w:sz w:val="24"/>
        </w:rPr>
      </w:pPr>
      <w:r>
        <w:rPr>
          <w:rFonts w:hint="eastAsia" w:eastAsia="楷体_GB2312" w:cs="楷体_GB2312"/>
          <w:color w:val="000000"/>
          <w:sz w:val="24"/>
        </w:rPr>
        <w:t>“三重一大”是指重大事项决策、重要干部任免、重要项目安排、大额度资金的使用。</w:t>
      </w:r>
    </w:p>
    <w:p>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（四）内部控制相关问题整改情况</w:t>
      </w:r>
    </w:p>
    <w:tbl>
      <w:tblPr>
        <w:tblStyle w:val="4"/>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55"/>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285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单位内部控制评价发现问题整改情况</w:t>
            </w:r>
          </w:p>
        </w:tc>
        <w:tc>
          <w:tcPr>
            <w:tcW w:w="5637"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285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单位巡视发现与内部控制相关问题整改情况</w:t>
            </w:r>
          </w:p>
        </w:tc>
        <w:tc>
          <w:tcPr>
            <w:tcW w:w="5637"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285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单位纪检监察发现与内部控制相关问题整改情况</w:t>
            </w:r>
          </w:p>
        </w:tc>
        <w:tc>
          <w:tcPr>
            <w:tcW w:w="5637"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285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单位审计发现与内部控制相关问题整改情况</w:t>
            </w:r>
          </w:p>
        </w:tc>
        <w:tc>
          <w:tcPr>
            <w:tcW w:w="5637"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w:t>
      </w:r>
      <w:r>
        <w:rPr>
          <w:rFonts w:hint="eastAsia" w:eastAsia="楷体_GB2312" w:cs="楷体_GB2312"/>
          <w:color w:val="000000"/>
          <w:sz w:val="24"/>
          <w:lang w:eastAsia="zh-CN"/>
        </w:rPr>
        <w:t>2022年度</w:t>
      </w:r>
      <w:r>
        <w:rPr>
          <w:rFonts w:hint="eastAsia" w:eastAsia="楷体_GB2312" w:cs="楷体_GB2312"/>
          <w:color w:val="000000"/>
          <w:sz w:val="24"/>
        </w:rPr>
        <w:t>单位内部控制评价发现问题整改情况根据内部控制评价报告以及整改文件及成果等内容填写。</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单位巡视发现与内部控制相关问题整改情况根据各类巡视报告及巡视整改工作报告等内容填写，仅填列与内部控制相关的问题。</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单位纪检监察发现与内部控制相关问题整改情况根据单位纪检监察报告及整改工作报告等内容填写，仅填列与内部控制相关的问题。</w:t>
      </w:r>
    </w:p>
    <w:p>
      <w:pPr>
        <w:pStyle w:val="7"/>
        <w:tabs>
          <w:tab w:val="left" w:pos="851"/>
        </w:tabs>
        <w:spacing w:line="360" w:lineRule="auto"/>
        <w:ind w:firstLine="480"/>
        <w:rPr>
          <w:rFonts w:ascii="楷体" w:hAnsi="楷体" w:eastAsia="楷体" w:cs="楷体"/>
          <w:sz w:val="24"/>
        </w:rPr>
      </w:pPr>
      <w:r>
        <w:rPr>
          <w:rFonts w:hint="eastAsia" w:eastAsia="楷体_GB2312" w:cs="楷体_GB2312"/>
          <w:color w:val="000000"/>
          <w:sz w:val="24"/>
          <w:lang w:eastAsia="zh-CN"/>
        </w:rPr>
        <w:t>2022年度</w:t>
      </w:r>
      <w:r>
        <w:rPr>
          <w:rFonts w:hint="eastAsia" w:eastAsia="楷体_GB2312" w:cs="楷体_GB2312"/>
          <w:color w:val="000000"/>
          <w:sz w:val="24"/>
        </w:rPr>
        <w:t>单位审计发现与内部控制相关问题整改情况根据各类审计报告及整改工作报告等内容填写，仅填列与内部控制相关的问题。</w:t>
      </w:r>
    </w:p>
    <w:p>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（五）政府会计改革</w:t>
      </w:r>
    </w:p>
    <w:tbl>
      <w:tblPr>
        <w:tblStyle w:val="4"/>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48"/>
        <w:gridCol w:w="951"/>
        <w:gridCol w:w="32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0" w:hRule="atLeast"/>
          <w:jc w:val="center"/>
        </w:trPr>
        <w:tc>
          <w:tcPr>
            <w:tcW w:w="3148" w:type="dxa"/>
            <w:noWrap/>
            <w:vAlign w:val="center"/>
          </w:tcPr>
          <w:p>
            <w:pPr>
              <w:spacing w:line="320" w:lineRule="exact"/>
              <w:rPr>
                <w:rFonts w:hint="eastAsia" w:eastAsia="仿宋_GB2312" w:cs="仿宋_GB2312"/>
                <w:color w:val="000000"/>
                <w:spacing w:val="-12"/>
                <w:sz w:val="24"/>
              </w:rPr>
            </w:pPr>
            <w:r>
              <w:rPr>
                <w:rFonts w:hint="eastAsia" w:eastAsia="仿宋_GB2312" w:cs="仿宋_GB2312"/>
                <w:color w:val="000000"/>
                <w:spacing w:val="-12"/>
                <w:sz w:val="24"/>
              </w:rPr>
              <w:t>单位是否执行政府会计准则制度</w:t>
            </w:r>
          </w:p>
        </w:tc>
        <w:tc>
          <w:tcPr>
            <w:tcW w:w="951" w:type="dxa"/>
            <w:noWrap/>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仿宋_GB2312" w:cs="仿宋_GB2312"/>
                <w:color w:val="000000"/>
                <w:spacing w:val="-12"/>
                <w:sz w:val="24"/>
              </w:rPr>
            </w:pPr>
            <w:r>
              <w:rPr>
                <w:rFonts w:hint="eastAsia" w:eastAsia="楷体_GB2312" w:cs="楷体_GB2312"/>
                <w:color w:val="000000"/>
                <w:sz w:val="24"/>
              </w:rPr>
              <w:t>否□</w:t>
            </w:r>
          </w:p>
        </w:tc>
        <w:tc>
          <w:tcPr>
            <w:tcW w:w="3270" w:type="dxa"/>
            <w:noWrap/>
            <w:vAlign w:val="center"/>
          </w:tcPr>
          <w:p>
            <w:pPr>
              <w:spacing w:line="320" w:lineRule="exact"/>
              <w:jc w:val="left"/>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单位是否按照政府会计准则制度要求开展预算会计核算和财务会计核算</w:t>
            </w:r>
          </w:p>
        </w:tc>
        <w:tc>
          <w:tcPr>
            <w:tcW w:w="1140" w:type="dxa"/>
            <w:noWrap/>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3148"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单位是否对固定资产和无形资产计提折旧或摊销</w:t>
            </w:r>
          </w:p>
        </w:tc>
        <w:tc>
          <w:tcPr>
            <w:tcW w:w="951" w:type="dxa"/>
            <w:noWrap/>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仿宋_GB2312" w:cs="仿宋_GB2312"/>
                <w:color w:val="000000"/>
                <w:spacing w:val="-12"/>
                <w:sz w:val="24"/>
              </w:rPr>
            </w:pPr>
            <w:r>
              <w:rPr>
                <w:rFonts w:hint="eastAsia" w:eastAsia="楷体_GB2312" w:cs="楷体_GB2312"/>
                <w:color w:val="000000"/>
                <w:sz w:val="24"/>
              </w:rPr>
              <w:t>否□</w:t>
            </w:r>
          </w:p>
        </w:tc>
        <w:tc>
          <w:tcPr>
            <w:tcW w:w="3270" w:type="dxa"/>
            <w:noWrap/>
            <w:vAlign w:val="center"/>
          </w:tcPr>
          <w:p>
            <w:pPr>
              <w:spacing w:line="320" w:lineRule="exact"/>
              <w:jc w:val="left"/>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编制政府部门财务报告时，部门及所属单位之间发生的经济业务或事项是否在抵销前进行确认</w:t>
            </w:r>
          </w:p>
        </w:tc>
        <w:tc>
          <w:tcPr>
            <w:tcW w:w="1140" w:type="dxa"/>
            <w:noWrap/>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楷体_GB2312" w:cs="楷体_GB2312"/>
                <w:color w:val="000000"/>
                <w:sz w:val="24"/>
              </w:rPr>
            </w:pPr>
            <w:r>
              <w:rPr>
                <w:rFonts w:hint="eastAsia" w:eastAsia="楷体_GB2312" w:cs="楷体_GB2312"/>
                <w:color w:val="000000"/>
                <w:sz w:val="24"/>
              </w:rPr>
              <w:t>否□</w:t>
            </w:r>
          </w:p>
          <w:p>
            <w:pPr>
              <w:spacing w:line="320" w:lineRule="exact"/>
              <w:jc w:val="center"/>
              <w:rPr>
                <w:rFonts w:hint="eastAsia" w:eastAsia="楷体_GB2312" w:cs="楷体_GB2312"/>
                <w:color w:val="000000"/>
                <w:sz w:val="24"/>
              </w:rPr>
            </w:pPr>
            <w:r>
              <w:rPr>
                <w:rFonts w:hint="eastAsia" w:eastAsia="楷体_GB2312" w:cs="楷体_GB2312"/>
                <w:color w:val="000000"/>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5" w:hRule="atLeast"/>
          <w:jc w:val="center"/>
        </w:trPr>
        <w:tc>
          <w:tcPr>
            <w:tcW w:w="3148"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单位是否将基本建设投资、公共基础设施、保障性住房、政府储备物资、国有文物文化资产等纳入统一账簿进行会计核算</w:t>
            </w:r>
          </w:p>
        </w:tc>
        <w:tc>
          <w:tcPr>
            <w:tcW w:w="5361" w:type="dxa"/>
            <w:gridSpan w:val="3"/>
            <w:noWrap/>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 xml:space="preserve">基本建设投资：是□ 否□ 不适用□ </w:t>
            </w:r>
          </w:p>
          <w:p>
            <w:pPr>
              <w:spacing w:line="320" w:lineRule="exact"/>
              <w:jc w:val="left"/>
              <w:rPr>
                <w:rFonts w:hint="eastAsia" w:eastAsia="楷体_GB2312" w:cs="楷体_GB2312"/>
                <w:color w:val="000000"/>
                <w:sz w:val="24"/>
              </w:rPr>
            </w:pPr>
            <w:r>
              <w:rPr>
                <w:rFonts w:hint="eastAsia" w:eastAsia="楷体_GB2312" w:cs="楷体_GB2312"/>
                <w:color w:val="000000"/>
                <w:sz w:val="24"/>
              </w:rPr>
              <w:t>公共基础设施：是□ 否□ 不适用□</w:t>
            </w:r>
          </w:p>
          <w:p>
            <w:pPr>
              <w:spacing w:line="320" w:lineRule="exact"/>
              <w:jc w:val="left"/>
              <w:rPr>
                <w:rFonts w:hint="eastAsia" w:eastAsia="楷体_GB2312" w:cs="楷体_GB2312"/>
                <w:color w:val="000000"/>
                <w:sz w:val="24"/>
              </w:rPr>
            </w:pPr>
            <w:r>
              <w:rPr>
                <w:rFonts w:hint="eastAsia" w:eastAsia="楷体_GB2312" w:cs="楷体_GB2312"/>
                <w:color w:val="000000"/>
                <w:sz w:val="24"/>
              </w:rPr>
              <w:t xml:space="preserve">保障性住房：是□ 否□ 不适用□           </w:t>
            </w:r>
          </w:p>
          <w:p>
            <w:pPr>
              <w:spacing w:line="320" w:lineRule="exact"/>
              <w:jc w:val="left"/>
              <w:rPr>
                <w:rFonts w:hint="eastAsia" w:eastAsia="楷体_GB2312" w:cs="楷体_GB2312"/>
                <w:color w:val="000000"/>
                <w:sz w:val="24"/>
              </w:rPr>
            </w:pPr>
            <w:r>
              <w:rPr>
                <w:rFonts w:hint="eastAsia" w:eastAsia="楷体_GB2312" w:cs="楷体_GB2312"/>
                <w:color w:val="000000"/>
                <w:sz w:val="24"/>
              </w:rPr>
              <w:t>政府储备物资：是□ 否□ 不适用□</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国有文物文化资产：是□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3148"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单位是否开展财务报告数据的分析与应用</w:t>
            </w:r>
          </w:p>
        </w:tc>
        <w:tc>
          <w:tcPr>
            <w:tcW w:w="5361" w:type="dxa"/>
            <w:gridSpan w:val="3"/>
            <w:noWrap/>
            <w:vAlign w:val="center"/>
          </w:tcPr>
          <w:p>
            <w:pPr>
              <w:spacing w:line="320" w:lineRule="exact"/>
              <w:jc w:val="center"/>
              <w:rPr>
                <w:rFonts w:hint="eastAsia" w:eastAsia="楷体_GB2312" w:cs="楷体_GB2312"/>
                <w:color w:val="000000"/>
                <w:sz w:val="24"/>
              </w:rPr>
            </w:pPr>
            <w:r>
              <w:rPr>
                <w:rFonts w:hint="eastAsia" w:eastAsia="楷体_GB2312" w:cs="楷体_GB2312"/>
                <w:color w:val="000000"/>
                <w:sz w:val="24"/>
              </w:rPr>
              <w:t>是□</w:t>
            </w:r>
          </w:p>
          <w:p>
            <w:pPr>
              <w:spacing w:line="320" w:lineRule="exact"/>
              <w:jc w:val="center"/>
              <w:rPr>
                <w:rFonts w:hint="eastAsia" w:eastAsia="仿宋_GB2312" w:cs="仿宋_GB2312"/>
                <w:color w:val="000000"/>
                <w:spacing w:val="-12"/>
                <w:sz w:val="24"/>
              </w:rPr>
            </w:pPr>
            <w:r>
              <w:rPr>
                <w:rFonts w:hint="eastAsia" w:eastAsia="楷体_GB2312" w:cs="楷体_GB2312"/>
                <w:color w:val="000000"/>
                <w:sz w:val="24"/>
              </w:rPr>
              <w:t>否□</w:t>
            </w:r>
          </w:p>
        </w:tc>
      </w:tr>
    </w:tbl>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说明：单位应当按照国家统一的会计准则制度进行账务处理，编制会计报表，并建立健全会计核算过程和财务报告编制环节的内部控制制度。</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单位是否按照政府会计准则制度要求开展预算会计核算和财务会计核算根据单位年度预算会计核算和财务会计核算情况勾选。</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编制</w:t>
      </w:r>
      <w:r>
        <w:rPr>
          <w:rFonts w:hint="eastAsia" w:eastAsia="楷体_GB2312" w:cs="楷体_GB2312"/>
          <w:color w:val="000000"/>
          <w:sz w:val="24"/>
          <w:lang w:eastAsia="zh-CN"/>
        </w:rPr>
        <w:t>2022年度</w:t>
      </w:r>
      <w:r>
        <w:rPr>
          <w:rFonts w:hint="eastAsia" w:eastAsia="楷体_GB2312" w:cs="楷体_GB2312"/>
          <w:color w:val="000000"/>
          <w:sz w:val="24"/>
        </w:rPr>
        <w:t>政府部门财务报告时，部门及所属单位之间发生的经济业务或事项是否在抵销前进行确认</w:t>
      </w:r>
      <w:r>
        <w:rPr>
          <w:rFonts w:hint="eastAsia" w:eastAsia="楷体_GB2312" w:cs="楷体_GB2312"/>
          <w:color w:val="000000"/>
          <w:sz w:val="24"/>
          <w:lang w:eastAsia="zh-CN"/>
        </w:rPr>
        <w:t>，</w:t>
      </w:r>
      <w:r>
        <w:rPr>
          <w:rFonts w:hint="eastAsia" w:eastAsia="楷体_GB2312" w:cs="楷体_GB2312"/>
          <w:color w:val="000000"/>
          <w:sz w:val="24"/>
        </w:rPr>
        <w:t>根据</w:t>
      </w:r>
      <w:r>
        <w:rPr>
          <w:rFonts w:hint="eastAsia" w:eastAsia="楷体_GB2312" w:cs="楷体_GB2312"/>
          <w:color w:val="000000"/>
          <w:sz w:val="24"/>
          <w:lang w:eastAsia="zh-CN"/>
        </w:rPr>
        <w:t>2022年度</w:t>
      </w:r>
      <w:r>
        <w:rPr>
          <w:rFonts w:hint="eastAsia" w:eastAsia="楷体_GB2312" w:cs="楷体_GB2312"/>
          <w:color w:val="000000"/>
          <w:sz w:val="24"/>
        </w:rPr>
        <w:t>政府部门财务报告编制过程中的内部抵销情况勾选。若单位不存在内部抵销事项，则勾选“不适用”。</w:t>
      </w:r>
    </w:p>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单位是否将基本建设投资、公共基础设施、保障性住房、政府储备物资、国有文物文化资产等纳入统一账簿进行会计核算</w:t>
      </w:r>
      <w:r>
        <w:rPr>
          <w:rFonts w:hint="eastAsia" w:eastAsia="楷体_GB2312" w:cs="楷体_GB2312"/>
          <w:color w:val="000000"/>
          <w:sz w:val="24"/>
          <w:lang w:eastAsia="zh-CN"/>
        </w:rPr>
        <w:t>，</w:t>
      </w:r>
      <w:r>
        <w:rPr>
          <w:rFonts w:hint="eastAsia" w:eastAsia="楷体_GB2312" w:cs="楷体_GB2312"/>
          <w:color w:val="000000"/>
          <w:sz w:val="24"/>
        </w:rPr>
        <w:t>根据单位基本建设投资、公共基础设施、保障性住房、政府储备物资、国有文物文化资产核算实际情况勾选。若单位不存在相关业务，则勾选“不适用”。</w:t>
      </w:r>
    </w:p>
    <w:p>
      <w:pPr>
        <w:pStyle w:val="7"/>
        <w:tabs>
          <w:tab w:val="left" w:pos="851"/>
        </w:tabs>
        <w:spacing w:line="360" w:lineRule="auto"/>
        <w:ind w:firstLine="0" w:firstLineChars="0"/>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三、业务层面内部控制情况</w:t>
      </w:r>
    </w:p>
    <w:p>
      <w:pPr>
        <w:widowControl/>
        <w:tabs>
          <w:tab w:val="left" w:pos="851"/>
        </w:tabs>
        <w:spacing w:line="360" w:lineRule="auto"/>
        <w:rPr>
          <w:rFonts w:hint="eastAsia" w:eastAsia="楷体_GB2312" w:cs="楷体_GB2312"/>
          <w:color w:val="000000"/>
          <w:sz w:val="24"/>
        </w:rPr>
      </w:pPr>
      <w:r>
        <w:rPr>
          <w:rFonts w:hint="eastAsia" w:eastAsia="仿宋_GB2312" w:cs="仿宋_GB2312"/>
          <w:color w:val="000000"/>
          <w:spacing w:val="-12"/>
          <w:sz w:val="28"/>
          <w:szCs w:val="28"/>
        </w:rPr>
        <w:t>（一）内部控制适用的六大经济业务领域</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10"/>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2551"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2551"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2551"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内部控制适用的其他业务领域</w:t>
            </w:r>
          </w:p>
        </w:tc>
        <w:tc>
          <w:tcPr>
            <w:tcW w:w="6804" w:type="dxa"/>
            <w:gridSpan w:val="3"/>
            <w:noWrap w:val="0"/>
            <w:vAlign w:val="center"/>
          </w:tcPr>
          <w:p>
            <w:pPr>
              <w:spacing w:line="320" w:lineRule="exact"/>
              <w:rPr>
                <w:rFonts w:hint="eastAsia" w:eastAsia="楷体_GB2312" w:cs="楷体_GB2312"/>
                <w:color w:val="000000"/>
                <w:sz w:val="24"/>
              </w:rPr>
            </w:pPr>
          </w:p>
        </w:tc>
      </w:tr>
    </w:tbl>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说明：如单位适用某项经济业务，但</w:t>
      </w:r>
      <w:r>
        <w:rPr>
          <w:rFonts w:hint="eastAsia" w:eastAsia="楷体_GB2312" w:cs="楷体_GB2312"/>
          <w:color w:val="000000"/>
          <w:sz w:val="24"/>
          <w:lang w:eastAsia="zh-CN"/>
        </w:rPr>
        <w:t>2022年度</w:t>
      </w:r>
      <w:r>
        <w:rPr>
          <w:rFonts w:hint="eastAsia" w:eastAsia="楷体_GB2312" w:cs="楷体_GB2312"/>
          <w:color w:val="000000"/>
          <w:sz w:val="24"/>
        </w:rPr>
        <w:t>该业务实际未发生，也应勾选“适用”。对于不适用的业务领域，应在佐证材料中加以说明或提供支撑材料，如加盖单位公章的说明材料等。</w:t>
      </w:r>
    </w:p>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政府采购是指各级国家机关、事业单位和团体组织，使用财政性资金采购依法制定的集中采购目录以内的或者采购限额标准以上的货物、工程和服务的行为。单位使用财政性资金采购的集中采购目录以外和采购限额标准以下的货物、工程和服务，即自行采购业务</w:t>
      </w:r>
      <w:r>
        <w:rPr>
          <w:rFonts w:hint="eastAsia" w:eastAsia="楷体_GB2312" w:cs="楷体_GB2312"/>
          <w:color w:val="000000"/>
          <w:sz w:val="24"/>
          <w:lang w:eastAsia="zh-CN"/>
        </w:rPr>
        <w:t>可</w:t>
      </w:r>
      <w:r>
        <w:rPr>
          <w:rFonts w:hint="eastAsia" w:eastAsia="楷体_GB2312" w:cs="楷体_GB2312"/>
          <w:color w:val="000000"/>
          <w:sz w:val="24"/>
        </w:rPr>
        <w:t>比照政府采购业务控制程序执行。</w:t>
      </w:r>
    </w:p>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建设项目是指单位自行或委托其他单位进行的建造、安装活动。建造活动主要是指各种建筑的新建、改建、扩建及修缮活动，安装主要是指设备的安装工程。</w:t>
      </w:r>
    </w:p>
    <w:p>
      <w:pPr>
        <w:pStyle w:val="7"/>
        <w:tabs>
          <w:tab w:val="left" w:pos="851"/>
        </w:tabs>
        <w:spacing w:line="360" w:lineRule="auto"/>
        <w:ind w:firstLine="480"/>
        <w:rPr>
          <w:rFonts w:hint="eastAsia" w:ascii="楷体" w:hAnsi="楷体" w:eastAsia="楷体" w:cs="楷体"/>
          <w:sz w:val="24"/>
        </w:rPr>
      </w:pPr>
      <w:r>
        <w:rPr>
          <w:rFonts w:hint="eastAsia" w:eastAsia="楷体_GB2312" w:cs="楷体_GB2312"/>
          <w:color w:val="000000"/>
          <w:sz w:val="24"/>
        </w:rPr>
        <w:t>若内部控制建设覆盖六大业务领域以外的其他业务，可填写具体业务名称。</w:t>
      </w:r>
    </w:p>
    <w:p>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（二）职责分离情况</w:t>
      </w:r>
    </w:p>
    <w:tbl>
      <w:tblPr>
        <w:tblStyle w:val="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38"/>
        <w:gridCol w:w="1531"/>
        <w:gridCol w:w="1593"/>
        <w:gridCol w:w="1482"/>
        <w:gridCol w:w="157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7" w:hRule="atLeast"/>
          <w:jc w:val="center"/>
        </w:trPr>
        <w:tc>
          <w:tcPr>
            <w:tcW w:w="1438" w:type="dxa"/>
            <w:noWrap w:val="0"/>
            <w:vAlign w:val="center"/>
          </w:tcPr>
          <w:p>
            <w:pPr>
              <w:widowControl/>
              <w:jc w:val="center"/>
              <w:rPr>
                <w:b/>
                <w:color w:val="000000"/>
                <w:sz w:val="24"/>
              </w:rPr>
            </w:pPr>
            <w:r>
              <w:rPr>
                <w:rFonts w:hint="eastAsia"/>
                <w:b/>
                <w:color w:val="000000"/>
                <w:sz w:val="24"/>
              </w:rPr>
              <w:t>预算业务</w:t>
            </w:r>
          </w:p>
        </w:tc>
        <w:tc>
          <w:tcPr>
            <w:tcW w:w="1531" w:type="dxa"/>
            <w:noWrap w:val="0"/>
            <w:vAlign w:val="center"/>
          </w:tcPr>
          <w:p>
            <w:pPr>
              <w:widowControl/>
              <w:jc w:val="center"/>
              <w:rPr>
                <w:b/>
                <w:color w:val="000000"/>
                <w:sz w:val="24"/>
              </w:rPr>
            </w:pPr>
            <w:r>
              <w:rPr>
                <w:rFonts w:hint="eastAsia"/>
                <w:b/>
                <w:color w:val="000000"/>
                <w:sz w:val="24"/>
              </w:rPr>
              <w:t>收支业务</w:t>
            </w:r>
          </w:p>
        </w:tc>
        <w:tc>
          <w:tcPr>
            <w:tcW w:w="1593" w:type="dxa"/>
            <w:noWrap w:val="0"/>
            <w:vAlign w:val="center"/>
          </w:tcPr>
          <w:p>
            <w:pPr>
              <w:widowControl/>
              <w:jc w:val="center"/>
              <w:rPr>
                <w:b/>
                <w:color w:val="000000"/>
                <w:sz w:val="24"/>
              </w:rPr>
            </w:pPr>
            <w:r>
              <w:rPr>
                <w:rFonts w:hint="eastAsia"/>
                <w:b/>
                <w:color w:val="000000"/>
                <w:sz w:val="24"/>
              </w:rPr>
              <w:t>政府采购业务</w:t>
            </w:r>
          </w:p>
        </w:tc>
        <w:tc>
          <w:tcPr>
            <w:tcW w:w="1482" w:type="dxa"/>
            <w:noWrap w:val="0"/>
            <w:vAlign w:val="center"/>
          </w:tcPr>
          <w:p>
            <w:pPr>
              <w:widowControl/>
              <w:jc w:val="center"/>
              <w:rPr>
                <w:b/>
                <w:color w:val="000000"/>
                <w:sz w:val="24"/>
              </w:rPr>
            </w:pPr>
            <w:r>
              <w:rPr>
                <w:rFonts w:hint="eastAsia"/>
                <w:b/>
                <w:color w:val="000000"/>
                <w:sz w:val="24"/>
              </w:rPr>
              <w:t>资产管理</w:t>
            </w:r>
          </w:p>
        </w:tc>
        <w:tc>
          <w:tcPr>
            <w:tcW w:w="1576" w:type="dxa"/>
            <w:noWrap w:val="0"/>
            <w:vAlign w:val="center"/>
          </w:tcPr>
          <w:p>
            <w:pPr>
              <w:widowControl/>
              <w:jc w:val="center"/>
              <w:rPr>
                <w:b/>
                <w:color w:val="000000"/>
                <w:sz w:val="24"/>
              </w:rPr>
            </w:pPr>
            <w:r>
              <w:rPr>
                <w:rFonts w:hint="eastAsia"/>
                <w:b/>
                <w:color w:val="000000"/>
                <w:sz w:val="24"/>
              </w:rPr>
              <w:t>建设项目管理</w:t>
            </w:r>
          </w:p>
        </w:tc>
        <w:tc>
          <w:tcPr>
            <w:tcW w:w="1485" w:type="dxa"/>
            <w:noWrap w:val="0"/>
            <w:vAlign w:val="center"/>
          </w:tcPr>
          <w:p>
            <w:pPr>
              <w:widowControl/>
              <w:jc w:val="center"/>
              <w:rPr>
                <w:b/>
                <w:color w:val="000000"/>
                <w:sz w:val="24"/>
              </w:rPr>
            </w:pPr>
            <w:r>
              <w:rPr>
                <w:rFonts w:hint="eastAsia"/>
                <w:b/>
                <w:color w:val="000000"/>
                <w:sz w:val="24"/>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38"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5"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3" w:hRule="atLeast"/>
          <w:jc w:val="center"/>
        </w:trPr>
        <w:tc>
          <w:tcPr>
            <w:tcW w:w="1438"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收款与会计核算分离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采购需求提出与审核分离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货币资金保管、稽核与账目登记分离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项目立项申请与审核分离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5"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合同拟订与审核分离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13" w:hRule="atLeast"/>
          <w:jc w:val="center"/>
        </w:trPr>
        <w:tc>
          <w:tcPr>
            <w:tcW w:w="1438"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预算审批与执行分离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支出申请与审批分离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采购方式确定与审核分离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资产财务账与实物账分离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概预算编制与审核分离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5"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合同订立与合同章管理分离</w:t>
            </w:r>
          </w:p>
          <w:p>
            <w:pPr>
              <w:widowControl/>
              <w:rPr>
                <w:rFonts w:hint="eastAsia" w:eastAsia="仿宋_GB2312" w:cs="仿宋_GB2312"/>
                <w:color w:val="000000"/>
                <w:spacing w:val="-12"/>
                <w:sz w:val="24"/>
              </w:rPr>
            </w:pPr>
            <w:r>
              <w:rPr>
                <w:rFonts w:hint="eastAsia" w:eastAsia="楷体_GB2312" w:cs="楷体_GB2312"/>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98" w:hRule="atLeast"/>
          <w:jc w:val="center"/>
        </w:trPr>
        <w:tc>
          <w:tcPr>
            <w:tcW w:w="1438"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预算执行与分析分离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支出审批与付款分离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采购执行与验收分离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资产保管与清查分离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项目实施与价款支付分离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5"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合同订立与登记台账分离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3" w:hRule="atLeast"/>
          <w:jc w:val="center"/>
        </w:trPr>
        <w:tc>
          <w:tcPr>
            <w:tcW w:w="1438"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决算编制与审核分离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业务经办与会计核算分离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采购验收与登记分离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对外投资立项申报与审核分离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竣工决算与审计分离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c>
          <w:tcPr>
            <w:tcW w:w="1485"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合同执行与监督分离</w:t>
            </w:r>
          </w:p>
          <w:p>
            <w:pPr>
              <w:widowControl/>
              <w:jc w:val="left"/>
              <w:rPr>
                <w:rFonts w:hint="eastAsia" w:eastAsia="楷体_GB2312" w:cs="楷体_GB2312"/>
                <w:color w:val="000000"/>
                <w:sz w:val="24"/>
              </w:rPr>
            </w:pPr>
            <w:r>
              <w:rPr>
                <w:rFonts w:hint="eastAsia" w:eastAsia="楷体_GB2312" w:cs="楷体_GB2312"/>
                <w:color w:val="000000"/>
                <w:sz w:val="24"/>
              </w:rPr>
              <w:t>是□ 否□</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职责分离是指对于各业务环节中的不相容职责，不得由同一人员承担。需上传岗位职责说明书等作为佐证材料。使用网络版填报的单位，若以前年度已经上传过相应佐证材料，则无需再次上传；若以前年度未上传或第一年使用网络版填报，则需上传相应佐证材料。使用单机版填报的单位，需上传相应佐证材料。</w:t>
      </w:r>
    </w:p>
    <w:p>
      <w:pPr>
        <w:widowControl/>
        <w:tabs>
          <w:tab w:val="left" w:pos="851"/>
        </w:tabs>
        <w:spacing w:line="360" w:lineRule="auto"/>
        <w:rPr>
          <w:rFonts w:hint="eastAsia" w:ascii="楷体" w:hAnsi="楷体" w:eastAsia="楷体" w:cs="楷体"/>
          <w:sz w:val="28"/>
          <w:szCs w:val="28"/>
        </w:rPr>
      </w:pPr>
      <w:r>
        <w:rPr>
          <w:rFonts w:hint="eastAsia" w:eastAsia="仿宋_GB2312" w:cs="仿宋_GB2312"/>
          <w:color w:val="000000"/>
          <w:spacing w:val="-12"/>
          <w:sz w:val="28"/>
          <w:szCs w:val="28"/>
        </w:rPr>
        <w:t>（三）关键岗位轮岗情况</w:t>
      </w:r>
    </w:p>
    <w:tbl>
      <w:tblPr>
        <w:tblStyle w:val="4"/>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77"/>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5"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5"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2077"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6711"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w:t>
            </w:r>
          </w:p>
          <w:p>
            <w:pPr>
              <w:spacing w:line="320" w:lineRule="exact"/>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w:t>
            </w:r>
          </w:p>
        </w:tc>
      </w:tr>
    </w:tbl>
    <w:p>
      <w:pPr>
        <w:widowControl/>
        <w:tabs>
          <w:tab w:val="left" w:pos="851"/>
        </w:tabs>
        <w:spacing w:line="360" w:lineRule="auto"/>
        <w:rPr>
          <w:rFonts w:hint="eastAsia" w:eastAsia="楷体_GB2312" w:cs="楷体_GB2312"/>
          <w:color w:val="000000"/>
          <w:sz w:val="24"/>
        </w:rPr>
      </w:pPr>
      <w:r>
        <w:rPr>
          <w:rFonts w:hint="eastAsia" w:eastAsia="楷体_GB2312" w:cs="楷体_GB2312"/>
          <w:color w:val="000000"/>
          <w:sz w:val="24"/>
        </w:rPr>
        <w:t xml:space="preserve">    说明：单位应当按照有关规定对关键岗位人员实行轮岗交流，明确轮岗范围、轮岗周期与轮岗方式，不具备轮岗条件的可以采用专项审计等替代措施。需上传定期轮岗（或专项审计）轮岗记录、专项审计报告等文件作为佐证材料。</w:t>
      </w:r>
    </w:p>
    <w:p>
      <w:pPr>
        <w:widowControl/>
        <w:tabs>
          <w:tab w:val="left" w:pos="851"/>
        </w:tabs>
        <w:spacing w:line="360" w:lineRule="auto"/>
        <w:rPr>
          <w:rFonts w:hint="eastAsia" w:ascii="Times New Roman" w:hAnsi="Times New Roman" w:eastAsia="仿宋_GB2312" w:cs="仿宋_GB2312"/>
          <w:color w:val="000000"/>
          <w:spacing w:val="-12"/>
          <w:sz w:val="28"/>
          <w:szCs w:val="28"/>
        </w:rPr>
      </w:pPr>
      <w:r>
        <w:rPr>
          <w:rFonts w:hint="eastAsia" w:ascii="Times New Roman" w:hAnsi="Times New Roman" w:eastAsia="仿宋_GB2312" w:cs="仿宋_GB2312"/>
          <w:color w:val="000000"/>
          <w:spacing w:val="-12"/>
          <w:sz w:val="28"/>
          <w:szCs w:val="28"/>
        </w:rPr>
        <w:t>（四）</w:t>
      </w:r>
      <w:r>
        <w:rPr>
          <w:rFonts w:hint="eastAsia" w:ascii="Times New Roman" w:hAnsi="Times New Roman" w:eastAsia="仿宋_GB2312" w:cs="仿宋_GB2312"/>
          <w:color w:val="000000"/>
          <w:spacing w:val="-12"/>
          <w:sz w:val="28"/>
          <w:szCs w:val="28"/>
          <w:lang w:eastAsia="zh-CN"/>
        </w:rPr>
        <w:t>2022年度</w:t>
      </w:r>
      <w:r>
        <w:rPr>
          <w:rFonts w:hint="eastAsia" w:ascii="Times New Roman" w:hAnsi="Times New Roman" w:eastAsia="仿宋_GB2312" w:cs="仿宋_GB2312"/>
          <w:color w:val="000000"/>
          <w:spacing w:val="-12"/>
          <w:sz w:val="28"/>
          <w:szCs w:val="28"/>
        </w:rPr>
        <w:t>业务层面风险评估覆盖情况</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276"/>
        <w:gridCol w:w="283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61"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预算业务是否开展风险评估</w:t>
            </w:r>
          </w:p>
        </w:tc>
        <w:tc>
          <w:tcPr>
            <w:tcW w:w="1276"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c>
          <w:tcPr>
            <w:tcW w:w="2835" w:type="dxa"/>
            <w:noWrap w:val="0"/>
            <w:vAlign w:val="center"/>
          </w:tcPr>
          <w:p>
            <w:pPr>
              <w:spacing w:line="320" w:lineRule="exact"/>
              <w:rPr>
                <w:rFonts w:hint="eastAsia" w:eastAsia="仿宋_GB2312" w:cs="仿宋_GB2312"/>
                <w:color w:val="000000"/>
                <w:spacing w:val="-12"/>
                <w:sz w:val="24"/>
              </w:rPr>
            </w:pPr>
            <w:r>
              <w:rPr>
                <w:rFonts w:hint="eastAsia" w:eastAsia="仿宋_GB2312" w:cs="仿宋_GB2312"/>
                <w:color w:val="000000"/>
                <w:spacing w:val="-12"/>
                <w:sz w:val="24"/>
              </w:rPr>
              <w:t>收支业务是否开展风险评估</w:t>
            </w:r>
          </w:p>
        </w:tc>
        <w:tc>
          <w:tcPr>
            <w:tcW w:w="1275"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1"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政府采购业务是否开展风险评估</w:t>
            </w:r>
          </w:p>
        </w:tc>
        <w:tc>
          <w:tcPr>
            <w:tcW w:w="1276"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c>
          <w:tcPr>
            <w:tcW w:w="2835" w:type="dxa"/>
            <w:noWrap w:val="0"/>
            <w:vAlign w:val="center"/>
          </w:tcPr>
          <w:p>
            <w:pPr>
              <w:spacing w:line="320" w:lineRule="exact"/>
              <w:rPr>
                <w:rFonts w:hint="eastAsia" w:eastAsia="仿宋_GB2312" w:cs="仿宋_GB2312"/>
                <w:color w:val="000000"/>
                <w:spacing w:val="-12"/>
                <w:sz w:val="24"/>
              </w:rPr>
            </w:pPr>
            <w:r>
              <w:rPr>
                <w:rFonts w:hint="eastAsia" w:eastAsia="仿宋_GB2312" w:cs="仿宋_GB2312"/>
                <w:color w:val="000000"/>
                <w:spacing w:val="-12"/>
                <w:sz w:val="24"/>
              </w:rPr>
              <w:t>资产管理是否开展风险评估</w:t>
            </w:r>
          </w:p>
        </w:tc>
        <w:tc>
          <w:tcPr>
            <w:tcW w:w="1275"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261"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建设项目管理是否开展风险评估</w:t>
            </w:r>
          </w:p>
        </w:tc>
        <w:tc>
          <w:tcPr>
            <w:tcW w:w="1276"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c>
          <w:tcPr>
            <w:tcW w:w="2835" w:type="dxa"/>
            <w:noWrap w:val="0"/>
            <w:vAlign w:val="center"/>
          </w:tcPr>
          <w:p>
            <w:pPr>
              <w:spacing w:line="320" w:lineRule="exact"/>
              <w:rPr>
                <w:rFonts w:hint="eastAsia" w:eastAsia="仿宋_GB2312" w:cs="仿宋_GB2312"/>
                <w:color w:val="000000"/>
                <w:spacing w:val="-12"/>
                <w:sz w:val="24"/>
              </w:rPr>
            </w:pPr>
            <w:r>
              <w:rPr>
                <w:rFonts w:hint="eastAsia" w:eastAsia="仿宋_GB2312" w:cs="仿宋_GB2312"/>
                <w:color w:val="000000"/>
                <w:spacing w:val="-12"/>
                <w:sz w:val="24"/>
              </w:rPr>
              <w:t>合同管理是否开展风险评估</w:t>
            </w:r>
          </w:p>
        </w:tc>
        <w:tc>
          <w:tcPr>
            <w:tcW w:w="1275"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是□否□</w:t>
            </w:r>
          </w:p>
        </w:tc>
      </w:tr>
    </w:tbl>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说明：业务层面内部控制风险评估覆盖情况根据</w:t>
      </w:r>
      <w:r>
        <w:rPr>
          <w:rFonts w:hint="eastAsia" w:eastAsia="楷体_GB2312" w:cs="楷体_GB2312"/>
          <w:color w:val="000000"/>
          <w:sz w:val="24"/>
          <w:lang w:eastAsia="zh-CN"/>
        </w:rPr>
        <w:t>2022年度</w:t>
      </w:r>
      <w:r>
        <w:rPr>
          <w:rFonts w:hint="eastAsia" w:eastAsia="楷体_GB2312" w:cs="楷体_GB2312"/>
          <w:color w:val="000000"/>
          <w:sz w:val="24"/>
        </w:rPr>
        <w:t>单位组织开展业务层面风险评估工作以及出具的风险评估报告或其他文件，逐项勾选已进行内部控制风险评估的方面。需上传风险评估报告等材料作为佐证材料。</w:t>
      </w:r>
    </w:p>
    <w:p>
      <w:pPr>
        <w:widowControl/>
        <w:tabs>
          <w:tab w:val="left" w:pos="851"/>
        </w:tabs>
        <w:spacing w:line="360" w:lineRule="auto"/>
        <w:rPr>
          <w:rFonts w:hint="eastAsia" w:ascii="Times New Roman" w:hAnsi="Times New Roman" w:eastAsia="仿宋_GB2312" w:cs="仿宋_GB2312"/>
          <w:color w:val="000000"/>
          <w:spacing w:val="-12"/>
          <w:sz w:val="28"/>
          <w:szCs w:val="28"/>
        </w:rPr>
      </w:pPr>
      <w:r>
        <w:rPr>
          <w:rFonts w:hint="eastAsia" w:ascii="Times New Roman" w:hAnsi="Times New Roman" w:eastAsia="仿宋_GB2312" w:cs="仿宋_GB2312"/>
          <w:color w:val="000000"/>
          <w:spacing w:val="-12"/>
          <w:sz w:val="28"/>
          <w:szCs w:val="28"/>
        </w:rPr>
        <w:t>（五）建立健全内部控制制度情况</w:t>
      </w:r>
    </w:p>
    <w:tbl>
      <w:tblPr>
        <w:tblStyle w:val="4"/>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925"/>
        <w:gridCol w:w="1530"/>
        <w:gridCol w:w="1227"/>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739"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业务类型</w:t>
            </w:r>
          </w:p>
        </w:tc>
        <w:tc>
          <w:tcPr>
            <w:tcW w:w="92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环节</w:t>
            </w:r>
          </w:p>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（类别）</w:t>
            </w:r>
          </w:p>
        </w:tc>
        <w:tc>
          <w:tcPr>
            <w:tcW w:w="15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是否已建立制度和流程图</w:t>
            </w:r>
          </w:p>
        </w:tc>
        <w:tc>
          <w:tcPr>
            <w:tcW w:w="1227"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是否更新</w:t>
            </w:r>
          </w:p>
        </w:tc>
        <w:tc>
          <w:tcPr>
            <w:tcW w:w="42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内控制度覆盖关键管控点情况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739"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92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预算编制与审核</w:t>
            </w:r>
          </w:p>
        </w:tc>
        <w:tc>
          <w:tcPr>
            <w:tcW w:w="153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是□否□</w:t>
            </w:r>
          </w:p>
        </w:tc>
        <w:tc>
          <w:tcPr>
            <w:tcW w:w="1227"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center"/>
              <w:rPr>
                <w:rFonts w:hint="eastAsia" w:eastAsia="仿宋_GB2312" w:cs="仿宋_GB2312"/>
                <w:color w:val="000000"/>
                <w:spacing w:val="-12"/>
                <w:sz w:val="24"/>
              </w:rPr>
            </w:pPr>
          </w:p>
          <w:p>
            <w:pPr>
              <w:spacing w:line="320" w:lineRule="exact"/>
              <w:jc w:val="center"/>
              <w:rPr>
                <w:rFonts w:hint="eastAsia" w:eastAsia="仿宋_GB2312" w:cs="仿宋_GB2312"/>
                <w:color w:val="000000"/>
                <w:spacing w:val="-12"/>
                <w:sz w:val="24"/>
              </w:rPr>
            </w:pPr>
          </w:p>
        </w:tc>
        <w:tc>
          <w:tcPr>
            <w:tcW w:w="421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单位预算项目库入库标准与动态管理□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单位预算编制主体、程序及标准□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单位预算分解及下达□</w:t>
            </w:r>
          </w:p>
          <w:p>
            <w:pPr>
              <w:spacing w:line="320" w:lineRule="exact"/>
              <w:jc w:val="left"/>
              <w:rPr>
                <w:rFonts w:hint="eastAsia" w:eastAsia="楷体_GB2312" w:cs="楷体_GB2312"/>
                <w:color w:val="000000"/>
                <w:sz w:val="24"/>
              </w:rPr>
            </w:pPr>
            <w:r>
              <w:rPr>
                <w:rFonts w:hint="eastAsia" w:eastAsia="楷体_GB2312" w:cs="楷体_GB2312"/>
                <w:color w:val="000000"/>
                <w:sz w:val="24"/>
              </w:rPr>
              <w:t>预决算公开□</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739" w:type="dxa"/>
            <w:vMerge w:val="continue"/>
            <w:noWrap/>
            <w:vAlign w:val="center"/>
          </w:tcPr>
          <w:p>
            <w:pPr>
              <w:spacing w:line="320" w:lineRule="exact"/>
              <w:jc w:val="center"/>
              <w:rPr>
                <w:rFonts w:hint="eastAsia" w:eastAsia="仿宋_GB2312" w:cs="仿宋_GB2312"/>
                <w:color w:val="000000"/>
                <w:spacing w:val="-12"/>
                <w:sz w:val="24"/>
              </w:rPr>
            </w:pPr>
          </w:p>
        </w:tc>
        <w:tc>
          <w:tcPr>
            <w:tcW w:w="92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预算执行与调整</w:t>
            </w:r>
          </w:p>
        </w:tc>
        <w:tc>
          <w:tcPr>
            <w:tcW w:w="153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27" w:type="dxa"/>
            <w:vMerge w:val="continue"/>
            <w:noWrap w:val="0"/>
            <w:vAlign w:val="center"/>
          </w:tcPr>
          <w:p>
            <w:pPr>
              <w:spacing w:line="320" w:lineRule="exact"/>
              <w:jc w:val="center"/>
              <w:rPr>
                <w:rFonts w:hint="eastAsia" w:eastAsia="仿宋_GB2312" w:cs="仿宋_GB2312"/>
                <w:color w:val="000000"/>
                <w:spacing w:val="-12"/>
                <w:sz w:val="24"/>
              </w:rPr>
            </w:pPr>
          </w:p>
        </w:tc>
        <w:tc>
          <w:tcPr>
            <w:tcW w:w="421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单位预算执行分析次数、内容及结果应用□</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单位预算调整主体、程序及标准□</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jc w:val="center"/>
        </w:trPr>
        <w:tc>
          <w:tcPr>
            <w:tcW w:w="739" w:type="dxa"/>
            <w:vMerge w:val="continue"/>
            <w:noWrap/>
            <w:vAlign w:val="center"/>
          </w:tcPr>
          <w:p>
            <w:pPr>
              <w:spacing w:line="320" w:lineRule="exact"/>
              <w:jc w:val="center"/>
              <w:rPr>
                <w:rFonts w:hint="eastAsia" w:eastAsia="仿宋_GB2312" w:cs="仿宋_GB2312"/>
                <w:color w:val="000000"/>
                <w:spacing w:val="-12"/>
                <w:sz w:val="24"/>
              </w:rPr>
            </w:pPr>
          </w:p>
        </w:tc>
        <w:tc>
          <w:tcPr>
            <w:tcW w:w="92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决算管理</w:t>
            </w:r>
          </w:p>
        </w:tc>
        <w:tc>
          <w:tcPr>
            <w:tcW w:w="153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27" w:type="dxa"/>
            <w:vMerge w:val="continue"/>
            <w:noWrap w:val="0"/>
            <w:vAlign w:val="center"/>
          </w:tcPr>
          <w:p>
            <w:pPr>
              <w:spacing w:line="320" w:lineRule="exact"/>
              <w:jc w:val="center"/>
              <w:rPr>
                <w:rFonts w:hint="eastAsia" w:eastAsia="仿宋_GB2312" w:cs="仿宋_GB2312"/>
                <w:color w:val="000000"/>
                <w:spacing w:val="-12"/>
                <w:sz w:val="24"/>
              </w:rPr>
            </w:pPr>
          </w:p>
        </w:tc>
        <w:tc>
          <w:tcPr>
            <w:tcW w:w="421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单位决算编制主体、程序及标准□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单位决算分析报告内容与应用机制□</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0" w:hRule="atLeast"/>
          <w:jc w:val="center"/>
        </w:trPr>
        <w:tc>
          <w:tcPr>
            <w:tcW w:w="739" w:type="dxa"/>
            <w:vMerge w:val="continue"/>
            <w:noWrap/>
            <w:vAlign w:val="center"/>
          </w:tcPr>
          <w:p>
            <w:pPr>
              <w:spacing w:line="320" w:lineRule="exact"/>
              <w:jc w:val="center"/>
              <w:rPr>
                <w:rFonts w:hint="eastAsia" w:eastAsia="仿宋_GB2312" w:cs="仿宋_GB2312"/>
                <w:color w:val="000000"/>
                <w:spacing w:val="-12"/>
                <w:sz w:val="24"/>
              </w:rPr>
            </w:pPr>
          </w:p>
        </w:tc>
        <w:tc>
          <w:tcPr>
            <w:tcW w:w="92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绩效管理</w:t>
            </w:r>
          </w:p>
        </w:tc>
        <w:tc>
          <w:tcPr>
            <w:tcW w:w="153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27" w:type="dxa"/>
            <w:vMerge w:val="continue"/>
            <w:noWrap w:val="0"/>
            <w:vAlign w:val="center"/>
          </w:tcPr>
          <w:p>
            <w:pPr>
              <w:spacing w:line="320" w:lineRule="exact"/>
              <w:jc w:val="center"/>
              <w:rPr>
                <w:rFonts w:hint="eastAsia" w:eastAsia="仿宋_GB2312" w:cs="仿宋_GB2312"/>
                <w:color w:val="000000"/>
                <w:spacing w:val="-12"/>
                <w:sz w:val="24"/>
              </w:rPr>
            </w:pPr>
          </w:p>
        </w:tc>
        <w:tc>
          <w:tcPr>
            <w:tcW w:w="4210"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单位新增重大预算项目事前评估程序□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单位整体绩效目标设定与审核□</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单位项目绩效目标设定与审核□</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单位项目绩效运行监控□</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单位整体绩效评价主体、程序及结果应用□</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单位项目绩效评价主体、程序及结果应用□</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bl>
    <w:p>
      <w:pPr>
        <w:pStyle w:val="7"/>
        <w:tabs>
          <w:tab w:val="left" w:pos="851"/>
        </w:tabs>
        <w:spacing w:line="360" w:lineRule="auto"/>
        <w:ind w:firstLine="480"/>
        <w:rPr>
          <w:rFonts w:eastAsia="楷体_GB2312" w:cs="楷体_GB2312"/>
          <w:color w:val="000000"/>
          <w:sz w:val="24"/>
        </w:rPr>
      </w:pPr>
      <w:r>
        <w:rPr>
          <w:rFonts w:hint="eastAsia" w:eastAsia="楷体_GB2312" w:cs="楷体_GB2312"/>
          <w:color w:val="000000"/>
          <w:sz w:val="24"/>
        </w:rPr>
        <w:t>说明：是否已建立制度和流程图根据单位内部控制制度和流程图建立情况勾选。截至</w:t>
      </w:r>
      <w:r>
        <w:rPr>
          <w:rFonts w:hint="eastAsia" w:eastAsia="楷体_GB2312" w:cs="楷体_GB2312"/>
          <w:color w:val="000000"/>
          <w:sz w:val="24"/>
          <w:lang w:eastAsia="zh-CN"/>
        </w:rPr>
        <w:t>2022年</w:t>
      </w:r>
      <w:r>
        <w:rPr>
          <w:rFonts w:hint="eastAsia" w:eastAsia="楷体_GB2312" w:cs="楷体_GB2312"/>
          <w:color w:val="000000"/>
          <w:sz w:val="24"/>
        </w:rPr>
        <w:t>底单位已经建立对应业务环节（类别）的制度或流程图，勾选“是”；若单位尚未建立对应业务环节（类别）的制度或流程图，勾选“否”。</w:t>
      </w:r>
    </w:p>
    <w:p>
      <w:pPr>
        <w:pStyle w:val="7"/>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是否更新根据单位</w:t>
      </w:r>
      <w:r>
        <w:rPr>
          <w:rFonts w:hint="eastAsia" w:eastAsia="楷体_GB2312" w:cs="楷体_GB2312"/>
          <w:color w:val="000000"/>
          <w:sz w:val="24"/>
          <w:lang w:eastAsia="zh-CN"/>
        </w:rPr>
        <w:t>2022年度</w:t>
      </w:r>
      <w:r>
        <w:rPr>
          <w:rFonts w:hint="eastAsia" w:eastAsia="楷体_GB2312" w:cs="楷体_GB2312"/>
          <w:color w:val="000000"/>
          <w:sz w:val="24"/>
        </w:rPr>
        <w:t>内部控制制度和流程图更新情况勾选。若单位在以前年度已经建立对应业务的制度或流程图且</w:t>
      </w:r>
      <w:r>
        <w:rPr>
          <w:rFonts w:hint="eastAsia" w:eastAsia="楷体_GB2312" w:cs="楷体_GB2312"/>
          <w:color w:val="000000"/>
          <w:sz w:val="24"/>
          <w:lang w:eastAsia="zh-CN"/>
        </w:rPr>
        <w:t>2022年度</w:t>
      </w:r>
      <w:r>
        <w:rPr>
          <w:rFonts w:hint="eastAsia" w:eastAsia="楷体_GB2312" w:cs="楷体_GB2312"/>
          <w:color w:val="000000"/>
          <w:sz w:val="24"/>
        </w:rPr>
        <w:t>进行过更新，或者单位</w:t>
      </w:r>
      <w:r>
        <w:rPr>
          <w:rFonts w:hint="eastAsia" w:eastAsia="楷体_GB2312" w:cs="楷体_GB2312"/>
          <w:color w:val="000000"/>
          <w:sz w:val="24"/>
          <w:lang w:eastAsia="zh-CN"/>
        </w:rPr>
        <w:t>2022年度</w:t>
      </w:r>
      <w:r>
        <w:rPr>
          <w:rFonts w:hint="eastAsia" w:eastAsia="楷体_GB2312" w:cs="楷体_GB2312"/>
          <w:color w:val="000000"/>
          <w:sz w:val="24"/>
        </w:rPr>
        <w:t>首次建立对应制度或流程图，勾选“是”，否则勾选“否”。</w:t>
      </w:r>
    </w:p>
    <w:p>
      <w:pPr>
        <w:pStyle w:val="7"/>
        <w:tabs>
          <w:tab w:val="left" w:pos="851"/>
        </w:tabs>
        <w:spacing w:line="360" w:lineRule="auto"/>
        <w:ind w:firstLine="480"/>
        <w:rPr>
          <w:rFonts w:ascii="楷体" w:hAnsi="楷体" w:eastAsia="楷体" w:cs="楷体"/>
          <w:sz w:val="24"/>
        </w:rPr>
      </w:pPr>
      <w:r>
        <w:rPr>
          <w:rFonts w:hint="eastAsia" w:eastAsia="楷体_GB2312" w:cs="楷体_GB2312"/>
          <w:color w:val="000000"/>
          <w:sz w:val="24"/>
        </w:rPr>
        <w:t>使用网络版填报的单位，若以前年度已经上传过相应业务的内部控制制度和流程图，则只需上传进行过更新或首次建立的制度或流程图作为佐证材料；若以前年度未上传过相应业务的内部控制制度和流程图，或第一年使用网络版填报，则需上传相应业务的内部控制制度和流程图作为佐证材料。使用单机版填报的单位，需上传相应业务的内部控制制度和流程图作为佐证材料。</w:t>
      </w:r>
    </w:p>
    <w:tbl>
      <w:tblPr>
        <w:tblStyle w:val="4"/>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930"/>
        <w:gridCol w:w="1549"/>
        <w:gridCol w:w="1244"/>
        <w:gridCol w:w="4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tblHeader/>
          <w:jc w:val="center"/>
        </w:trPr>
        <w:tc>
          <w:tcPr>
            <w:tcW w:w="695" w:type="dxa"/>
            <w:noWrap/>
            <w:vAlign w:val="center"/>
          </w:tcPr>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业务类型</w:t>
            </w:r>
          </w:p>
        </w:tc>
        <w:tc>
          <w:tcPr>
            <w:tcW w:w="930" w:type="dxa"/>
            <w:noWrap w:val="0"/>
            <w:vAlign w:val="center"/>
          </w:tcPr>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环节</w:t>
            </w:r>
          </w:p>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（类别）</w:t>
            </w:r>
          </w:p>
        </w:tc>
        <w:tc>
          <w:tcPr>
            <w:tcW w:w="1549" w:type="dxa"/>
            <w:noWrap w:val="0"/>
            <w:vAlign w:val="center"/>
          </w:tcPr>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是否已建立制度和流程图</w:t>
            </w:r>
          </w:p>
        </w:tc>
        <w:tc>
          <w:tcPr>
            <w:tcW w:w="1244" w:type="dxa"/>
            <w:noWrap w:val="0"/>
            <w:vAlign w:val="center"/>
          </w:tcPr>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是否更新</w:t>
            </w:r>
          </w:p>
        </w:tc>
        <w:tc>
          <w:tcPr>
            <w:tcW w:w="4035" w:type="dxa"/>
            <w:noWrap w:val="0"/>
            <w:vAlign w:val="center"/>
          </w:tcPr>
          <w:p>
            <w:pPr>
              <w:widowControl/>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内控制度覆盖关键管控点情况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0" w:hRule="atLeast"/>
          <w:jc w:val="center"/>
        </w:trPr>
        <w:tc>
          <w:tcPr>
            <w:tcW w:w="695"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收入管理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单位财政收入种类与收缴管理□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单位非财政收入种类与收缴管理□</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票据管理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单位财政票据申领、使用保管及核销□</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单位发票申领、使用保管及核销□</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支出管理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单位支出范围与标准□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单位各类支出审批权限□</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公务卡管理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单位公务卡结算范围及报销程序□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单位公务卡办卡及销卡管理□</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17" w:hRule="atLeast"/>
          <w:jc w:val="center"/>
        </w:trPr>
        <w:tc>
          <w:tcPr>
            <w:tcW w:w="695"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 xml:space="preserve">采购需求管理 </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采购需求的内容、合规性、合理性□</w:t>
            </w:r>
          </w:p>
          <w:p>
            <w:pPr>
              <w:spacing w:line="320" w:lineRule="exact"/>
              <w:jc w:val="left"/>
              <w:rPr>
                <w:rFonts w:hint="eastAsia" w:eastAsia="楷体_GB2312" w:cs="楷体_GB2312"/>
                <w:color w:val="000000"/>
                <w:sz w:val="24"/>
              </w:rPr>
            </w:pPr>
            <w:r>
              <w:rPr>
                <w:rFonts w:hint="eastAsia" w:eastAsia="楷体_GB2312" w:cs="楷体_GB2312"/>
                <w:color w:val="000000"/>
                <w:sz w:val="24"/>
              </w:rPr>
              <w:t>采购需求调查的主体、范围、内容、形式、存档□</w:t>
            </w:r>
          </w:p>
          <w:p>
            <w:pPr>
              <w:spacing w:line="320" w:lineRule="exact"/>
              <w:jc w:val="left"/>
              <w:rPr>
                <w:rFonts w:hint="eastAsia" w:eastAsia="楷体_GB2312" w:cs="楷体_GB2312"/>
                <w:color w:val="000000"/>
                <w:sz w:val="24"/>
              </w:rPr>
            </w:pPr>
            <w:r>
              <w:rPr>
                <w:rFonts w:hint="eastAsia" w:eastAsia="楷体_GB2312" w:cs="楷体_GB2312"/>
                <w:color w:val="000000"/>
                <w:sz w:val="24"/>
              </w:rPr>
              <w:t>采购实施计划（包括采购项目预算、采购组织形式、采购方式等）的内容、存档□</w:t>
            </w:r>
          </w:p>
          <w:p>
            <w:pPr>
              <w:spacing w:line="320" w:lineRule="exact"/>
              <w:jc w:val="left"/>
              <w:rPr>
                <w:rFonts w:hint="eastAsia" w:eastAsia="楷体_GB2312" w:cs="楷体_GB2312"/>
                <w:color w:val="000000"/>
                <w:sz w:val="24"/>
              </w:rPr>
            </w:pPr>
            <w:r>
              <w:rPr>
                <w:rFonts w:hint="eastAsia" w:eastAsia="楷体_GB2312" w:cs="楷体_GB2312"/>
                <w:color w:val="000000"/>
                <w:sz w:val="24"/>
              </w:rPr>
              <w:t>采购需求审查的范围、内容、成员、存档□</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2"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变更采购方式</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center"/>
              <w:rPr>
                <w:rFonts w:hint="eastAsia" w:eastAsia="仿宋_GB2312" w:cs="仿宋_GB2312"/>
                <w:color w:val="000000"/>
                <w:spacing w:val="-12"/>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申请变更采购方式的主体、程序□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采购进口产品</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center"/>
              <w:rPr>
                <w:rFonts w:hint="eastAsia" w:eastAsia="仿宋_GB2312" w:cs="仿宋_GB2312"/>
                <w:color w:val="000000"/>
                <w:spacing w:val="-12"/>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申请采购进口产品的主体、程序□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6"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履约验收</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center"/>
              <w:rPr>
                <w:rFonts w:hint="eastAsia" w:eastAsia="仿宋_GB2312" w:cs="仿宋_GB2312"/>
                <w:color w:val="000000"/>
                <w:spacing w:val="-12"/>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履约验收的主体、时间、方式、程序、内容、验收标准等□</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信息公开</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center"/>
              <w:rPr>
                <w:rFonts w:hint="eastAsia" w:eastAsia="仿宋_GB2312" w:cs="仿宋_GB2312"/>
                <w:color w:val="000000"/>
                <w:spacing w:val="-12"/>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信息公开的主体、范围、时间、内容、程序□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atLeast"/>
          <w:jc w:val="center"/>
        </w:trPr>
        <w:tc>
          <w:tcPr>
            <w:tcW w:w="695"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货币资金管理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单位银行账户类型，开立、变更、撤销程序及年检□</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单位财务印章、银行密钥管理□</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固定资产管理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单位固定资产类别与配置标准□</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单位固定资产清查范围及程序□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单位资产处置标准与审批权限□</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6"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无形资产管理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单位无形资产类别、登记确认、价值评估及处置□</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5"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对外投资管理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单位关于《政府投资条例》的具体管理办法□</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单位对外投资范围、立项及审批权限和程序□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单位对外投资价值评估与收益管理□</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695"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项目立项、设计与概预算</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单位项目投资评审、立项依据与审批程序□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5"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项目采购管理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单位项目采购范围、方式及程序□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项目施工、变更与资金支付</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单位项目分包控制□</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单位项目变更审批权限及程序□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 w:hRule="atLeast"/>
          <w:jc w:val="center"/>
        </w:trPr>
        <w:tc>
          <w:tcPr>
            <w:tcW w:w="695" w:type="dxa"/>
            <w:vMerge w:val="continue"/>
            <w:noWrap/>
            <w:vAlign w:val="center"/>
          </w:tcPr>
          <w:p>
            <w:pPr>
              <w:widowControl/>
              <w:rPr>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项目验收管理与绩效评价</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单位项目验收主体、内容及程序□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单位项目绩效评价形式与内容□</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8" w:hRule="atLeast"/>
          <w:jc w:val="center"/>
        </w:trPr>
        <w:tc>
          <w:tcPr>
            <w:tcW w:w="695" w:type="dxa"/>
            <w:vMerge w:val="restart"/>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合同拟订与审批</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restart"/>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单位合同审核主体、内容及程序□</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单位法务或外聘法律顾问介入条件与环节□</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单位合同章种类、使用权限及使用范围□</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合同履行与监督</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单位合同台账设置及管理要求□</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单位合同执行监督机制□</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单位合同变更、转让或解除机制□</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695" w:type="dxa"/>
            <w:vMerge w:val="continue"/>
            <w:noWrap/>
            <w:vAlign w:val="center"/>
          </w:tcPr>
          <w:p>
            <w:pPr>
              <w:spacing w:line="320" w:lineRule="exact"/>
              <w:jc w:val="center"/>
              <w:rPr>
                <w:rFonts w:hint="eastAsia" w:eastAsia="仿宋_GB2312" w:cs="仿宋_GB2312"/>
                <w:color w:val="000000"/>
                <w:spacing w:val="-12"/>
                <w:sz w:val="24"/>
              </w:rPr>
            </w:pPr>
          </w:p>
        </w:tc>
        <w:tc>
          <w:tcPr>
            <w:tcW w:w="93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合同档案与纠纷管理</w:t>
            </w: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vMerge w:val="continue"/>
            <w:noWrap w:val="0"/>
            <w:vAlign w:val="center"/>
          </w:tcPr>
          <w:p>
            <w:pPr>
              <w:spacing w:line="320" w:lineRule="exact"/>
              <w:jc w:val="left"/>
              <w:rPr>
                <w:rFonts w:hint="eastAsia" w:eastAsia="楷体_GB2312" w:cs="楷体_GB2312"/>
                <w:color w:val="000000"/>
                <w:sz w:val="24"/>
              </w:rPr>
            </w:pPr>
          </w:p>
        </w:tc>
        <w:tc>
          <w:tcPr>
            <w:tcW w:w="4035"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单位合同执行归档制度□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单位合同纠纷处理程序□</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6" w:hRule="atLeast"/>
          <w:jc w:val="center"/>
        </w:trPr>
        <w:tc>
          <w:tcPr>
            <w:tcW w:w="695"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其他业务领域</w:t>
            </w:r>
          </w:p>
        </w:tc>
        <w:tc>
          <w:tcPr>
            <w:tcW w:w="930" w:type="dxa"/>
            <w:noWrap w:val="0"/>
            <w:vAlign w:val="center"/>
          </w:tcPr>
          <w:p>
            <w:pPr>
              <w:spacing w:line="320" w:lineRule="exact"/>
              <w:jc w:val="center"/>
              <w:rPr>
                <w:rFonts w:hint="eastAsia" w:eastAsia="仿宋_GB2312" w:cs="仿宋_GB2312"/>
                <w:color w:val="000000"/>
                <w:spacing w:val="-12"/>
                <w:sz w:val="24"/>
              </w:rPr>
            </w:pPr>
          </w:p>
        </w:tc>
        <w:tc>
          <w:tcPr>
            <w:tcW w:w="1549"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建立制度：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p>
            <w:pPr>
              <w:spacing w:line="320" w:lineRule="exact"/>
              <w:jc w:val="left"/>
              <w:rPr>
                <w:rFonts w:hint="eastAsia" w:eastAsia="楷体_GB2312" w:cs="楷体_GB2312"/>
                <w:color w:val="000000"/>
                <w:sz w:val="24"/>
              </w:rPr>
            </w:pPr>
            <w:r>
              <w:rPr>
                <w:rFonts w:hint="eastAsia" w:eastAsia="楷体_GB2312" w:cs="楷体_GB2312"/>
                <w:color w:val="000000"/>
                <w:sz w:val="24"/>
              </w:rPr>
              <w:t>建立流程图：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是□否□</w:t>
            </w:r>
          </w:p>
        </w:tc>
        <w:tc>
          <w:tcPr>
            <w:tcW w:w="1244"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更新制度：</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p>
            <w:pPr>
              <w:spacing w:line="320" w:lineRule="exact"/>
              <w:jc w:val="left"/>
              <w:rPr>
                <w:rFonts w:hint="eastAsia" w:eastAsia="楷体_GB2312" w:cs="楷体_GB2312"/>
                <w:color w:val="000000"/>
                <w:sz w:val="24"/>
              </w:rPr>
            </w:pPr>
            <w:r>
              <w:rPr>
                <w:rFonts w:hint="eastAsia" w:eastAsia="楷体_GB2312" w:cs="楷体_GB2312"/>
                <w:color w:val="000000"/>
                <w:sz w:val="24"/>
              </w:rPr>
              <w:t>更新流程图：</w:t>
            </w:r>
          </w:p>
          <w:p>
            <w:pPr>
              <w:spacing w:line="320" w:lineRule="exact"/>
              <w:jc w:val="left"/>
              <w:rPr>
                <w:rFonts w:hint="eastAsia" w:eastAsia="楷体_GB2312" w:cs="楷体_GB2312"/>
                <w:color w:val="000000"/>
                <w:sz w:val="24"/>
              </w:rPr>
            </w:pPr>
            <w:r>
              <w:rPr>
                <w:rFonts w:hint="eastAsia" w:eastAsia="楷体_GB2312" w:cs="楷体_GB2312"/>
                <w:color w:val="000000"/>
                <w:sz w:val="24"/>
              </w:rPr>
              <w:t>是□ 否□</w:t>
            </w:r>
          </w:p>
        </w:tc>
        <w:tc>
          <w:tcPr>
            <w:tcW w:w="4035" w:type="dxa"/>
            <w:noWrap w:val="0"/>
            <w:vAlign w:val="center"/>
          </w:tcPr>
          <w:p>
            <w:pPr>
              <w:spacing w:line="320" w:lineRule="exact"/>
              <w:jc w:val="left"/>
              <w:rPr>
                <w:rFonts w:hint="eastAsia" w:eastAsia="仿宋_GB2312" w:cs="仿宋_GB2312"/>
                <w:color w:val="000000"/>
                <w:spacing w:val="-12"/>
                <w:sz w:val="24"/>
              </w:rPr>
            </w:pPr>
          </w:p>
        </w:tc>
      </w:tr>
    </w:tbl>
    <w:p>
      <w:pPr>
        <w:widowControl/>
        <w:tabs>
          <w:tab w:val="left" w:pos="851"/>
        </w:tabs>
        <w:spacing w:line="360" w:lineRule="auto"/>
        <w:rPr>
          <w:rFonts w:hint="eastAsia" w:eastAsia="仿宋_GB2312" w:cs="仿宋_GB2312"/>
          <w:color w:val="000000"/>
          <w:spacing w:val="-12"/>
          <w:sz w:val="28"/>
          <w:szCs w:val="28"/>
        </w:rPr>
      </w:pPr>
      <w:r>
        <w:rPr>
          <w:rFonts w:hint="eastAsia" w:eastAsia="仿宋_GB2312" w:cs="仿宋_GB2312"/>
          <w:color w:val="000000"/>
          <w:spacing w:val="-12"/>
          <w:sz w:val="28"/>
          <w:szCs w:val="28"/>
        </w:rPr>
        <w:t>（六）内部控制制度执行情况</w:t>
      </w:r>
    </w:p>
    <w:tbl>
      <w:tblPr>
        <w:tblStyle w:val="4"/>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43"/>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事前绩效评估执行情况</w:t>
            </w:r>
          </w:p>
        </w:tc>
        <w:tc>
          <w:tcPr>
            <w:tcW w:w="5572" w:type="dxa"/>
            <w:tcBorders>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新增重大项目数量：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已开展事前绩效评估的新增重大项目数量：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项目支出绩效目标管理情况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已开展绩效目标管理的项目数量：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预算绩效运行监控执行情况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已开展预算绩效运行监控的项目数量：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预算绩效自评执行情况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已开展预算绩效自评的项目数量：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非税收入管控情况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应上缴非税收入金额：</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实际上缴非税收入金额：</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支出预决算对比情况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支出预算金额：</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实际支出总额：</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“三公”经费支出上下年对比情况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2021</w:t>
            </w:r>
            <w:r>
              <w:rPr>
                <w:rFonts w:hint="eastAsia" w:eastAsia="楷体_GB2312" w:cs="楷体_GB2312"/>
                <w:color w:val="000000"/>
                <w:sz w:val="24"/>
                <w:lang w:eastAsia="zh-CN"/>
              </w:rPr>
              <w:t>年度</w:t>
            </w:r>
            <w:r>
              <w:rPr>
                <w:rFonts w:hint="eastAsia" w:eastAsia="楷体_GB2312" w:cs="楷体_GB2312"/>
                <w:color w:val="000000"/>
                <w:sz w:val="24"/>
              </w:rPr>
              <w:t>“三公”经费决算数：</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“三公”经费决算数：</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政府采购预算完成情况</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计划采购金额：</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实际采购金额：</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资产账实相符程度</w:t>
            </w:r>
          </w:p>
        </w:tc>
        <w:tc>
          <w:tcPr>
            <w:tcW w:w="5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2022年度</w:t>
            </w:r>
            <w:r>
              <w:rPr>
                <w:rFonts w:hint="eastAsia" w:eastAsia="楷体_GB2312" w:cs="楷体_GB2312"/>
                <w:color w:val="000000"/>
                <w:sz w:val="24"/>
              </w:rPr>
              <w:t>资产清查或盘点前账面金额：</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val="en-US" w:eastAsia="zh-CN"/>
              </w:rPr>
              <w:t>2022年度</w:t>
            </w:r>
            <w:r>
              <w:rPr>
                <w:rFonts w:hint="eastAsia" w:eastAsia="楷体_GB2312" w:cs="楷体_GB2312"/>
                <w:color w:val="000000"/>
                <w:sz w:val="24"/>
              </w:rPr>
              <w:t>资产清查或盘点后实际金额：</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tcBorders>
              <w:top w:val="single" w:color="auto" w:sz="4" w:space="0"/>
              <w:left w:val="single" w:color="auto" w:sz="4" w:space="0"/>
              <w:right w:val="single" w:color="auto" w:sz="4" w:space="0"/>
            </w:tcBorders>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固定资产处置规范程度</w:t>
            </w:r>
          </w:p>
        </w:tc>
        <w:tc>
          <w:tcPr>
            <w:tcW w:w="5572" w:type="dxa"/>
            <w:tcBorders>
              <w:top w:val="single" w:color="auto" w:sz="4" w:space="0"/>
              <w:left w:val="single" w:color="auto" w:sz="4" w:space="0"/>
              <w:right w:val="single" w:color="auto" w:sz="4" w:space="0"/>
            </w:tcBorders>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固定资产减少额：</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固定资产处置审批金额：</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项目投资计划完成情况</w:t>
            </w:r>
          </w:p>
        </w:tc>
        <w:tc>
          <w:tcPr>
            <w:tcW w:w="5572"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投资计划总额：</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实际投资总额：</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843" w:type="dxa"/>
            <w:noWrap/>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合同订立规范情况</w:t>
            </w:r>
          </w:p>
        </w:tc>
        <w:tc>
          <w:tcPr>
            <w:tcW w:w="5572"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合同订立数：</w:t>
            </w:r>
            <w:r>
              <w:rPr>
                <w:rFonts w:hint="eastAsia" w:eastAsia="楷体_GB2312" w:cs="楷体_GB2312"/>
                <w:color w:val="000000"/>
                <w:sz w:val="24"/>
                <w:u w:val="single"/>
              </w:rPr>
              <w:t xml:space="preserve">    </w:t>
            </w:r>
          </w:p>
          <w:p>
            <w:pPr>
              <w:spacing w:line="320" w:lineRule="exact"/>
              <w:jc w:val="left"/>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经合法性审查的合同数：</w:t>
            </w:r>
            <w:r>
              <w:rPr>
                <w:rFonts w:hint="eastAsia" w:eastAsia="楷体_GB2312" w:cs="楷体_GB2312"/>
                <w:color w:val="000000"/>
                <w:sz w:val="24"/>
                <w:u w:val="single"/>
              </w:rPr>
              <w:t xml:space="preserve">    </w:t>
            </w:r>
          </w:p>
        </w:tc>
      </w:tr>
    </w:tbl>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说明：根据单位内部控制管理制度、业务表单与文件、信息系统数据等材料填写。所填数据中，金额类指标以“元”为单位。</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1.事前绩效评估执行情况中的“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新增重大项目数量”是指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单位新设立的非常态化、非延续性的重大项目数量，重大项目衡量标准由各单位根据实际情况界定；“</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已开展事前绩效评估的新增重大项目数量”是指单位组织或由主管部门统一组织的针对</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新设立的重大项目开展事前绩效评估的项目数量。预算项目是指非基本支出的二级预算项目。</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2.项目支出绩效目标管理情况中的“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项目总数”是指经批复的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单位正在执行的项目数量；“</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已开展绩效目标管理的项目数量”是指单位</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执行绩效目标管理的项目数量。</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3.预算绩效运行监控执行情况中的“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已开展预算绩效运行监控的项目数量”是指单位针对</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执行项目开展绩效运行监控的项目数量。</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4.预算绩效自评执行情况中的“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已开展预算绩效自评的项目数量”是指单位针对</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执行项目开展绩效自评的项目数量（包括委托第三方开展绩效评价的项目）。</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以上1-4需上传单位正在执行的预算项目清单作为佐证材料，清单中需至少包括以下信息：项目名称、项目代码、是否为</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新增重大项目、是否已开展事前绩效评估、是否已开展绩效目标管理、是否已开展预算绩效运行监控、是否已开展预算绩效自评。</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5.非税收入管控情况中的</w:t>
      </w:r>
      <w:r>
        <w:rPr>
          <w:rFonts w:hint="eastAsia" w:eastAsia="楷体_GB2312" w:cs="楷体_GB2312"/>
          <w:color w:val="000000"/>
          <w:sz w:val="24"/>
          <w:highlight w:val="none"/>
          <w:lang w:eastAsia="zh-CN"/>
        </w:rPr>
        <w:t>“</w:t>
      </w:r>
      <w:r>
        <w:rPr>
          <w:rFonts w:hint="eastAsia" w:eastAsia="楷体_GB2312" w:cs="楷体_GB2312"/>
          <w:color w:val="000000"/>
          <w:sz w:val="24"/>
          <w:lang w:eastAsia="zh-CN"/>
        </w:rPr>
        <w:t>2022年度</w:t>
      </w:r>
      <w:r>
        <w:rPr>
          <w:rFonts w:hint="eastAsia" w:eastAsia="楷体_GB2312" w:cs="楷体_GB2312"/>
          <w:color w:val="000000"/>
          <w:sz w:val="24"/>
        </w:rPr>
        <w:t>应上缴非税收入金额</w:t>
      </w:r>
      <w:r>
        <w:rPr>
          <w:rFonts w:hint="eastAsia" w:eastAsia="楷体_GB2312" w:cs="楷体_GB2312"/>
          <w:color w:val="000000"/>
          <w:sz w:val="24"/>
          <w:highlight w:val="none"/>
          <w:lang w:eastAsia="zh-CN"/>
        </w:rPr>
        <w:t>”是指纳入预算管理以及纳入财政专户管理的非税收入合计数；</w:t>
      </w:r>
      <w:r>
        <w:rPr>
          <w:rFonts w:hint="eastAsia" w:eastAsia="楷体_GB2312" w:cs="楷体_GB2312"/>
          <w:color w:val="000000"/>
          <w:sz w:val="24"/>
          <w:highlight w:val="none"/>
        </w:rPr>
        <w:t>“</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实际上缴非税收入</w:t>
      </w:r>
      <w:r>
        <w:rPr>
          <w:rFonts w:hint="eastAsia" w:eastAsia="楷体_GB2312" w:cs="楷体_GB2312"/>
          <w:color w:val="000000"/>
          <w:sz w:val="24"/>
          <w:highlight w:val="none"/>
          <w:lang w:eastAsia="zh-CN"/>
        </w:rPr>
        <w:t>金额</w:t>
      </w:r>
      <w:r>
        <w:rPr>
          <w:rFonts w:hint="eastAsia" w:eastAsia="楷体_GB2312" w:cs="楷体_GB2312"/>
          <w:color w:val="000000"/>
          <w:sz w:val="24"/>
          <w:highlight w:val="none"/>
        </w:rPr>
        <w:t>”是指决算报表的《非税收入征缴情况表》（财决附04表）中纳入预算管理的已缴国库小计数及纳入财政专户管理的已缴财政专户小计数之和，即表第</w:t>
      </w:r>
      <w:r>
        <w:rPr>
          <w:rFonts w:eastAsia="楷体_GB2312" w:cs="楷体_GB2312"/>
          <w:color w:val="000000"/>
          <w:sz w:val="24"/>
          <w:highlight w:val="none"/>
        </w:rPr>
        <w:t>1</w:t>
      </w:r>
      <w:r>
        <w:rPr>
          <w:rFonts w:hint="eastAsia" w:eastAsia="楷体_GB2312" w:cs="楷体_GB2312"/>
          <w:color w:val="000000"/>
          <w:sz w:val="24"/>
          <w:highlight w:val="none"/>
        </w:rPr>
        <w:t>栏次第1行合计数（单位：元）。</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6.支出预决算对比情况中的“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支出预算金额”是指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决算报表的《收入支出决算总表》（财决01表）中</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支出的</w:t>
      </w:r>
      <w:r>
        <w:rPr>
          <w:rFonts w:hint="eastAsia" w:eastAsia="楷体_GB2312" w:cs="楷体_GB2312"/>
          <w:color w:val="000000"/>
          <w:sz w:val="24"/>
          <w:highlight w:val="none"/>
          <w:lang w:eastAsia="zh-CN"/>
        </w:rPr>
        <w:t>全年</w:t>
      </w:r>
      <w:r>
        <w:rPr>
          <w:rFonts w:hint="eastAsia" w:eastAsia="楷体_GB2312" w:cs="楷体_GB2312"/>
          <w:color w:val="000000"/>
          <w:sz w:val="24"/>
          <w:highlight w:val="none"/>
        </w:rPr>
        <w:t>预算数，即表第8栏次第84行合计数（单位：元）；“</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实际支出总额”是指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决算报表的《收入支出决算总表》（财决01表）中</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支出的决算数，即表第9栏次第84行合计数（单位：元）。</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7.“三公”经费支出上下年对比情况中的“</w:t>
      </w:r>
      <w:r>
        <w:rPr>
          <w:rFonts w:hint="eastAsia" w:eastAsia="楷体_GB2312" w:cs="楷体_GB2312"/>
          <w:color w:val="000000"/>
          <w:sz w:val="24"/>
          <w:highlight w:val="none"/>
          <w:lang w:val="en-US" w:eastAsia="zh-CN"/>
        </w:rPr>
        <w:t>2021年度</w:t>
      </w:r>
      <w:r>
        <w:rPr>
          <w:rFonts w:hint="eastAsia" w:eastAsia="楷体_GB2312" w:cs="楷体_GB2312"/>
          <w:color w:val="000000"/>
          <w:sz w:val="24"/>
          <w:highlight w:val="none"/>
        </w:rPr>
        <w:t>‘三公’经费决算数”是指202</w:t>
      </w:r>
      <w:r>
        <w:rPr>
          <w:rFonts w:eastAsia="楷体_GB2312" w:cs="楷体_GB2312"/>
          <w:color w:val="000000"/>
          <w:sz w:val="24"/>
          <w:highlight w:val="none"/>
        </w:rPr>
        <w:t>1</w:t>
      </w:r>
      <w:r>
        <w:rPr>
          <w:rFonts w:hint="eastAsia" w:eastAsia="楷体_GB2312" w:cs="楷体_GB2312"/>
          <w:color w:val="000000"/>
          <w:sz w:val="24"/>
          <w:highlight w:val="none"/>
        </w:rPr>
        <w:t>年决算报表的《机构运行信息表》（财决附03表）中“三公”经费支出的支出合计数，即表第2栏次第2行统计数（单位：元）；“</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‘三公’经费决算数”是指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决算报表的《机构运行信息表》（财决附03表）中“三公”经费支出的支出合计数，即表第</w:t>
      </w:r>
      <w:r>
        <w:rPr>
          <w:rFonts w:eastAsia="楷体_GB2312" w:cs="楷体_GB2312"/>
          <w:color w:val="000000"/>
          <w:sz w:val="24"/>
          <w:highlight w:val="none"/>
        </w:rPr>
        <w:t>3</w:t>
      </w:r>
      <w:r>
        <w:rPr>
          <w:rFonts w:hint="eastAsia" w:eastAsia="楷体_GB2312" w:cs="楷体_GB2312"/>
          <w:color w:val="000000"/>
          <w:sz w:val="24"/>
          <w:highlight w:val="none"/>
        </w:rPr>
        <w:t>栏次第2行统计数（单位：元）。</w:t>
      </w:r>
    </w:p>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8.政府采购预算完成情况中的“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计划采购金额”是指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单位预算批复中的政府采购预算金额和采购预算调整金额的合计数（单位：元）；“</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实际采购金额”是指实际完成的政府采购金额，即</w:t>
      </w:r>
      <w:r>
        <w:rPr>
          <w:rFonts w:hint="eastAsia" w:eastAsia="楷体_GB2312" w:cs="楷体_GB2312"/>
          <w:color w:val="000000"/>
          <w:sz w:val="24"/>
          <w:highlight w:val="none"/>
          <w:lang w:eastAsia="zh-CN"/>
        </w:rPr>
        <w:t>部门决算报表中相关政府采购数据</w:t>
      </w:r>
      <w:r>
        <w:rPr>
          <w:rFonts w:hint="eastAsia" w:eastAsia="楷体_GB2312" w:cs="楷体_GB2312"/>
          <w:color w:val="000000"/>
          <w:sz w:val="24"/>
          <w:highlight w:val="none"/>
        </w:rPr>
        <w:t>，根据决算报表《机构运行信息表》（财决附03表）第</w:t>
      </w:r>
      <w:r>
        <w:rPr>
          <w:rFonts w:eastAsia="楷体_GB2312" w:cs="楷体_GB2312"/>
          <w:color w:val="000000"/>
          <w:sz w:val="24"/>
          <w:highlight w:val="none"/>
        </w:rPr>
        <w:t>4</w:t>
      </w:r>
      <w:r>
        <w:rPr>
          <w:rFonts w:hint="eastAsia" w:eastAsia="楷体_GB2312" w:cs="楷体_GB2312"/>
          <w:color w:val="000000"/>
          <w:sz w:val="24"/>
          <w:highlight w:val="none"/>
        </w:rPr>
        <w:t>栏次第4</w:t>
      </w:r>
      <w:r>
        <w:rPr>
          <w:rFonts w:eastAsia="楷体_GB2312" w:cs="楷体_GB2312"/>
          <w:color w:val="000000"/>
          <w:sz w:val="24"/>
          <w:highlight w:val="none"/>
        </w:rPr>
        <w:t>2</w:t>
      </w:r>
      <w:r>
        <w:rPr>
          <w:rFonts w:hint="eastAsia" w:eastAsia="楷体_GB2312" w:cs="楷体_GB2312"/>
          <w:color w:val="000000"/>
          <w:sz w:val="24"/>
          <w:highlight w:val="none"/>
        </w:rPr>
        <w:t>行“政府采购支出合计”的统计数（单位：元）填列。</w:t>
      </w:r>
    </w:p>
    <w:p>
      <w:pPr>
        <w:pStyle w:val="7"/>
        <w:tabs>
          <w:tab w:val="left" w:pos="851"/>
        </w:tabs>
        <w:spacing w:line="360" w:lineRule="auto"/>
        <w:ind w:firstLine="480"/>
        <w:rPr>
          <w:rFonts w:hint="default" w:eastAsia="楷体_GB2312" w:cs="楷体_GB2312"/>
          <w:color w:val="000000"/>
          <w:sz w:val="24"/>
          <w:highlight w:val="none"/>
          <w:lang w:val="en-US" w:eastAsia="zh-CN"/>
        </w:rPr>
      </w:pPr>
      <w:r>
        <w:rPr>
          <w:rFonts w:hint="eastAsia" w:eastAsia="楷体_GB2312" w:cs="楷体_GB2312"/>
          <w:color w:val="000000"/>
          <w:sz w:val="24"/>
          <w:highlight w:val="none"/>
        </w:rPr>
        <w:t>9.资产账实相符程度中的“</w:t>
      </w:r>
      <w:r>
        <w:rPr>
          <w:rFonts w:hint="eastAsia" w:eastAsia="楷体_GB2312" w:cs="楷体_GB2312"/>
          <w:color w:val="000000"/>
          <w:sz w:val="24"/>
          <w:highlight w:val="none"/>
          <w:lang w:val="en-US" w:eastAsia="zh-CN"/>
        </w:rPr>
        <w:t>年度资产清查或盘点前账面金额</w:t>
      </w:r>
      <w:r>
        <w:rPr>
          <w:rFonts w:hint="eastAsia" w:eastAsia="楷体_GB2312" w:cs="楷体_GB2312"/>
          <w:color w:val="000000"/>
          <w:sz w:val="24"/>
          <w:highlight w:val="none"/>
        </w:rPr>
        <w:t>”是指单位</w:t>
      </w:r>
      <w:r>
        <w:rPr>
          <w:rFonts w:hint="eastAsia" w:eastAsia="楷体_GB2312" w:cs="楷体_GB2312"/>
          <w:color w:val="000000"/>
          <w:sz w:val="24"/>
          <w:highlight w:val="none"/>
          <w:lang w:val="en-US" w:eastAsia="zh-CN"/>
        </w:rPr>
        <w:t>在进行资产清查或固定资产盘点前确认的账面金额</w:t>
      </w:r>
      <w:r>
        <w:rPr>
          <w:rFonts w:hint="eastAsia" w:eastAsia="楷体_GB2312" w:cs="楷体_GB2312"/>
          <w:color w:val="000000"/>
          <w:sz w:val="24"/>
          <w:highlight w:val="none"/>
        </w:rPr>
        <w:t>（单位：元）；“</w:t>
      </w:r>
      <w:r>
        <w:rPr>
          <w:rFonts w:hint="eastAsia" w:eastAsia="楷体_GB2312" w:cs="楷体_GB2312"/>
          <w:color w:val="000000"/>
          <w:sz w:val="24"/>
          <w:highlight w:val="none"/>
          <w:lang w:val="en-US" w:eastAsia="zh-CN"/>
        </w:rPr>
        <w:t>年度资产清查或盘点后实际金额</w:t>
      </w:r>
      <w:r>
        <w:rPr>
          <w:rFonts w:hint="eastAsia" w:eastAsia="楷体_GB2312" w:cs="楷体_GB2312"/>
          <w:color w:val="000000"/>
          <w:sz w:val="24"/>
          <w:highlight w:val="none"/>
        </w:rPr>
        <w:t>”是指</w:t>
      </w:r>
      <w:r>
        <w:rPr>
          <w:rFonts w:hint="eastAsia" w:eastAsia="楷体_GB2312" w:cs="楷体_GB2312"/>
          <w:color w:val="000000"/>
          <w:sz w:val="24"/>
          <w:highlight w:val="none"/>
          <w:lang w:val="en-US" w:eastAsia="zh-CN"/>
        </w:rPr>
        <w:t>单位在进行资产清查或固定资产盘点后</w:t>
      </w:r>
      <w:r>
        <w:rPr>
          <w:rFonts w:hint="eastAsia" w:eastAsia="楷体_GB2312" w:cs="楷体_GB2312"/>
          <w:color w:val="000000"/>
          <w:sz w:val="24"/>
          <w:highlight w:val="none"/>
        </w:rPr>
        <w:t>的</w:t>
      </w:r>
      <w:r>
        <w:rPr>
          <w:rFonts w:hint="eastAsia" w:eastAsia="楷体_GB2312" w:cs="楷体_GB2312"/>
          <w:color w:val="000000"/>
          <w:sz w:val="24"/>
          <w:highlight w:val="none"/>
          <w:lang w:val="en-US" w:eastAsia="zh-CN"/>
        </w:rPr>
        <w:t>实际金额</w:t>
      </w:r>
      <w:r>
        <w:rPr>
          <w:rFonts w:hint="eastAsia" w:eastAsia="楷体_GB2312" w:cs="楷体_GB2312"/>
          <w:color w:val="000000"/>
          <w:sz w:val="24"/>
          <w:highlight w:val="none"/>
        </w:rPr>
        <w:t>（单位：元）</w:t>
      </w:r>
      <w:r>
        <w:rPr>
          <w:rFonts w:hint="eastAsia" w:eastAsia="楷体_GB2312" w:cs="楷体_GB2312"/>
          <w:color w:val="000000"/>
          <w:sz w:val="24"/>
          <w:highlight w:val="none"/>
          <w:lang w:eastAsia="zh-CN"/>
        </w:rPr>
        <w:t>。</w:t>
      </w:r>
      <w:r>
        <w:rPr>
          <w:rFonts w:hint="eastAsia" w:eastAsia="楷体_GB2312" w:cs="楷体_GB2312"/>
          <w:color w:val="000000"/>
          <w:sz w:val="24"/>
          <w:highlight w:val="none"/>
        </w:rPr>
        <w:t>需上传</w:t>
      </w:r>
      <w:r>
        <w:rPr>
          <w:rFonts w:hint="eastAsia" w:eastAsia="楷体_GB2312" w:cs="楷体_GB2312"/>
          <w:color w:val="000000"/>
          <w:sz w:val="24"/>
          <w:highlight w:val="none"/>
          <w:lang w:eastAsia="zh-CN"/>
        </w:rPr>
        <w:t>当年度单位</w:t>
      </w:r>
      <w:r>
        <w:rPr>
          <w:rFonts w:hint="eastAsia" w:eastAsia="楷体_GB2312" w:cs="楷体_GB2312"/>
          <w:color w:val="000000"/>
          <w:sz w:val="24"/>
          <w:highlight w:val="none"/>
          <w:lang w:val="en-US" w:eastAsia="zh-CN"/>
        </w:rPr>
        <w:t>资产清查或固定资产盘点前账面金额记录，</w:t>
      </w:r>
      <w:r>
        <w:rPr>
          <w:rFonts w:hint="eastAsia" w:eastAsia="楷体_GB2312" w:cs="楷体_GB2312"/>
          <w:color w:val="000000"/>
          <w:sz w:val="24"/>
          <w:highlight w:val="none"/>
        </w:rPr>
        <w:t>资产清查报告或</w:t>
      </w:r>
      <w:r>
        <w:rPr>
          <w:rFonts w:hint="eastAsia" w:eastAsia="楷体_GB2312" w:cs="楷体_GB2312"/>
          <w:color w:val="000000"/>
          <w:sz w:val="24"/>
          <w:highlight w:val="none"/>
          <w:lang w:eastAsia="zh-CN"/>
        </w:rPr>
        <w:t>固定资产</w:t>
      </w:r>
      <w:r>
        <w:rPr>
          <w:rFonts w:hint="eastAsia" w:eastAsia="楷体_GB2312" w:cs="楷体_GB2312"/>
          <w:color w:val="000000"/>
          <w:sz w:val="24"/>
          <w:highlight w:val="none"/>
        </w:rPr>
        <w:t>盘点表作为佐证材料。</w:t>
      </w:r>
      <w:r>
        <w:rPr>
          <w:rFonts w:hint="eastAsia" w:eastAsia="楷体_GB2312" w:cs="楷体_GB2312"/>
          <w:color w:val="000000"/>
          <w:sz w:val="24"/>
          <w:highlight w:val="none"/>
          <w:lang w:val="en-US" w:eastAsia="zh-CN"/>
        </w:rPr>
        <w:t>如单位2022年度未开展资产清查或盘点，可不填写（即选择否）。</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10.固定资产处置规范程度中的“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固定资产减少额”是指单位国有资产报表中《资产处置情况表》（财资10表）中本期减少的固定资产账面原值，即表第6栏次第1行固定资产原值小计数（单位：元）；“</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固定资产处置审批金额”是指严格按照单位国有资产业务管理制度中规定的资产处置审批权限及程序，实际审批的固定资产处置金额（单位：元）（本指标考核范围不包含固定资产出租出借涉及的金额）。该指标建议参考资产登记表、资产处置审批单、单位国有资产报表中的资产处置情况表等资料填写。需上传审核后的资产处置审批单（审批单数量大于5份的单位，抽取5份；审批单数量小于或等于5份的单位，全部上传）作为佐证材料。</w:t>
      </w:r>
    </w:p>
    <w:p>
      <w:pPr>
        <w:pStyle w:val="7"/>
        <w:tabs>
          <w:tab w:val="left" w:pos="851"/>
        </w:tabs>
        <w:spacing w:line="360" w:lineRule="auto"/>
        <w:ind w:firstLine="480"/>
        <w:rPr>
          <w:rFonts w:hint="eastAsia" w:eastAsia="楷体_GB2312" w:cs="楷体_GB2312"/>
          <w:color w:val="000000"/>
          <w:sz w:val="24"/>
          <w:highlight w:val="none"/>
        </w:rPr>
      </w:pPr>
      <w:r>
        <w:rPr>
          <w:rFonts w:hint="eastAsia" w:eastAsia="楷体_GB2312" w:cs="楷体_GB2312"/>
          <w:color w:val="000000"/>
          <w:sz w:val="24"/>
          <w:highlight w:val="none"/>
        </w:rPr>
        <w:t>11.项目投资计划完成情况中的“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投资计划总额”是指以预算年度为统计口径的基本建设类项目计划投资金额（单位：元），包括发展改革委安排的基建项目、同级财政安排的基建项目、其他主管部门安排的基建项目。该指标建议参考投资计划表、项目概预算表等资料填写；“</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实际投资额”是指</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决算报表中基本建设类项目支出决算金额，根据决算报表《项目收入支出决算表》（财决06表）“基建项目属性”为“发展改革委安排的基建项目”、“同级财政安排的基建项目”、“其他主管部门安排的基建项目”的支出数合计（单位：元）填列。需上传投资计划表或项目概预算表（项目数量大于5个的单位，抽取5份；项目数量小于或等于5个的单位，全部上传）作为佐证材料。</w:t>
      </w:r>
    </w:p>
    <w:p>
      <w:pPr>
        <w:pStyle w:val="7"/>
        <w:tabs>
          <w:tab w:val="left" w:pos="851"/>
        </w:tabs>
        <w:spacing w:line="360" w:lineRule="auto"/>
        <w:ind w:firstLine="480"/>
        <w:rPr>
          <w:rFonts w:hint="eastAsia" w:ascii="楷体" w:hAnsi="楷体" w:eastAsia="楷体" w:cs="楷体"/>
          <w:sz w:val="24"/>
          <w:highlight w:val="none"/>
        </w:rPr>
      </w:pPr>
      <w:r>
        <w:rPr>
          <w:rFonts w:hint="eastAsia" w:eastAsia="楷体_GB2312" w:cs="楷体_GB2312"/>
          <w:color w:val="000000"/>
          <w:sz w:val="24"/>
          <w:highlight w:val="none"/>
        </w:rPr>
        <w:t>12.合同订立规范情况中的“</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合同订立数”是指单位</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签订的全部合同个数；“</w:t>
      </w:r>
      <w:r>
        <w:rPr>
          <w:rFonts w:hint="eastAsia" w:eastAsia="楷体_GB2312" w:cs="楷体_GB2312"/>
          <w:color w:val="000000"/>
          <w:sz w:val="24"/>
          <w:highlight w:val="none"/>
          <w:lang w:eastAsia="zh-CN"/>
        </w:rPr>
        <w:t>2022年度</w:t>
      </w:r>
      <w:r>
        <w:rPr>
          <w:rFonts w:hint="eastAsia" w:eastAsia="楷体_GB2312" w:cs="楷体_GB2312"/>
          <w:color w:val="000000"/>
          <w:sz w:val="24"/>
          <w:highlight w:val="none"/>
        </w:rPr>
        <w:t>经合法性审查的合同数”是指在已签订的合同中，严格执行审核审批程序的合同，其中具有重大影响的合同需有法务人员参与审批并签字。该指标建议参考合同文本、合同台账等资料填写。需上传审核后的合同申请审批单（合同数量大于5个的单位，抽取5份；合同数量小于或等于5个的单位，全部上传）作为佐证材料。</w:t>
      </w: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四、内部控制信息化情况</w:t>
      </w:r>
    </w:p>
    <w:tbl>
      <w:tblPr>
        <w:tblStyle w:val="4"/>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70"/>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170" w:type="dxa"/>
            <w:noWrap/>
            <w:vAlign w:val="center"/>
          </w:tcPr>
          <w:p>
            <w:pPr>
              <w:spacing w:line="320" w:lineRule="exact"/>
              <w:jc w:val="left"/>
              <w:rPr>
                <w:rFonts w:hint="eastAsia" w:eastAsia="仿宋_GB2312" w:cs="仿宋_GB2312"/>
                <w:color w:val="000000"/>
                <w:spacing w:val="-12"/>
                <w:sz w:val="24"/>
              </w:rPr>
            </w:pPr>
            <w:r>
              <w:rPr>
                <w:rFonts w:hint="eastAsia" w:eastAsia="仿宋_GB2312" w:cs="仿宋_GB2312"/>
                <w:color w:val="000000"/>
                <w:spacing w:val="-12"/>
                <w:sz w:val="24"/>
              </w:rPr>
              <w:t>单位内部控制信息化覆盖情况</w:t>
            </w:r>
          </w:p>
        </w:tc>
        <w:tc>
          <w:tcPr>
            <w:tcW w:w="6463"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 xml:space="preserve">预算业务□  收支业务□  政府采购业务□ </w:t>
            </w:r>
          </w:p>
          <w:p>
            <w:pPr>
              <w:spacing w:line="320" w:lineRule="exact"/>
              <w:jc w:val="left"/>
              <w:rPr>
                <w:rFonts w:hint="eastAsia" w:eastAsia="楷体_GB2312" w:cs="楷体_GB2312"/>
                <w:color w:val="000000"/>
                <w:sz w:val="24"/>
              </w:rPr>
            </w:pPr>
            <w:r>
              <w:rPr>
                <w:rFonts w:hint="eastAsia" w:eastAsia="楷体_GB2312" w:cs="楷体_GB2312"/>
                <w:color w:val="000000"/>
                <w:sz w:val="24"/>
              </w:rPr>
              <w:t xml:space="preserve">资产管理□  建设项目管理□ </w:t>
            </w:r>
          </w:p>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合同管理□  其他□  未覆盖□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2170" w:type="dxa"/>
            <w:noWrap/>
            <w:vAlign w:val="center"/>
          </w:tcPr>
          <w:p>
            <w:pPr>
              <w:spacing w:line="320" w:lineRule="exact"/>
              <w:jc w:val="left"/>
              <w:rPr>
                <w:rFonts w:hint="eastAsia" w:eastAsia="仿宋_GB2312" w:cs="仿宋_GB2312"/>
                <w:color w:val="000000"/>
                <w:spacing w:val="-12"/>
                <w:sz w:val="24"/>
              </w:rPr>
            </w:pPr>
            <w:r>
              <w:rPr>
                <w:rFonts w:hint="eastAsia" w:eastAsia="仿宋_GB2312" w:cs="仿宋_GB2312"/>
                <w:color w:val="000000"/>
                <w:spacing w:val="-12"/>
                <w:sz w:val="24"/>
              </w:rPr>
              <w:t>单位内部控制信息化模块联通情况</w:t>
            </w:r>
          </w:p>
        </w:tc>
        <w:tc>
          <w:tcPr>
            <w:tcW w:w="6463" w:type="dxa"/>
            <w:noWrap w:val="0"/>
            <w:vAlign w:val="center"/>
          </w:tcPr>
          <w:p>
            <w:pPr>
              <w:spacing w:line="320" w:lineRule="exact"/>
              <w:jc w:val="left"/>
              <w:rPr>
                <w:rFonts w:hint="eastAsia" w:ascii="楷体" w:hAnsi="楷体" w:eastAsia="楷体" w:cs="楷体"/>
                <w:color w:val="000000"/>
                <w:spacing w:val="-12"/>
                <w:sz w:val="24"/>
              </w:rPr>
            </w:pPr>
            <w:r>
              <w:rPr>
                <w:rFonts w:hint="eastAsia" w:eastAsia="楷体_GB2312" w:cs="楷体_GB2312"/>
                <w:color w:val="000000"/>
                <w:sz w:val="24"/>
              </w:rPr>
              <w:t>内部控制信息化实现互联互通模块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2170" w:type="dxa"/>
            <w:noWrap/>
            <w:vAlign w:val="center"/>
          </w:tcPr>
          <w:p>
            <w:pPr>
              <w:spacing w:line="320" w:lineRule="exact"/>
              <w:jc w:val="left"/>
              <w:rPr>
                <w:rFonts w:hint="eastAsia" w:eastAsia="仿宋_GB2312" w:cs="仿宋_GB2312"/>
                <w:color w:val="000000"/>
                <w:spacing w:val="-12"/>
                <w:sz w:val="24"/>
              </w:rPr>
            </w:pPr>
            <w:r>
              <w:rPr>
                <w:rFonts w:hint="eastAsia" w:eastAsia="仿宋_GB2312" w:cs="仿宋_GB2312"/>
                <w:color w:val="000000"/>
                <w:spacing w:val="-12"/>
                <w:sz w:val="24"/>
              </w:rPr>
              <w:t>是否联通政府会计核算模块</w:t>
            </w:r>
          </w:p>
        </w:tc>
        <w:tc>
          <w:tcPr>
            <w:tcW w:w="6463" w:type="dxa"/>
            <w:noWrap w:val="0"/>
            <w:vAlign w:val="center"/>
          </w:tcPr>
          <w:p>
            <w:pPr>
              <w:spacing w:line="320" w:lineRule="exact"/>
              <w:jc w:val="left"/>
              <w:rPr>
                <w:rFonts w:hint="eastAsia" w:eastAsia="仿宋_GB2312" w:cs="仿宋_GB2312"/>
                <w:color w:val="000000"/>
                <w:spacing w:val="-12"/>
                <w:sz w:val="24"/>
              </w:rPr>
            </w:pPr>
            <w:r>
              <w:rPr>
                <w:rFonts w:hint="eastAsia" w:eastAsia="楷体_GB2312" w:cs="楷体_GB2312"/>
                <w:color w:val="000000"/>
                <w:sz w:val="24"/>
              </w:rPr>
              <w:t>是□ 否□</w:t>
            </w:r>
          </w:p>
        </w:tc>
      </w:tr>
    </w:tbl>
    <w:p>
      <w:pPr>
        <w:pStyle w:val="7"/>
        <w:tabs>
          <w:tab w:val="left" w:pos="851"/>
        </w:tabs>
        <w:spacing w:line="360" w:lineRule="auto"/>
        <w:ind w:firstLine="480"/>
        <w:rPr>
          <w:rFonts w:eastAsia="楷体_GB2312" w:cs="楷体_GB2312"/>
          <w:color w:val="000000"/>
          <w:sz w:val="24"/>
          <w:highlight w:val="none"/>
        </w:rPr>
      </w:pPr>
      <w:r>
        <w:rPr>
          <w:rFonts w:hint="eastAsia" w:eastAsia="楷体_GB2312" w:cs="楷体_GB2312"/>
          <w:color w:val="000000"/>
          <w:sz w:val="24"/>
          <w:highlight w:val="none"/>
        </w:rPr>
        <w:t>说明：内部控制信息化建设是指运用信息化手段将内部控制关键点嵌入业务</w:t>
      </w:r>
      <w:r>
        <w:rPr>
          <w:rFonts w:hint="eastAsia" w:ascii="Times New Roman" w:hAnsi="Times New Roman" w:eastAsia="楷体_GB2312" w:cs="楷体_GB2312"/>
          <w:color w:val="000000"/>
          <w:sz w:val="24"/>
        </w:rPr>
        <w:t>系统中。</w:t>
      </w:r>
      <w:r>
        <w:rPr>
          <w:rFonts w:hint="eastAsia" w:ascii="Times New Roman" w:hAnsi="Times New Roman" w:eastAsia="楷体_GB2312" w:cs="楷体_GB2312"/>
          <w:color w:val="000000"/>
          <w:sz w:val="24"/>
          <w:lang w:val="en-US" w:eastAsia="zh-CN"/>
        </w:rPr>
        <w:t>财政部门统一建设的预算管理一体化系统、行政事业单位内部控制报告填报系统、与业务无关的内部控制工作辅助软件等，不纳入“单位内部控制信息化覆盖情况”填报范围</w:t>
      </w:r>
      <w:r>
        <w:rPr>
          <w:rFonts w:hint="eastAsia" w:ascii="Times New Roman" w:hAnsi="Times New Roman" w:eastAsia="楷体_GB2312" w:cs="楷体_GB2312"/>
          <w:color w:val="000000"/>
          <w:sz w:val="24"/>
        </w:rPr>
        <w:t>。单位内部控制信息化模块联通是指不同业务的系统模块之间的数据信息能够同步更新与实时共享。</w:t>
      </w:r>
    </w:p>
    <w:p>
      <w:pPr>
        <w:pStyle w:val="7"/>
        <w:tabs>
          <w:tab w:val="left" w:pos="851"/>
        </w:tabs>
        <w:spacing w:line="360" w:lineRule="auto"/>
        <w:ind w:firstLine="480"/>
      </w:pPr>
      <w:r>
        <w:rPr>
          <w:rFonts w:hint="eastAsia" w:eastAsia="楷体_GB2312" w:cs="楷体_GB2312"/>
          <w:color w:val="000000"/>
          <w:sz w:val="24"/>
        </w:rPr>
        <w:t>需上传内部控制信息系统设计文档及系统截图作为佐证材料。使用网络版系统填报的单位，若以前年度已经上传过相应佐证材料，则无需再次上传；若以前年度未上传或第一年使用网络版系统填报，则需上传相应佐证材料。使用单机版软件填报的单位，需上传相应佐证材料。</w:t>
      </w:r>
    </w:p>
    <w:p>
      <w:bookmarkStart w:id="0" w:name="_GoBack"/>
      <w:bookmarkEnd w:id="0"/>
    </w:p>
    <w:sectPr>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78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3"/>
                          </w:pPr>
                          <w:r>
                            <w:rPr>
                              <w:rFonts w:hint="eastAsia"/>
                            </w:rPr>
                            <w:t xml:space="preserve">— </w:t>
                          </w:r>
                          <w:r>
                            <w:fldChar w:fldCharType="begin"/>
                          </w:r>
                          <w:r>
                            <w:instrText xml:space="preserve"> PAGE  \* MERGEFORMAT </w:instrText>
                          </w:r>
                          <w:r>
                            <w:fldChar w:fldCharType="separate"/>
                          </w:r>
                          <w:r>
                            <w:t>9</w:t>
                          </w:r>
                          <w:r>
                            <w:fldChar w:fldCharType="end"/>
                          </w:r>
                          <w:r>
                            <w:rPr>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36.05pt;mso-position-horizontal:outside;mso-position-horizontal-relative:margin;mso-wrap-style:none;z-index:251659264;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LNhFjjPAQAAlwMAAA4AAAAAAAAAAQAgAAAAIAEAAGRy&#10;cy9lMm9Eb2MueG1sUEsFBgAAAAAGAAYAWQEAAGEFAAAAAA==&#10;">
              <v:path/>
              <v:fill on="f" focussize="0,0"/>
              <v:stroke on="f"/>
              <v:imagedata o:title=""/>
              <o:lock v:ext="edit" aspectratio="f"/>
              <v:textbox inset="0mm,0mm,0mm,0mm" style="mso-fit-shape-to-text:t;">
                <w:txbxContent>
                  <w:p>
                    <w:pPr>
                      <w:pStyle w:val="3"/>
                    </w:pPr>
                    <w:r>
                      <w:rPr>
                        <w:rFonts w:hint="eastAsia"/>
                      </w:rPr>
                      <w:t xml:space="preserve">— </w:t>
                    </w:r>
                    <w:r>
                      <w:fldChar w:fldCharType="begin"/>
                    </w:r>
                    <w:r>
                      <w:instrText xml:space="preserve"> PAGE  \* MERGEFORMAT </w:instrText>
                    </w:r>
                    <w:r>
                      <w:fldChar w:fldCharType="separate"/>
                    </w:r>
                    <w:r>
                      <w:t>9</w:t>
                    </w:r>
                    <w: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ThiYmE1MmEwMjMwNjU1YjY2NWNiYWEwNmQ1ZTMifQ=="/>
  </w:docVars>
  <w:rsids>
    <w:rsidRoot w:val="67AC597C"/>
    <w:rsid w:val="494A5C73"/>
    <w:rsid w:val="67AC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Calibri" w:hAnsi="Calibri" w:eastAsia="宋体" w:cs="Times New Roman"/>
      <w:color w:val="000000"/>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0"/>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2023-06-08T08:12:00Z</dcterms:created>
  <dc:creator>*</dc:creator>
  <cp:lastModifiedBy>*</cp:lastModifiedBy>
  <dcterms:modified xsi:type="dcterms:W3CDTF">2023-06-08T08:12:51Z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F5C292CADC9640FD8F062AEC3A220176_11</vt:lpwstr>
  </property>
</Properties>
</file>