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彭阳县自然资源局普法工作考核办法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1010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为了深入推进全面依法治县进程，不断增强资源系统干部职工法治意识，提高资源法治化水平，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</w:rPr>
        <w:t>更好地发挥普法依法治理工作在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资源领域建设和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</w:rPr>
        <w:t>促进社会和谐稳定中的重要作用，结合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实际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</w:rPr>
        <w:t>,制定本考核办法。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1010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10101"/>
          <w:sz w:val="32"/>
          <w:szCs w:val="32"/>
          <w:lang w:eastAsia="zh-CN"/>
        </w:rPr>
        <w:t>一、考核对象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彭阳县自然资源局全体干部职工。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1010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10101"/>
          <w:sz w:val="32"/>
          <w:szCs w:val="32"/>
          <w:lang w:eastAsia="zh-CN"/>
        </w:rPr>
        <w:t>二、考核内容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color w:val="010101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10101"/>
          <w:sz w:val="32"/>
          <w:szCs w:val="32"/>
          <w:lang w:eastAsia="zh-CN"/>
        </w:rPr>
        <w:t>（一）组织领导及保障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1.成立彭阳县自然资源局普法工作考核领导小组，由主要负责人任考核组组长、党组各成员任副组长、相关股室和普法办工作人员为组员。同时，将考核工作纳入全局中心工作，与其他业务工作同部署、同检查、同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2.根据我局工作特点，重点宣传普及森林法、土地管理法、矿产资源法、森林防火条例等法律法规。对照普法工作安排和年度普法工作计划，落实责任股室和具体普法责任。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3.各股室、站所、林场要及时报送工作信息及其他相关材料，积极宣传报道普法工作经验和先进典型。</w:t>
      </w:r>
    </w:p>
    <w:p>
      <w:pPr>
        <w:keepNext w:val="0"/>
        <w:keepLines w:val="0"/>
        <w:pageBreakBefore w:val="0"/>
        <w:tabs>
          <w:tab w:val="left" w:pos="4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160" w:firstLine="640" w:firstLineChars="200"/>
        <w:textAlignment w:val="auto"/>
        <w:rPr>
          <w:rFonts w:hint="eastAsia" w:ascii="楷体" w:hAnsi="楷体" w:eastAsia="楷体" w:cs="楷体"/>
          <w:color w:val="010101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10101"/>
          <w:sz w:val="32"/>
          <w:szCs w:val="32"/>
          <w:lang w:eastAsia="zh-CN"/>
        </w:rPr>
        <w:t>（二）具体措施：</w:t>
      </w:r>
    </w:p>
    <w:p>
      <w:pPr>
        <w:keepNext w:val="0"/>
        <w:keepLines w:val="0"/>
        <w:pageBreakBefore w:val="0"/>
        <w:tabs>
          <w:tab w:val="left" w:pos="4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16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有关法律法规纳入干部理论学习每月不少于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“法宣在线学习”及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工作开展情况，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每季度进行内部通报，将学法用法情况列入干部职工年度评优重要依据。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2.在重要的时间节点开展普法，相关股室要面向群众、企业开展普法宣传活动，对未能及时开展或开展不力的责任人进行单位内部通报。</w:t>
      </w:r>
    </w:p>
    <w:p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3.各股室、站所、林场及时上报普法宣传简报、图片、影像视频、总结，“法宣在线”参学率与合格率均达到100%。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1010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10101"/>
          <w:sz w:val="32"/>
          <w:szCs w:val="32"/>
          <w:lang w:eastAsia="zh-CN"/>
        </w:rPr>
        <w:t>三、考核要求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考核办法自</w:t>
      </w:r>
      <w:r>
        <w:rPr>
          <w:rFonts w:hint="eastAsia" w:ascii="Times New Roman" w:hAnsi="Times New Roman" w:eastAsia="仿宋_GB2312" w:cs="Times New Roman"/>
          <w:color w:val="010101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color w:val="010101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01010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10101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10101"/>
          <w:sz w:val="32"/>
          <w:szCs w:val="32"/>
          <w:lang w:eastAsia="zh-CN"/>
        </w:rPr>
        <w:t>起实施，考核评价结果作为彭阳县自然资源局工作人员评先选优的重要依据。各股室要认真组织实施，确保“八五”普法高质量通过验收。本办法由局办公室、执法队负责解释。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65A98"/>
    <w:rsid w:val="2836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2021-05-24T01:46:00Z</dcterms:created>
  <dc:creator>彭阳局信息员</dc:creator>
  <cp:lastModifiedBy>彭阳局信息员</cp:lastModifiedBy>
  <dcterms:modified xsi:type="dcterms:W3CDTF">2021-05-24T01:46:39Z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