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彭阳县2019年电子商务进农村综合示范“升级版”——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电子商务助推乡村振兴奖补项目阶段性验收结果及拟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兑现奖补资金汇总表</w:t>
      </w:r>
    </w:p>
    <w:tbl>
      <w:tblPr>
        <w:tblStyle w:val="7"/>
        <w:tblW w:w="15070" w:type="dxa"/>
        <w:tblInd w:w="-1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456"/>
        <w:gridCol w:w="1119"/>
        <w:gridCol w:w="1073"/>
        <w:gridCol w:w="1166"/>
        <w:gridCol w:w="3265"/>
        <w:gridCol w:w="1385"/>
        <w:gridCol w:w="946"/>
        <w:gridCol w:w="1373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企业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实施期限</w:t>
            </w:r>
          </w:p>
        </w:tc>
        <w:tc>
          <w:tcPr>
            <w:tcW w:w="11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项目总投资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项目进度验收内容及资金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支持比例</w:t>
            </w: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已完成投资（万元）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本次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拟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兑现补贴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资金（万元）</w:t>
            </w:r>
          </w:p>
        </w:tc>
        <w:tc>
          <w:tcPr>
            <w:tcW w:w="6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传统企业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向农村下沉供应链</w:t>
            </w:r>
          </w:p>
        </w:tc>
        <w:tc>
          <w:tcPr>
            <w:tcW w:w="3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在西门物流园建设彭阳县好又多电商统仓共配中心，设立12个乡镇分级配送点，整合县电商快递物流分拨中心、好又多城乡连锁超市及各工业品、生活日用品、农副产品、农资产品批发、配送企业（至少6家企业）资源，向农村下沉供应链，建设购销、配送资源共享、共配信息化平台，整合乡镇商贸连锁商超、商贸中心及乡村零售便利店、电商服务站点，实现乡村网点线上下单采购，县级中心统一配送，有效减少中间流通环节，城乡农工产品及快递进村配送成本明显降低。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彭阳县好又多商贸有限责任公司</w:t>
            </w:r>
          </w:p>
        </w:tc>
        <w:tc>
          <w:tcPr>
            <w:tcW w:w="10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2021.08-2022.06</w:t>
            </w:r>
          </w:p>
        </w:tc>
        <w:tc>
          <w:tcPr>
            <w:tcW w:w="11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695</w:t>
            </w:r>
          </w:p>
        </w:tc>
        <w:tc>
          <w:tcPr>
            <w:tcW w:w="3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已建设3000平米仓储分拣中心1处，已建成冷库300m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（18m*16.8m*5m=1512m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，已采购冷链车3辆，冷库和车辆已投入使用，共计投资163.6万元。已安装升降机、果蔬清洗分拣设备及5辆厢式货车有合同和部分发票，但实际还未安装投入使用，已完成投资305.36万元；本次符合验收条件为冷库和冷链车，共计163.6万元。</w:t>
            </w:r>
            <w:bookmarkStart w:id="0" w:name="_GoBack"/>
            <w:bookmarkEnd w:id="0"/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企业采购的分拣、包装、检测设备、冷藏库及配送车辆按照购置价的40%给予补贴。</w:t>
            </w: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305.36</w:t>
            </w:r>
          </w:p>
        </w:tc>
        <w:tc>
          <w:tcPr>
            <w:tcW w:w="1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65.44</w:t>
            </w:r>
          </w:p>
        </w:tc>
        <w:tc>
          <w:tcPr>
            <w:tcW w:w="6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3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65.44</w:t>
            </w:r>
          </w:p>
        </w:tc>
        <w:tc>
          <w:tcPr>
            <w:tcW w:w="6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-215265</wp:posOffset>
              </wp:positionV>
              <wp:extent cx="1081405" cy="2711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5pt;height:21.35pt;width:85.15pt;mso-position-horizontal:outside;mso-position-horizontal-relative:margin;z-index:251713536;mso-width-relative:page;mso-height-relative:page;" filled="f" stroked="f" coordsize="21600,21600" o:gfxdata="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XJ+y+1gAAAAYBAAAPAAAAAAAAAAEAIAAAACIAAABkcnMvZG93bnJldi54&#10;bWxQSwECFAAUAAAACACHTuJAhzZebsMBAABj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A7A54"/>
    <w:rsid w:val="009B6391"/>
    <w:rsid w:val="00F262D6"/>
    <w:rsid w:val="014A37BC"/>
    <w:rsid w:val="01886B15"/>
    <w:rsid w:val="0189051B"/>
    <w:rsid w:val="03D872C1"/>
    <w:rsid w:val="03DA4F05"/>
    <w:rsid w:val="05AA7A54"/>
    <w:rsid w:val="0BFE2EDC"/>
    <w:rsid w:val="0CF34FBD"/>
    <w:rsid w:val="0D982335"/>
    <w:rsid w:val="12AE159E"/>
    <w:rsid w:val="12F934C3"/>
    <w:rsid w:val="13E02F5A"/>
    <w:rsid w:val="13EF79D5"/>
    <w:rsid w:val="1763110C"/>
    <w:rsid w:val="1813057C"/>
    <w:rsid w:val="1CF07A5E"/>
    <w:rsid w:val="1D841CEF"/>
    <w:rsid w:val="1DED5BB2"/>
    <w:rsid w:val="1E6E0C10"/>
    <w:rsid w:val="1F3806D2"/>
    <w:rsid w:val="1F4976EE"/>
    <w:rsid w:val="210B7DC0"/>
    <w:rsid w:val="22E83C45"/>
    <w:rsid w:val="23EC68B4"/>
    <w:rsid w:val="23F4737D"/>
    <w:rsid w:val="25B234A4"/>
    <w:rsid w:val="263B21DA"/>
    <w:rsid w:val="26BC2F35"/>
    <w:rsid w:val="276E4473"/>
    <w:rsid w:val="2935328D"/>
    <w:rsid w:val="2AD670D5"/>
    <w:rsid w:val="2D7B0817"/>
    <w:rsid w:val="32CB5599"/>
    <w:rsid w:val="339B570E"/>
    <w:rsid w:val="340F723B"/>
    <w:rsid w:val="35020BC9"/>
    <w:rsid w:val="38FB00C1"/>
    <w:rsid w:val="38FF79C9"/>
    <w:rsid w:val="3A7219BE"/>
    <w:rsid w:val="3B0035C3"/>
    <w:rsid w:val="3CFE533E"/>
    <w:rsid w:val="3D0449F4"/>
    <w:rsid w:val="3D931A86"/>
    <w:rsid w:val="3E2D27F1"/>
    <w:rsid w:val="42DA74E6"/>
    <w:rsid w:val="43D1088E"/>
    <w:rsid w:val="444A3A8F"/>
    <w:rsid w:val="446D3746"/>
    <w:rsid w:val="44F105F5"/>
    <w:rsid w:val="45C06AF3"/>
    <w:rsid w:val="46EB0CE8"/>
    <w:rsid w:val="49C46040"/>
    <w:rsid w:val="4A1A1116"/>
    <w:rsid w:val="4B4F33E4"/>
    <w:rsid w:val="4CD545C8"/>
    <w:rsid w:val="506A0F9A"/>
    <w:rsid w:val="51EE1156"/>
    <w:rsid w:val="52CB2A34"/>
    <w:rsid w:val="54FF098D"/>
    <w:rsid w:val="551A1822"/>
    <w:rsid w:val="55942C81"/>
    <w:rsid w:val="55BB237B"/>
    <w:rsid w:val="561F5F74"/>
    <w:rsid w:val="566572BD"/>
    <w:rsid w:val="57245F4F"/>
    <w:rsid w:val="5767594E"/>
    <w:rsid w:val="57DE6ECE"/>
    <w:rsid w:val="5861263B"/>
    <w:rsid w:val="5880273C"/>
    <w:rsid w:val="5A686AB4"/>
    <w:rsid w:val="5B794DE1"/>
    <w:rsid w:val="5C9D4A2C"/>
    <w:rsid w:val="5E050B88"/>
    <w:rsid w:val="5E971F82"/>
    <w:rsid w:val="603B6A17"/>
    <w:rsid w:val="62B66F23"/>
    <w:rsid w:val="664F511B"/>
    <w:rsid w:val="6671187F"/>
    <w:rsid w:val="6772399F"/>
    <w:rsid w:val="67DF068F"/>
    <w:rsid w:val="69026450"/>
    <w:rsid w:val="69330947"/>
    <w:rsid w:val="6A1855B7"/>
    <w:rsid w:val="6CBF3CE6"/>
    <w:rsid w:val="6F0B6A43"/>
    <w:rsid w:val="6F177458"/>
    <w:rsid w:val="6F804C80"/>
    <w:rsid w:val="6FFE4053"/>
    <w:rsid w:val="71EA083C"/>
    <w:rsid w:val="736F42BE"/>
    <w:rsid w:val="75322D02"/>
    <w:rsid w:val="768718C4"/>
    <w:rsid w:val="76A969BA"/>
    <w:rsid w:val="76F5548E"/>
    <w:rsid w:val="78484F42"/>
    <w:rsid w:val="7A522EE3"/>
    <w:rsid w:val="7BC86940"/>
    <w:rsid w:val="7D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  <w:rPr>
      <w:rFonts w:eastAsia="仿宋_GB231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5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  <w:sz w:val="32"/>
    </w:rPr>
  </w:style>
  <w:style w:type="paragraph" w:customStyle="1" w:styleId="16">
    <w:name w:val="正文（缩进）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2021-02-24T00:49:00Z</dcterms:created>
  <dc:creator>我和我儿子</dc:creator>
  <cp:lastModifiedBy>彭阳县发展和改革局</cp:lastModifiedBy>
  <cp:lastPrinted>2021-12-17T06:33:21Z</cp:lastPrinted>
  <dcterms:modified xsi:type="dcterms:W3CDTF">2021-12-17T06:50:59Z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SaveFontToCloudKey">
    <vt:lpwstr>270557624_cloud</vt:lpwstr>
  </property>
</Properties>
</file>