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both"/>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附件：</w:t>
      </w:r>
    </w:p>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《彭阳县2019年电子商务进农村综合示范“升级版”─县乡村物流综合服务项目》</w:t>
      </w:r>
    </w:p>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36"/>
          <w:szCs w:val="36"/>
          <w:lang w:val="en-US" w:eastAsia="zh-CN"/>
        </w:rPr>
      </w:pPr>
      <w:bookmarkStart w:id="0" w:name="_GoBack"/>
      <w:bookmarkEnd w:id="0"/>
      <w:r>
        <w:rPr>
          <w:rFonts w:hint="eastAsia" w:ascii="方正小标宋简体" w:hAnsi="方正小标宋简体" w:eastAsia="方正小标宋简体" w:cs="方正小标宋简体"/>
          <w:b w:val="0"/>
          <w:bCs w:val="0"/>
          <w:sz w:val="36"/>
          <w:szCs w:val="36"/>
        </w:rPr>
        <w:t>阶段性验收及资金支付汇总表</w:t>
      </w:r>
    </w:p>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仿宋_GB2312" w:cs="Times New Roman"/>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承办企业：彭阳县三泰物流快运有限责任公司   </w:t>
      </w:r>
    </w:p>
    <w:tbl>
      <w:tblPr>
        <w:tblStyle w:val="5"/>
        <w:tblpPr w:leftFromText="180" w:rightFromText="180" w:vertAnchor="text" w:horzAnchor="page" w:tblpX="475" w:tblpY="234"/>
        <w:tblOverlap w:val="never"/>
        <w:tblW w:w="15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962"/>
        <w:gridCol w:w="484"/>
        <w:gridCol w:w="2527"/>
        <w:gridCol w:w="554"/>
        <w:gridCol w:w="4108"/>
        <w:gridCol w:w="738"/>
        <w:gridCol w:w="1039"/>
        <w:gridCol w:w="911"/>
        <w:gridCol w:w="1004"/>
        <w:gridCol w:w="773"/>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5" w:type="dxa"/>
            <w:vMerge w:val="restart"/>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eastAsia="zh-CN"/>
              </w:rPr>
            </w:pPr>
            <w:r>
              <w:rPr>
                <w:rFonts w:hint="default" w:ascii="Times New Roman" w:hAnsi="Times New Roman" w:cs="Times New Roman" w:eastAsiaTheme="minorEastAsia"/>
                <w:b/>
                <w:bCs w:val="0"/>
                <w:kern w:val="0"/>
                <w:sz w:val="15"/>
                <w:szCs w:val="15"/>
                <w:lang w:eastAsia="zh-CN"/>
              </w:rPr>
              <w:t>项目</w:t>
            </w:r>
          </w:p>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rPr>
            </w:pPr>
            <w:r>
              <w:rPr>
                <w:rFonts w:hint="default" w:ascii="Times New Roman" w:hAnsi="Times New Roman" w:cs="Times New Roman" w:eastAsiaTheme="minorEastAsia"/>
                <w:b/>
                <w:bCs w:val="0"/>
                <w:kern w:val="0"/>
                <w:sz w:val="15"/>
                <w:szCs w:val="15"/>
              </w:rPr>
              <w:t>名称</w:t>
            </w:r>
          </w:p>
        </w:tc>
        <w:tc>
          <w:tcPr>
            <w:tcW w:w="2446" w:type="dxa"/>
            <w:gridSpan w:val="2"/>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val="en-US" w:eastAsia="zh-CN" w:bidi="ar-SA"/>
              </w:rPr>
            </w:pPr>
            <w:r>
              <w:rPr>
                <w:rFonts w:hint="default" w:ascii="Times New Roman" w:hAnsi="Times New Roman" w:cs="Times New Roman" w:eastAsiaTheme="minorEastAsia"/>
                <w:b/>
                <w:bCs w:val="0"/>
                <w:kern w:val="0"/>
                <w:sz w:val="15"/>
                <w:szCs w:val="15"/>
                <w:lang w:eastAsia="zh-CN"/>
              </w:rPr>
              <w:t>招标</w:t>
            </w:r>
            <w:r>
              <w:rPr>
                <w:rFonts w:hint="default" w:ascii="Times New Roman" w:hAnsi="Times New Roman" w:cs="Times New Roman" w:eastAsiaTheme="minorEastAsia"/>
                <w:b/>
                <w:bCs w:val="0"/>
                <w:kern w:val="0"/>
                <w:sz w:val="15"/>
                <w:szCs w:val="15"/>
              </w:rPr>
              <w:t>服务内容及</w:t>
            </w:r>
            <w:r>
              <w:rPr>
                <w:rFonts w:hint="default" w:ascii="Times New Roman" w:hAnsi="Times New Roman" w:cs="Times New Roman" w:eastAsiaTheme="minorEastAsia"/>
                <w:b/>
                <w:bCs w:val="0"/>
                <w:kern w:val="0"/>
                <w:sz w:val="15"/>
                <w:szCs w:val="15"/>
                <w:lang w:eastAsia="zh-CN"/>
              </w:rPr>
              <w:t>中标价（万元）</w:t>
            </w:r>
          </w:p>
        </w:tc>
        <w:tc>
          <w:tcPr>
            <w:tcW w:w="3081" w:type="dxa"/>
            <w:gridSpan w:val="2"/>
            <w:noWrap w:val="0"/>
            <w:vAlign w:val="center"/>
          </w:tcPr>
          <w:p>
            <w:pPr>
              <w:keepNext w:val="0"/>
              <w:keepLines w:val="0"/>
              <w:pageBreakBefore w:val="0"/>
              <w:widowControl w:val="0"/>
              <w:tabs>
                <w:tab w:val="left" w:pos="1904"/>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val="en-US" w:eastAsia="zh-CN"/>
              </w:rPr>
            </w:pPr>
            <w:r>
              <w:rPr>
                <w:rFonts w:hint="default" w:ascii="Times New Roman" w:hAnsi="Times New Roman" w:cs="Times New Roman" w:eastAsiaTheme="minorEastAsia"/>
                <w:b/>
                <w:bCs w:val="0"/>
                <w:kern w:val="0"/>
                <w:sz w:val="15"/>
                <w:szCs w:val="15"/>
                <w:lang w:val="en-US" w:eastAsia="zh-CN"/>
              </w:rPr>
              <w:t>具体建设内容及总投资</w:t>
            </w:r>
            <w:r>
              <w:rPr>
                <w:rFonts w:hint="default" w:ascii="Times New Roman" w:hAnsi="Times New Roman" w:cs="Times New Roman" w:eastAsiaTheme="minorEastAsia"/>
                <w:b/>
                <w:bCs w:val="0"/>
                <w:kern w:val="0"/>
                <w:sz w:val="15"/>
                <w:szCs w:val="15"/>
                <w:lang w:eastAsia="zh-CN"/>
              </w:rPr>
              <w:t>（万元）</w:t>
            </w:r>
          </w:p>
        </w:tc>
        <w:tc>
          <w:tcPr>
            <w:tcW w:w="4846" w:type="dxa"/>
            <w:gridSpan w:val="2"/>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bCs w:val="0"/>
                <w:kern w:val="0"/>
                <w:sz w:val="15"/>
                <w:szCs w:val="15"/>
                <w:lang w:eastAsia="zh-CN"/>
              </w:rPr>
            </w:pPr>
            <w:r>
              <w:rPr>
                <w:rFonts w:hint="default" w:ascii="Times New Roman" w:hAnsi="Times New Roman" w:cs="Times New Roman" w:eastAsiaTheme="minorEastAsia"/>
                <w:b/>
                <w:bCs w:val="0"/>
                <w:kern w:val="0"/>
                <w:sz w:val="15"/>
                <w:szCs w:val="15"/>
                <w:lang w:eastAsia="zh-CN"/>
              </w:rPr>
              <w:t>本次阶段性验收内容及金额（万元）</w:t>
            </w:r>
          </w:p>
        </w:tc>
        <w:tc>
          <w:tcPr>
            <w:tcW w:w="4523" w:type="dxa"/>
            <w:gridSpan w:val="5"/>
            <w:noWrap w:val="0"/>
            <w:vAlign w:val="center"/>
          </w:tcPr>
          <w:p>
            <w:pPr>
              <w:tabs>
                <w:tab w:val="left" w:pos="7770"/>
              </w:tabs>
              <w:spacing w:line="240" w:lineRule="auto"/>
              <w:jc w:val="center"/>
              <w:rPr>
                <w:rFonts w:hint="default" w:ascii="Times New Roman" w:hAnsi="Times New Roman" w:cs="Times New Roman" w:eastAsiaTheme="minorEastAsia"/>
                <w:b/>
                <w:bCs w:val="0"/>
                <w:kern w:val="0"/>
                <w:sz w:val="15"/>
                <w:szCs w:val="15"/>
                <w:lang w:val="en-US" w:eastAsia="zh-CN"/>
              </w:rPr>
            </w:pPr>
            <w:r>
              <w:rPr>
                <w:rFonts w:hint="default" w:ascii="Times New Roman" w:hAnsi="Times New Roman" w:cs="Times New Roman" w:eastAsiaTheme="minorEastAsia"/>
                <w:b/>
                <w:bCs w:val="0"/>
                <w:kern w:val="0"/>
                <w:sz w:val="15"/>
                <w:szCs w:val="15"/>
                <w:lang w:val="en-US" w:eastAsia="zh-CN"/>
              </w:rPr>
              <w:t>总验收进度</w:t>
            </w:r>
            <w:r>
              <w:rPr>
                <w:rFonts w:hint="default" w:ascii="Times New Roman" w:hAnsi="Times New Roman" w:cs="Times New Roman" w:eastAsiaTheme="minorEastAsia"/>
                <w:b/>
                <w:bCs w:val="0"/>
                <w:kern w:val="0"/>
                <w:sz w:val="15"/>
                <w:szCs w:val="15"/>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35" w:type="dxa"/>
            <w:vMerge w:val="continue"/>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p>
        </w:tc>
        <w:tc>
          <w:tcPr>
            <w:tcW w:w="1962"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rPr>
            </w:pPr>
            <w:r>
              <w:rPr>
                <w:rFonts w:hint="default" w:ascii="Times New Roman" w:hAnsi="Times New Roman" w:cs="Times New Roman" w:eastAsiaTheme="minorEastAsia"/>
                <w:b/>
                <w:bCs w:val="0"/>
                <w:kern w:val="0"/>
                <w:sz w:val="15"/>
                <w:szCs w:val="15"/>
              </w:rPr>
              <w:t>服务内容</w:t>
            </w:r>
          </w:p>
        </w:tc>
        <w:tc>
          <w:tcPr>
            <w:tcW w:w="484"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eastAsiaTheme="minorEastAsia"/>
                <w:b/>
                <w:kern w:val="0"/>
                <w:sz w:val="15"/>
                <w:szCs w:val="15"/>
                <w:lang w:val="en-US" w:eastAsia="zh-CN" w:bidi="ar-SA"/>
              </w:rPr>
            </w:pPr>
            <w:r>
              <w:rPr>
                <w:rFonts w:hint="default" w:ascii="Times New Roman" w:hAnsi="Times New Roman" w:cs="Times New Roman" w:eastAsiaTheme="minorEastAsia"/>
                <w:b/>
                <w:bCs w:val="0"/>
                <w:kern w:val="0"/>
                <w:sz w:val="15"/>
                <w:szCs w:val="15"/>
                <w:lang w:eastAsia="zh-CN"/>
              </w:rPr>
              <w:t>金额</w:t>
            </w:r>
          </w:p>
        </w:tc>
        <w:tc>
          <w:tcPr>
            <w:tcW w:w="2527"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内容</w:t>
            </w:r>
          </w:p>
        </w:tc>
        <w:tc>
          <w:tcPr>
            <w:tcW w:w="554"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总投资</w:t>
            </w:r>
          </w:p>
        </w:tc>
        <w:tc>
          <w:tcPr>
            <w:tcW w:w="4108"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内容</w:t>
            </w:r>
          </w:p>
        </w:tc>
        <w:tc>
          <w:tcPr>
            <w:tcW w:w="738"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验收</w:t>
            </w:r>
            <w:r>
              <w:rPr>
                <w:rFonts w:hint="eastAsia" w:ascii="Times New Roman" w:hAnsi="Times New Roman" w:cs="Times New Roman" w:eastAsiaTheme="minorEastAsia"/>
                <w:b/>
                <w:kern w:val="0"/>
                <w:sz w:val="15"/>
                <w:szCs w:val="15"/>
                <w:lang w:eastAsia="zh-CN"/>
              </w:rPr>
              <w:t>通过</w:t>
            </w:r>
            <w:r>
              <w:rPr>
                <w:rFonts w:hint="default" w:ascii="Times New Roman" w:hAnsi="Times New Roman" w:cs="Times New Roman" w:eastAsiaTheme="minorEastAsia"/>
                <w:b/>
                <w:kern w:val="0"/>
                <w:sz w:val="15"/>
                <w:szCs w:val="15"/>
                <w:lang w:eastAsia="zh-CN"/>
              </w:rPr>
              <w:t>金额</w:t>
            </w:r>
          </w:p>
        </w:tc>
        <w:tc>
          <w:tcPr>
            <w:tcW w:w="1039"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已验收拨付项目金资金</w:t>
            </w:r>
          </w:p>
        </w:tc>
        <w:tc>
          <w:tcPr>
            <w:tcW w:w="911"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本次验收</w:t>
            </w:r>
            <w:r>
              <w:rPr>
                <w:rFonts w:hint="eastAsia" w:ascii="Times New Roman" w:hAnsi="Times New Roman" w:cs="Times New Roman" w:eastAsiaTheme="minorEastAsia"/>
                <w:b/>
                <w:kern w:val="0"/>
                <w:sz w:val="15"/>
                <w:szCs w:val="15"/>
                <w:lang w:eastAsia="zh-CN"/>
              </w:rPr>
              <w:t>后总</w:t>
            </w:r>
            <w:r>
              <w:rPr>
                <w:rFonts w:hint="default" w:ascii="Times New Roman" w:hAnsi="Times New Roman" w:cs="Times New Roman" w:eastAsiaTheme="minorEastAsia"/>
                <w:b/>
                <w:kern w:val="0"/>
                <w:sz w:val="15"/>
                <w:szCs w:val="15"/>
                <w:lang w:eastAsia="zh-CN"/>
              </w:rPr>
              <w:t>金额</w:t>
            </w:r>
          </w:p>
        </w:tc>
        <w:tc>
          <w:tcPr>
            <w:tcW w:w="1004" w:type="dxa"/>
            <w:noWrap w:val="0"/>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kern w:val="0"/>
                <w:sz w:val="15"/>
                <w:szCs w:val="15"/>
                <w:lang w:eastAsia="zh-CN"/>
              </w:rPr>
            </w:pPr>
            <w:r>
              <w:rPr>
                <w:rFonts w:hint="default" w:ascii="Times New Roman" w:hAnsi="Times New Roman" w:cs="Times New Roman" w:eastAsiaTheme="minorEastAsia"/>
                <w:b/>
                <w:kern w:val="0"/>
                <w:sz w:val="15"/>
                <w:szCs w:val="15"/>
                <w:lang w:eastAsia="zh-CN"/>
              </w:rPr>
              <w:t>验收进度</w:t>
            </w:r>
          </w:p>
        </w:tc>
        <w:tc>
          <w:tcPr>
            <w:tcW w:w="773" w:type="dxa"/>
            <w:noWrap w:val="0"/>
            <w:vAlign w:val="center"/>
          </w:tcPr>
          <w:p>
            <w:pPr>
              <w:tabs>
                <w:tab w:val="left" w:pos="7770"/>
              </w:tabs>
              <w:spacing w:line="240" w:lineRule="auto"/>
              <w:jc w:val="center"/>
              <w:rPr>
                <w:rFonts w:hint="default" w:ascii="Times New Roman" w:hAnsi="Times New Roman" w:cs="Times New Roman" w:eastAsiaTheme="minorEastAsia"/>
                <w:b/>
                <w:kern w:val="0"/>
                <w:sz w:val="15"/>
                <w:szCs w:val="15"/>
                <w:lang w:eastAsia="zh-CN"/>
              </w:rPr>
            </w:pPr>
            <w:r>
              <w:rPr>
                <w:rFonts w:hint="eastAsia" w:ascii="Times New Roman" w:hAnsi="Times New Roman" w:cs="Times New Roman" w:eastAsiaTheme="minorEastAsia"/>
                <w:b/>
                <w:kern w:val="0"/>
                <w:sz w:val="15"/>
                <w:szCs w:val="15"/>
                <w:lang w:eastAsia="zh-CN"/>
              </w:rPr>
              <w:t>未验收金额</w:t>
            </w:r>
          </w:p>
        </w:tc>
        <w:tc>
          <w:tcPr>
            <w:tcW w:w="796" w:type="dxa"/>
            <w:noWrap w:val="0"/>
            <w:vAlign w:val="center"/>
          </w:tcPr>
          <w:p>
            <w:pPr>
              <w:tabs>
                <w:tab w:val="left" w:pos="7770"/>
              </w:tabs>
              <w:spacing w:line="240" w:lineRule="auto"/>
              <w:jc w:val="center"/>
              <w:rPr>
                <w:rFonts w:hint="default" w:ascii="Times New Roman" w:hAnsi="Times New Roman" w:cs="Times New Roman" w:eastAsiaTheme="minorEastAsia"/>
                <w:b/>
                <w:kern w:val="0"/>
                <w:sz w:val="15"/>
                <w:szCs w:val="15"/>
                <w:lang w:eastAsia="zh-CN"/>
              </w:rPr>
            </w:pPr>
            <w:r>
              <w:rPr>
                <w:rFonts w:hint="eastAsia" w:ascii="Times New Roman" w:hAnsi="Times New Roman" w:cs="Times New Roman" w:eastAsiaTheme="minorEastAsia"/>
                <w:b/>
                <w:bCs w:val="0"/>
                <w:kern w:val="0"/>
                <w:sz w:val="15"/>
                <w:szCs w:val="15"/>
                <w:lang w:val="en-US" w:eastAsia="zh-CN"/>
              </w:rPr>
              <w:t>本次支付金额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35"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cs="Times New Roman" w:eastAsiaTheme="minorEastAsia"/>
                <w:kern w:val="0"/>
                <w:sz w:val="15"/>
                <w:szCs w:val="15"/>
                <w:lang w:eastAsia="zh-CN"/>
              </w:rPr>
            </w:pPr>
            <w:r>
              <w:rPr>
                <w:rFonts w:hint="default" w:ascii="Times New Roman" w:hAnsi="Times New Roman" w:cs="Times New Roman" w:eastAsiaTheme="minorEastAsia"/>
                <w:kern w:val="0"/>
                <w:sz w:val="15"/>
                <w:szCs w:val="15"/>
                <w:lang w:eastAsia="zh-CN"/>
              </w:rPr>
              <w:t>彭阳县2019年电子商务进农村综合示范“升级版”项目一标段─县乡村物流综合服务项目</w:t>
            </w:r>
          </w:p>
        </w:tc>
        <w:tc>
          <w:tcPr>
            <w:tcW w:w="1962" w:type="dxa"/>
            <w:noWrap w:val="0"/>
            <w:vAlign w:val="center"/>
          </w:tcPr>
          <w:p>
            <w:pPr>
              <w:keepNext w:val="0"/>
              <w:keepLines w:val="0"/>
              <w:pageBreakBefore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sz w:val="15"/>
                <w:szCs w:val="15"/>
                <w:lang w:val="en-US" w:eastAsia="zh-CN"/>
              </w:rPr>
            </w:pPr>
            <w:r>
              <w:rPr>
                <w:rFonts w:hint="default" w:ascii="Times New Roman" w:hAnsi="Times New Roman" w:cs="Times New Roman" w:eastAsiaTheme="minorEastAsia"/>
                <w:sz w:val="15"/>
                <w:szCs w:val="15"/>
                <w:lang w:val="en-US" w:eastAsia="zh-CN"/>
              </w:rPr>
              <w:t>整合物流资源，打造不小于1000㎡的物流仓储分拨中心，通过智能化物流分拣体系，优化县乡村物流配送功能，通过智慧物流，着重解决“最后一公里”配送和服务农产品上行问题，整合六家快递公司（年到村快递量1.2万件以上），实行分批接货、集中分拣、统一配送，实现快递包裹每天下乡进村（行政村覆盖率达65%以上）</w:t>
            </w:r>
          </w:p>
        </w:tc>
        <w:tc>
          <w:tcPr>
            <w:tcW w:w="484"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260</w:t>
            </w:r>
          </w:p>
        </w:tc>
        <w:tc>
          <w:tcPr>
            <w:tcW w:w="2527"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sz w:val="15"/>
                <w:szCs w:val="15"/>
                <w:lang w:val="en-US" w:eastAsia="zh-CN"/>
              </w:rPr>
              <w:t>整合物流资源，打造不小于1000㎡的物流仓储分拨中心，通过智能化物流分拣体系，优化县乡村物流配送功能，通过智慧物流，着重解决“最后一公里”配送和服务农产品上行问题，整合六家快递公司（年到村快递量1.2万件以上），实行分批接货、集中分拣、统一配送，实现快递包裹每天下乡进村（行政村覆盖率达65%以上）</w:t>
            </w:r>
          </w:p>
        </w:tc>
        <w:tc>
          <w:tcPr>
            <w:tcW w:w="554" w:type="dxa"/>
            <w:vMerge w:val="restart"/>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eastAsiaTheme="minorEastAsia"/>
                <w:kern w:val="0"/>
                <w:sz w:val="15"/>
                <w:szCs w:val="15"/>
                <w:lang w:val="en-US" w:eastAsia="zh-CN"/>
              </w:rPr>
            </w:pPr>
            <w:r>
              <w:rPr>
                <w:rFonts w:hint="eastAsia" w:ascii="Times New Roman" w:hAnsi="Times New Roman" w:cs="Times New Roman" w:eastAsiaTheme="minorEastAsia"/>
                <w:kern w:val="0"/>
                <w:sz w:val="15"/>
                <w:szCs w:val="15"/>
                <w:lang w:val="en-US" w:eastAsia="zh-CN"/>
              </w:rPr>
              <w:t>318</w:t>
            </w:r>
          </w:p>
        </w:tc>
        <w:tc>
          <w:tcPr>
            <w:tcW w:w="4108"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eastAsia"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1.整合快递公司：</w:t>
            </w:r>
            <w:r>
              <w:rPr>
                <w:rFonts w:hint="eastAsia" w:ascii="Times New Roman" w:hAnsi="Times New Roman" w:cs="Times New Roman" w:eastAsiaTheme="minorEastAsia"/>
                <w:kern w:val="0"/>
                <w:sz w:val="15"/>
                <w:szCs w:val="15"/>
                <w:lang w:val="en-US" w:eastAsia="zh-CN"/>
              </w:rPr>
              <w:t>先后整合</w:t>
            </w:r>
            <w:r>
              <w:rPr>
                <w:rFonts w:hint="default" w:ascii="Times New Roman" w:hAnsi="Times New Roman" w:cs="Times New Roman" w:eastAsiaTheme="minorEastAsia"/>
                <w:kern w:val="0"/>
                <w:sz w:val="15"/>
                <w:szCs w:val="15"/>
                <w:lang w:val="en-US" w:eastAsia="zh-CN"/>
              </w:rPr>
              <w:t>韵达、圆通、百世、极兔、天天、万家通、申通、顺丰、多多</w:t>
            </w:r>
            <w:r>
              <w:rPr>
                <w:rFonts w:hint="eastAsia" w:ascii="Times New Roman" w:hAnsi="Times New Roman" w:cs="Times New Roman" w:eastAsiaTheme="minorEastAsia"/>
                <w:kern w:val="0"/>
                <w:sz w:val="15"/>
                <w:szCs w:val="15"/>
                <w:lang w:val="en-US" w:eastAsia="zh-CN"/>
              </w:rPr>
              <w:t>买菜同城配送企业9家。</w:t>
            </w:r>
          </w:p>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2.已打造不小于1000㎡的物流仓储分拨中心</w:t>
            </w:r>
            <w:r>
              <w:rPr>
                <w:rFonts w:hint="eastAsia" w:ascii="Times New Roman" w:hAnsi="Times New Roman" w:cs="Times New Roman" w:eastAsiaTheme="minorEastAsia"/>
                <w:kern w:val="0"/>
                <w:sz w:val="15"/>
                <w:szCs w:val="15"/>
                <w:lang w:val="en-US" w:eastAsia="zh-CN"/>
              </w:rPr>
              <w:t>，对仓储中心进行翻修，材料费、人工费59.39万元，中心广告制作宣传3万元；</w:t>
            </w:r>
          </w:p>
          <w:p>
            <w:pPr>
              <w:keepNext w:val="0"/>
              <w:keepLines w:val="0"/>
              <w:pageBreakBefore w:val="0"/>
              <w:widowControl/>
              <w:suppressLineNumbers w:val="0"/>
              <w:kinsoku/>
              <w:wordWrap/>
              <w:overflowPunct/>
              <w:topLinePunct w:val="0"/>
              <w:autoSpaceDE w:val="0"/>
              <w:autoSpaceDN w:val="0"/>
              <w:bidi w:val="0"/>
              <w:adjustRightInd/>
              <w:snapToGrid/>
              <w:spacing w:line="200" w:lineRule="exact"/>
              <w:ind w:left="0" w:leftChars="0" w:right="0" w:rightChars="0"/>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3.通过智能化物流分拣体系，优化县乡村物流配送功能，通过智慧物流，着重解决“最后一公里”配送和服务农产品上行问题，实行分批接货、集中分拣、统一配送，实现快递包裹每天下乡进村，截止2021年9月底，快递下乡进村共计279749件，其中韵达128934件，百世56216件，圆通51028件，极兔21793件，天天6655件，万家通6261件，申通7970件，顺丰892件、多多13060件。</w:t>
            </w:r>
            <w:r>
              <w:rPr>
                <w:rFonts w:hint="eastAsia" w:ascii="Times New Roman" w:hAnsi="Times New Roman" w:cs="Times New Roman" w:eastAsiaTheme="minorEastAsia"/>
                <w:kern w:val="0"/>
                <w:sz w:val="15"/>
                <w:szCs w:val="15"/>
                <w:lang w:val="en-US" w:eastAsia="zh-CN"/>
              </w:rPr>
              <w:t>分拣服务费16.86万元；中心运营费（包括打印纸等耗材及车辆轨迹服务费）及项目招标代理费用3.48万元。</w:t>
            </w:r>
          </w:p>
        </w:tc>
        <w:tc>
          <w:tcPr>
            <w:tcW w:w="738"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sz w:val="15"/>
                <w:szCs w:val="15"/>
                <w:lang w:val="en-US" w:eastAsia="zh-CN"/>
              </w:rPr>
            </w:pPr>
            <w:r>
              <w:rPr>
                <w:rFonts w:hint="default" w:ascii="Times New Roman" w:hAnsi="Times New Roman" w:eastAsia="宋体" w:cs="Times New Roman"/>
                <w:i w:val="0"/>
                <w:color w:val="000000"/>
                <w:kern w:val="0"/>
                <w:sz w:val="16"/>
                <w:szCs w:val="16"/>
                <w:u w:val="none"/>
                <w:lang w:val="en-US" w:eastAsia="zh-CN" w:bidi="ar"/>
              </w:rPr>
              <w:t>82.73</w:t>
            </w:r>
          </w:p>
        </w:tc>
        <w:tc>
          <w:tcPr>
            <w:tcW w:w="1039"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r>
              <w:rPr>
                <w:rFonts w:hint="default" w:ascii="Times New Roman" w:hAnsi="Times New Roman" w:cs="Times New Roman" w:eastAsiaTheme="minorEastAsia"/>
                <w:color w:val="000000"/>
                <w:kern w:val="0"/>
                <w:sz w:val="15"/>
                <w:szCs w:val="15"/>
                <w:lang w:val="en-US" w:eastAsia="zh-CN" w:bidi="ar"/>
              </w:rPr>
              <w:t>2020年</w:t>
            </w:r>
            <w:r>
              <w:rPr>
                <w:rFonts w:hint="eastAsia" w:ascii="Times New Roman" w:hAnsi="Times New Roman" w:cs="Times New Roman" w:eastAsiaTheme="minorEastAsia"/>
                <w:color w:val="000000"/>
                <w:kern w:val="0"/>
                <w:sz w:val="15"/>
                <w:szCs w:val="15"/>
                <w:lang w:val="en-US" w:eastAsia="zh-CN" w:bidi="ar"/>
              </w:rPr>
              <w:t>8</w:t>
            </w:r>
            <w:r>
              <w:rPr>
                <w:rFonts w:hint="default" w:ascii="Times New Roman" w:hAnsi="Times New Roman" w:cs="Times New Roman" w:eastAsiaTheme="minorEastAsia"/>
                <w:color w:val="000000"/>
                <w:kern w:val="0"/>
                <w:sz w:val="15"/>
                <w:szCs w:val="15"/>
                <w:lang w:val="en-US" w:eastAsia="zh-CN" w:bidi="ar"/>
              </w:rPr>
              <w:t>月2日支付预付款</w:t>
            </w:r>
            <w:r>
              <w:rPr>
                <w:rFonts w:hint="eastAsia" w:ascii="Times New Roman" w:hAnsi="Times New Roman" w:cs="Times New Roman" w:eastAsiaTheme="minorEastAsia"/>
                <w:color w:val="000000"/>
                <w:kern w:val="0"/>
                <w:sz w:val="15"/>
                <w:szCs w:val="15"/>
                <w:lang w:val="en-US" w:eastAsia="zh-CN" w:bidi="ar"/>
              </w:rPr>
              <w:t>130</w:t>
            </w:r>
            <w:r>
              <w:rPr>
                <w:rFonts w:hint="default" w:ascii="Times New Roman" w:hAnsi="Times New Roman" w:cs="Times New Roman" w:eastAsiaTheme="minorEastAsia"/>
                <w:color w:val="000000"/>
                <w:kern w:val="0"/>
                <w:sz w:val="15"/>
                <w:szCs w:val="15"/>
                <w:lang w:val="en-US" w:eastAsia="zh-CN" w:bidi="ar"/>
              </w:rPr>
              <w:t>万元</w:t>
            </w:r>
          </w:p>
        </w:tc>
        <w:tc>
          <w:tcPr>
            <w:tcW w:w="911"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82.73</w:t>
            </w:r>
          </w:p>
        </w:tc>
        <w:tc>
          <w:tcPr>
            <w:tcW w:w="1004"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default" w:ascii="Times New Roman" w:hAnsi="Times New Roman" w:cs="Times New Roman" w:eastAsiaTheme="minorEastAsia"/>
                <w:color w:val="000000"/>
                <w:kern w:val="0"/>
                <w:sz w:val="15"/>
                <w:szCs w:val="15"/>
                <w:lang w:val="en-US" w:eastAsia="zh-CN" w:bidi="ar"/>
              </w:rPr>
              <w:t>完成总投资</w:t>
            </w:r>
            <w:r>
              <w:rPr>
                <w:rFonts w:hint="eastAsia" w:ascii="Times New Roman" w:hAnsi="Times New Roman" w:cs="Times New Roman" w:eastAsiaTheme="minorEastAsia"/>
                <w:color w:val="000000"/>
                <w:kern w:val="0"/>
                <w:sz w:val="15"/>
                <w:szCs w:val="15"/>
                <w:lang w:val="en-US" w:eastAsia="zh-CN" w:bidi="ar"/>
              </w:rPr>
              <w:t>66.74</w:t>
            </w:r>
            <w:r>
              <w:rPr>
                <w:rFonts w:hint="default" w:ascii="Times New Roman" w:hAnsi="Times New Roman" w:cs="Times New Roman" w:eastAsiaTheme="minorEastAsia"/>
                <w:color w:val="000000"/>
                <w:kern w:val="0"/>
                <w:sz w:val="15"/>
                <w:szCs w:val="15"/>
                <w:lang w:val="en-US" w:eastAsia="zh-CN" w:bidi="ar"/>
              </w:rPr>
              <w:t>%</w:t>
            </w:r>
          </w:p>
        </w:tc>
        <w:tc>
          <w:tcPr>
            <w:tcW w:w="773"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eastAsia" w:ascii="Times New Roman" w:hAnsi="Times New Roman" w:cs="Times New Roman" w:eastAsiaTheme="minorEastAsia"/>
                <w:color w:val="000000"/>
                <w:kern w:val="0"/>
                <w:sz w:val="15"/>
                <w:szCs w:val="15"/>
                <w:lang w:val="en-US" w:eastAsia="zh-CN" w:bidi="ar"/>
              </w:rPr>
              <w:t>105.76</w:t>
            </w:r>
          </w:p>
        </w:tc>
        <w:tc>
          <w:tcPr>
            <w:tcW w:w="796" w:type="dxa"/>
            <w:vMerge w:val="restart"/>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eastAsia" w:ascii="Times New Roman" w:hAnsi="Times New Roman" w:cs="Times New Roman" w:eastAsiaTheme="minorEastAsia"/>
                <w:color w:val="000000"/>
                <w:kern w:val="0"/>
                <w:sz w:val="15"/>
                <w:szCs w:val="15"/>
                <w:lang w:val="en-US" w:eastAsia="zh-CN" w:bidi="ar"/>
              </w:rPr>
              <w:t>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535"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eastAsia="zh-CN"/>
              </w:rPr>
            </w:pPr>
          </w:p>
        </w:tc>
        <w:tc>
          <w:tcPr>
            <w:tcW w:w="1962" w:type="dxa"/>
            <w:noWrap w:val="0"/>
            <w:vAlign w:val="center"/>
          </w:tcPr>
          <w:p>
            <w:pPr>
              <w:keepNext w:val="0"/>
              <w:keepLines w:val="0"/>
              <w:pageBreakBefore w:val="0"/>
              <w:kinsoku/>
              <w:wordWrap/>
              <w:overflowPunct/>
              <w:topLinePunct w:val="0"/>
              <w:autoSpaceDE w:val="0"/>
              <w:autoSpaceDN w:val="0"/>
              <w:bidi w:val="0"/>
              <w:adjustRightInd/>
              <w:snapToGrid/>
              <w:spacing w:line="200" w:lineRule="exact"/>
              <w:textAlignment w:val="auto"/>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对承担物流快递收发业务的物流站点通过快递派费等形式多渠道增收，确保不低于300元/月的物流收入，畅通农村快递收发渠道，提升服务水平</w:t>
            </w:r>
          </w:p>
        </w:tc>
        <w:tc>
          <w:tcPr>
            <w:tcW w:w="484"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p>
        </w:tc>
        <w:tc>
          <w:tcPr>
            <w:tcW w:w="2527"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sz w:val="15"/>
                <w:szCs w:val="15"/>
                <w:lang w:val="en-US" w:eastAsia="zh-CN"/>
              </w:rPr>
              <w:t>对承担物流快递收发业务的物流站点通过快递派费等形式多渠道增收，确保不低于300元/月的物流收入，畅通农村快递收发渠道，提升服务水平</w:t>
            </w:r>
          </w:p>
        </w:tc>
        <w:tc>
          <w:tcPr>
            <w:tcW w:w="554" w:type="dxa"/>
            <w:vMerge w:val="continue"/>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eastAsiaTheme="minorEastAsia"/>
                <w:kern w:val="0"/>
                <w:sz w:val="15"/>
                <w:szCs w:val="15"/>
                <w:lang w:val="en-US" w:eastAsia="zh-CN"/>
              </w:rPr>
            </w:pPr>
          </w:p>
        </w:tc>
        <w:tc>
          <w:tcPr>
            <w:tcW w:w="4108"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ind w:left="0" w:leftChars="0" w:right="0" w:rightChars="0"/>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已建设村级网点100个，并对承担物流快递收发业务的物流站点通过快递派费等形式多渠道增收，确保不低于300元/月的物流收入，畅通农村快递收发渠道，提升服务水平</w:t>
            </w:r>
            <w:r>
              <w:rPr>
                <w:rFonts w:hint="eastAsia" w:ascii="Times New Roman" w:hAnsi="Times New Roman" w:cs="Times New Roman" w:eastAsiaTheme="minorEastAsia"/>
                <w:kern w:val="0"/>
                <w:sz w:val="15"/>
                <w:szCs w:val="15"/>
                <w:lang w:val="en-US" w:eastAsia="zh-CN"/>
              </w:rPr>
              <w:t>。2020年6月-2021年9月86个网点快递费补贴（最低保障300元/月，根据快递量结算）42.72万元。</w:t>
            </w:r>
          </w:p>
        </w:tc>
        <w:tc>
          <w:tcPr>
            <w:tcW w:w="738"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sz w:val="15"/>
                <w:szCs w:val="15"/>
                <w:lang w:val="en-US" w:eastAsia="zh-CN"/>
              </w:rPr>
            </w:pPr>
            <w:r>
              <w:rPr>
                <w:rFonts w:hint="default" w:ascii="Times New Roman" w:hAnsi="Times New Roman" w:eastAsia="宋体" w:cs="Times New Roman"/>
                <w:i w:val="0"/>
                <w:color w:val="000000"/>
                <w:kern w:val="0"/>
                <w:sz w:val="16"/>
                <w:szCs w:val="16"/>
                <w:u w:val="none"/>
                <w:lang w:val="en-US" w:eastAsia="zh-CN" w:bidi="ar"/>
              </w:rPr>
              <w:t>42.72</w:t>
            </w:r>
          </w:p>
        </w:tc>
        <w:tc>
          <w:tcPr>
            <w:tcW w:w="1039"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911"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42.72</w:t>
            </w:r>
          </w:p>
        </w:tc>
        <w:tc>
          <w:tcPr>
            <w:tcW w:w="1004"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773"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796"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5"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eastAsia="zh-CN"/>
              </w:rPr>
            </w:pPr>
          </w:p>
        </w:tc>
        <w:tc>
          <w:tcPr>
            <w:tcW w:w="196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firstLine="150" w:firstLineChars="100"/>
              <w:textAlignment w:val="auto"/>
              <w:rPr>
                <w:rFonts w:hint="default" w:ascii="Times New Roman" w:hAnsi="Times New Roman" w:cs="Times New Roman" w:eastAsiaTheme="minorEastAsia"/>
                <w:sz w:val="15"/>
                <w:szCs w:val="15"/>
                <w:lang w:val="en-US" w:eastAsia="zh-CN"/>
              </w:rPr>
            </w:pPr>
            <w:r>
              <w:rPr>
                <w:rFonts w:hint="default" w:ascii="Times New Roman" w:hAnsi="Times New Roman" w:cs="Times New Roman" w:eastAsiaTheme="minorEastAsia"/>
                <w:sz w:val="15"/>
                <w:szCs w:val="15"/>
                <w:lang w:val="en-US" w:eastAsia="zh-CN"/>
              </w:rPr>
              <w:t>规划开通总公里数不低于810公里的4条邮路，服务范围覆盖全县156个行政村。</w:t>
            </w:r>
          </w:p>
        </w:tc>
        <w:tc>
          <w:tcPr>
            <w:tcW w:w="484"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00" w:lineRule="exact"/>
              <w:ind w:left="0" w:leftChars="0" w:right="0" w:rightChars="0"/>
              <w:jc w:val="center"/>
              <w:textAlignment w:val="auto"/>
              <w:rPr>
                <w:rFonts w:hint="default" w:ascii="Times New Roman" w:hAnsi="Times New Roman" w:cs="Times New Roman" w:eastAsiaTheme="minorEastAsia"/>
                <w:kern w:val="0"/>
                <w:sz w:val="15"/>
                <w:szCs w:val="15"/>
                <w:lang w:val="en-US" w:eastAsia="zh-CN"/>
              </w:rPr>
            </w:pPr>
          </w:p>
        </w:tc>
        <w:tc>
          <w:tcPr>
            <w:tcW w:w="2527"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规划开通总公里数不低于810公里的4条邮路，服务范围覆盖全县156个行政村。</w:t>
            </w:r>
          </w:p>
        </w:tc>
        <w:tc>
          <w:tcPr>
            <w:tcW w:w="554" w:type="dxa"/>
            <w:vMerge w:val="continue"/>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center"/>
              <w:textAlignment w:val="auto"/>
              <w:rPr>
                <w:rFonts w:hint="default" w:ascii="Times New Roman" w:hAnsi="Times New Roman" w:cs="Times New Roman" w:eastAsiaTheme="minorEastAsia"/>
                <w:kern w:val="0"/>
                <w:sz w:val="15"/>
                <w:szCs w:val="15"/>
                <w:lang w:val="en-US" w:eastAsia="zh-CN"/>
              </w:rPr>
            </w:pPr>
          </w:p>
        </w:tc>
        <w:tc>
          <w:tcPr>
            <w:tcW w:w="4108"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ind w:left="0" w:leftChars="0" w:right="0" w:rightChars="0"/>
              <w:jc w:val="left"/>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2020年6月至2021年8月开通四条邮路，2021年8月至今开通八条邮路，全程1005公里，覆盖全县156个行政村。</w:t>
            </w:r>
            <w:r>
              <w:rPr>
                <w:rFonts w:hint="eastAsia" w:ascii="Times New Roman" w:hAnsi="Times New Roman" w:cs="Times New Roman" w:eastAsiaTheme="minorEastAsia"/>
                <w:kern w:val="0"/>
                <w:sz w:val="15"/>
                <w:szCs w:val="15"/>
                <w:lang w:val="en-US" w:eastAsia="zh-CN"/>
              </w:rPr>
              <w:t>线路补贴86.79万元。</w:t>
            </w:r>
          </w:p>
        </w:tc>
        <w:tc>
          <w:tcPr>
            <w:tcW w:w="738"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sz w:val="15"/>
                <w:szCs w:val="15"/>
                <w:lang w:val="en-US" w:eastAsia="zh-CN"/>
              </w:rPr>
            </w:pPr>
            <w:r>
              <w:rPr>
                <w:rFonts w:hint="default" w:ascii="Times New Roman" w:hAnsi="Times New Roman" w:eastAsia="宋体" w:cs="Times New Roman"/>
                <w:i w:val="0"/>
                <w:color w:val="000000"/>
                <w:kern w:val="0"/>
                <w:sz w:val="16"/>
                <w:szCs w:val="16"/>
                <w:u w:val="none"/>
                <w:lang w:val="en-US" w:eastAsia="zh-CN" w:bidi="ar"/>
              </w:rPr>
              <w:t>86.79</w:t>
            </w:r>
          </w:p>
        </w:tc>
        <w:tc>
          <w:tcPr>
            <w:tcW w:w="1039"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911"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color w:val="000000"/>
                <w:kern w:val="0"/>
                <w:sz w:val="15"/>
                <w:szCs w:val="15"/>
                <w:lang w:val="en-US" w:eastAsia="zh-CN" w:bidi="ar"/>
              </w:rPr>
            </w:pPr>
            <w:r>
              <w:rPr>
                <w:rFonts w:hint="default" w:ascii="Times New Roman" w:hAnsi="Times New Roman" w:eastAsia="宋体" w:cs="Times New Roman"/>
                <w:i w:val="0"/>
                <w:color w:val="000000"/>
                <w:kern w:val="0"/>
                <w:sz w:val="16"/>
                <w:szCs w:val="16"/>
                <w:u w:val="none"/>
                <w:lang w:val="en-US" w:eastAsia="zh-CN" w:bidi="ar"/>
              </w:rPr>
              <w:t>86.79</w:t>
            </w:r>
          </w:p>
        </w:tc>
        <w:tc>
          <w:tcPr>
            <w:tcW w:w="1004"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773"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c>
          <w:tcPr>
            <w:tcW w:w="796" w:type="dxa"/>
            <w:vMerge w:val="continue"/>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color w:val="000000"/>
                <w:kern w:val="0"/>
                <w:sz w:val="15"/>
                <w:szCs w:val="15"/>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5"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right="0" w:rightChars="0"/>
              <w:textAlignment w:val="auto"/>
              <w:rPr>
                <w:rFonts w:hint="default" w:ascii="Times New Roman" w:hAnsi="Times New Roman" w:cs="Times New Roman" w:eastAsiaTheme="minorEastAsia"/>
                <w:kern w:val="0"/>
                <w:sz w:val="15"/>
                <w:szCs w:val="15"/>
                <w:lang w:val="en-US" w:eastAsia="zh-CN"/>
              </w:rPr>
            </w:pPr>
            <w:r>
              <w:rPr>
                <w:rFonts w:hint="default" w:ascii="Times New Roman" w:hAnsi="Times New Roman" w:cs="Times New Roman" w:eastAsiaTheme="minorEastAsia"/>
                <w:kern w:val="0"/>
                <w:sz w:val="15"/>
                <w:szCs w:val="15"/>
                <w:lang w:val="en-US" w:eastAsia="zh-CN"/>
              </w:rPr>
              <w:t>合计</w:t>
            </w:r>
          </w:p>
        </w:tc>
        <w:tc>
          <w:tcPr>
            <w:tcW w:w="1962"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firstLine="150" w:firstLineChars="100"/>
              <w:textAlignment w:val="auto"/>
              <w:rPr>
                <w:rFonts w:hint="default" w:ascii="Times New Roman" w:hAnsi="Times New Roman" w:cs="Times New Roman" w:eastAsiaTheme="minorEastAsia"/>
                <w:b w:val="0"/>
                <w:bCs w:val="0"/>
                <w:sz w:val="15"/>
                <w:szCs w:val="15"/>
                <w:lang w:val="en-US" w:eastAsia="zh-CN"/>
              </w:rPr>
            </w:pPr>
          </w:p>
        </w:tc>
        <w:tc>
          <w:tcPr>
            <w:tcW w:w="484"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cs="Times New Roman" w:eastAsiaTheme="minorEastAsia"/>
                <w:b w:val="0"/>
                <w:bCs w:val="0"/>
                <w:kern w:val="0"/>
                <w:sz w:val="15"/>
                <w:szCs w:val="15"/>
                <w:lang w:val="en-US" w:eastAsia="zh-CN"/>
              </w:rPr>
            </w:pPr>
            <w:r>
              <w:rPr>
                <w:rFonts w:hint="eastAsia" w:ascii="Times New Roman" w:hAnsi="Times New Roman" w:cs="Times New Roman" w:eastAsiaTheme="minorEastAsia"/>
                <w:b w:val="0"/>
                <w:bCs w:val="0"/>
                <w:kern w:val="0"/>
                <w:sz w:val="15"/>
                <w:szCs w:val="15"/>
                <w:lang w:val="en-US" w:eastAsia="zh-CN"/>
              </w:rPr>
              <w:t>260</w:t>
            </w:r>
          </w:p>
        </w:tc>
        <w:tc>
          <w:tcPr>
            <w:tcW w:w="2527"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default" w:ascii="Times New Roman" w:hAnsi="Times New Roman" w:cs="Times New Roman" w:eastAsiaTheme="minorEastAsia"/>
                <w:b w:val="0"/>
                <w:bCs w:val="0"/>
                <w:kern w:val="0"/>
                <w:sz w:val="15"/>
                <w:szCs w:val="15"/>
                <w:lang w:val="en-US" w:eastAsia="zh-CN"/>
              </w:rPr>
            </w:pPr>
          </w:p>
        </w:tc>
        <w:tc>
          <w:tcPr>
            <w:tcW w:w="554"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kern w:val="0"/>
                <w:sz w:val="15"/>
                <w:szCs w:val="15"/>
                <w:lang w:val="en-US" w:eastAsia="zh-CN"/>
              </w:rPr>
            </w:pPr>
            <w:r>
              <w:rPr>
                <w:rFonts w:hint="eastAsia" w:ascii="Times New Roman" w:hAnsi="Times New Roman" w:cs="Times New Roman" w:eastAsiaTheme="minorEastAsia"/>
                <w:b w:val="0"/>
                <w:bCs w:val="0"/>
                <w:kern w:val="0"/>
                <w:sz w:val="15"/>
                <w:szCs w:val="15"/>
                <w:lang w:val="en-US" w:eastAsia="zh-CN"/>
              </w:rPr>
              <w:t>318</w:t>
            </w:r>
          </w:p>
        </w:tc>
        <w:tc>
          <w:tcPr>
            <w:tcW w:w="4108" w:type="dxa"/>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kern w:val="0"/>
                <w:sz w:val="15"/>
                <w:szCs w:val="15"/>
                <w:lang w:val="en-US" w:eastAsia="zh-CN"/>
              </w:rPr>
            </w:pPr>
          </w:p>
        </w:tc>
        <w:tc>
          <w:tcPr>
            <w:tcW w:w="738" w:type="dxa"/>
            <w:noWrap w:val="0"/>
            <w:vAlign w:val="center"/>
          </w:tcPr>
          <w:p>
            <w:pPr>
              <w:keepNext w:val="0"/>
              <w:keepLines w:val="0"/>
              <w:widowControl/>
              <w:suppressLineNumbers w:val="0"/>
              <w:ind w:left="0" w:leftChars="0" w:right="0" w:rightChars="0"/>
              <w:jc w:val="center"/>
              <w:textAlignment w:val="center"/>
              <w:rPr>
                <w:rFonts w:hint="default" w:ascii="Times New Roman" w:hAnsi="Times New Roman" w:cs="Times New Roman" w:eastAsiaTheme="minorEastAsia"/>
                <w:b w:val="0"/>
                <w:bCs w:val="0"/>
                <w:sz w:val="15"/>
                <w:szCs w:val="15"/>
                <w:lang w:val="en-US" w:eastAsia="zh-CN"/>
              </w:rPr>
            </w:pPr>
            <w:r>
              <w:rPr>
                <w:rFonts w:hint="default" w:ascii="Times New Roman" w:hAnsi="Times New Roman" w:eastAsia="宋体" w:cs="Times New Roman"/>
                <w:b w:val="0"/>
                <w:bCs w:val="0"/>
                <w:i w:val="0"/>
                <w:color w:val="000000"/>
                <w:kern w:val="0"/>
                <w:sz w:val="16"/>
                <w:szCs w:val="16"/>
                <w:u w:val="none"/>
                <w:lang w:val="en-US" w:eastAsia="zh-CN" w:bidi="ar"/>
              </w:rPr>
              <w:t>212.24</w:t>
            </w:r>
          </w:p>
        </w:tc>
        <w:tc>
          <w:tcPr>
            <w:tcW w:w="1039"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000000"/>
                <w:kern w:val="0"/>
                <w:sz w:val="15"/>
                <w:szCs w:val="15"/>
                <w:lang w:val="en-US" w:eastAsia="zh-CN" w:bidi="ar"/>
              </w:rPr>
            </w:pPr>
            <w:r>
              <w:rPr>
                <w:rFonts w:hint="eastAsia" w:ascii="Times New Roman" w:hAnsi="Times New Roman" w:cs="Times New Roman" w:eastAsiaTheme="minorEastAsia"/>
                <w:b w:val="0"/>
                <w:bCs w:val="0"/>
                <w:color w:val="000000"/>
                <w:kern w:val="0"/>
                <w:sz w:val="15"/>
                <w:szCs w:val="15"/>
                <w:lang w:val="en-US" w:eastAsia="zh-CN" w:bidi="ar"/>
              </w:rPr>
              <w:t>130</w:t>
            </w:r>
          </w:p>
        </w:tc>
        <w:tc>
          <w:tcPr>
            <w:tcW w:w="911"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000000"/>
                <w:kern w:val="0"/>
                <w:sz w:val="15"/>
                <w:szCs w:val="15"/>
                <w:lang w:val="en-US" w:eastAsia="zh-CN" w:bidi="ar"/>
              </w:rPr>
            </w:pPr>
            <w:r>
              <w:rPr>
                <w:rFonts w:hint="default" w:ascii="Times New Roman" w:hAnsi="Times New Roman" w:eastAsia="宋体" w:cs="Times New Roman"/>
                <w:b w:val="0"/>
                <w:bCs w:val="0"/>
                <w:i w:val="0"/>
                <w:color w:val="000000"/>
                <w:kern w:val="0"/>
                <w:sz w:val="16"/>
                <w:szCs w:val="16"/>
                <w:u w:val="none"/>
                <w:lang w:val="en-US" w:eastAsia="zh-CN" w:bidi="ar"/>
              </w:rPr>
              <w:t>212.24</w:t>
            </w:r>
          </w:p>
        </w:tc>
        <w:tc>
          <w:tcPr>
            <w:tcW w:w="1004"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000000"/>
                <w:kern w:val="0"/>
                <w:sz w:val="15"/>
                <w:szCs w:val="15"/>
                <w:lang w:val="en-US" w:eastAsia="zh-CN" w:bidi="ar"/>
              </w:rPr>
            </w:pPr>
            <w:r>
              <w:rPr>
                <w:rFonts w:hint="eastAsia" w:ascii="Times New Roman" w:hAnsi="Times New Roman" w:cs="Times New Roman" w:eastAsiaTheme="minorEastAsia"/>
                <w:b w:val="0"/>
                <w:bCs w:val="0"/>
                <w:color w:val="000000"/>
                <w:kern w:val="0"/>
                <w:sz w:val="15"/>
                <w:szCs w:val="15"/>
                <w:lang w:val="en-US" w:eastAsia="zh-CN" w:bidi="ar"/>
              </w:rPr>
              <w:t>66.74</w:t>
            </w:r>
            <w:r>
              <w:rPr>
                <w:rFonts w:hint="default" w:ascii="Times New Roman" w:hAnsi="Times New Roman" w:cs="Times New Roman" w:eastAsiaTheme="minorEastAsia"/>
                <w:b w:val="0"/>
                <w:bCs w:val="0"/>
                <w:color w:val="000000"/>
                <w:kern w:val="0"/>
                <w:sz w:val="15"/>
                <w:szCs w:val="15"/>
                <w:lang w:val="en-US" w:eastAsia="zh-CN" w:bidi="ar"/>
              </w:rPr>
              <w:t>%</w:t>
            </w:r>
          </w:p>
        </w:tc>
        <w:tc>
          <w:tcPr>
            <w:tcW w:w="773"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000000"/>
                <w:kern w:val="0"/>
                <w:sz w:val="15"/>
                <w:szCs w:val="15"/>
                <w:lang w:val="en-US" w:eastAsia="zh-CN" w:bidi="ar"/>
              </w:rPr>
            </w:pPr>
            <w:r>
              <w:rPr>
                <w:rFonts w:hint="eastAsia" w:ascii="Times New Roman" w:hAnsi="Times New Roman" w:cs="Times New Roman" w:eastAsiaTheme="minorEastAsia"/>
                <w:color w:val="000000"/>
                <w:kern w:val="0"/>
                <w:sz w:val="15"/>
                <w:szCs w:val="15"/>
                <w:lang w:val="en-US" w:eastAsia="zh-CN" w:bidi="ar"/>
              </w:rPr>
              <w:t>105.76</w:t>
            </w:r>
          </w:p>
        </w:tc>
        <w:tc>
          <w:tcPr>
            <w:tcW w:w="796" w:type="dxa"/>
            <w:noWrap w:val="0"/>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cs="Times New Roman" w:eastAsiaTheme="minorEastAsia"/>
                <w:b w:val="0"/>
                <w:bCs w:val="0"/>
                <w:color w:val="000000"/>
                <w:kern w:val="0"/>
                <w:sz w:val="15"/>
                <w:szCs w:val="15"/>
                <w:lang w:val="en-US" w:eastAsia="zh-CN" w:bidi="ar"/>
              </w:rPr>
            </w:pPr>
            <w:r>
              <w:rPr>
                <w:rFonts w:hint="eastAsia" w:ascii="Times New Roman" w:hAnsi="Times New Roman" w:cs="Times New Roman" w:eastAsiaTheme="minorEastAsia"/>
                <w:b w:val="0"/>
                <w:bCs w:val="0"/>
                <w:color w:val="000000"/>
                <w:kern w:val="0"/>
                <w:sz w:val="15"/>
                <w:szCs w:val="15"/>
                <w:lang w:val="en-US" w:eastAsia="zh-CN" w:bidi="ar"/>
              </w:rPr>
              <w:t>82.24</w:t>
            </w:r>
          </w:p>
        </w:tc>
      </w:tr>
    </w:tbl>
    <w:p>
      <w:pPr>
        <w:pStyle w:val="2"/>
        <w:rPr>
          <w:rFonts w:hint="eastAsia" w:ascii="仿宋" w:hAnsi="仿宋" w:eastAsia="仿宋" w:cs="仿宋"/>
          <w:sz w:val="15"/>
          <w:szCs w:val="15"/>
        </w:rPr>
      </w:pPr>
    </w:p>
    <w:sectPr>
      <w:footerReference r:id="rId5" w:type="default"/>
      <w:pgSz w:w="16838" w:h="11906" w:orient="landscape"/>
      <w:pgMar w:top="1213" w:right="1803" w:bottom="986" w:left="1803" w:header="851" w:footer="992"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D05DA"/>
    <w:rsid w:val="07387DDE"/>
    <w:rsid w:val="0C846FBB"/>
    <w:rsid w:val="18F85654"/>
    <w:rsid w:val="1C5F0B6A"/>
    <w:rsid w:val="23E917CA"/>
    <w:rsid w:val="29730CD5"/>
    <w:rsid w:val="2CF46870"/>
    <w:rsid w:val="308F044F"/>
    <w:rsid w:val="324B7F1A"/>
    <w:rsid w:val="356260D7"/>
    <w:rsid w:val="36733601"/>
    <w:rsid w:val="3F2706BA"/>
    <w:rsid w:val="41D520D4"/>
    <w:rsid w:val="45BF10FB"/>
    <w:rsid w:val="46F36249"/>
    <w:rsid w:val="4ABD3E27"/>
    <w:rsid w:val="4C0727D4"/>
    <w:rsid w:val="59FF1B65"/>
    <w:rsid w:val="5C446963"/>
    <w:rsid w:val="61145E4F"/>
    <w:rsid w:val="63BB594F"/>
    <w:rsid w:val="640B103F"/>
    <w:rsid w:val="656A663C"/>
    <w:rsid w:val="65B94FB0"/>
    <w:rsid w:val="6BD076F3"/>
    <w:rsid w:val="6C370E50"/>
    <w:rsid w:val="7069014C"/>
    <w:rsid w:val="72324917"/>
    <w:rsid w:val="73DB3A68"/>
    <w:rsid w:val="75DD571F"/>
    <w:rsid w:val="7AA54E63"/>
    <w:rsid w:val="F6FFE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782"/>
      <w:outlineLvl w:val="1"/>
    </w:pPr>
    <w:rPr>
      <w:rFonts w:ascii="宋体" w:hAnsi="宋体" w:eastAsia="宋体" w:cs="宋体"/>
      <w:b/>
      <w:bCs/>
      <w:sz w:val="24"/>
      <w:szCs w:val="24"/>
      <w:lang w:val="zh-CN" w:eastAsia="zh-CN" w:bidi="zh-CN"/>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3780</Words>
  <Characters>4405</Characters>
  <Paragraphs>176</Paragraphs>
  <TotalTime>12</TotalTime>
  <ScaleCrop>false</ScaleCrop>
  <LinksUpToDate>false</LinksUpToDate>
  <CharactersWithSpaces>4473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2021-06-01T08:06:00Z</dcterms:created>
  <dc:creator>七月七日晴</dc:creator>
  <cp:lastModifiedBy>guyuan</cp:lastModifiedBy>
  <cp:lastPrinted>2021-12-14T16:10:00Z</cp:lastPrinted>
  <dcterms:modified xsi:type="dcterms:W3CDTF">2021-12-16T19:45:51Z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CD5E9DFF2D554E15970F5C07E48C65C0</vt:lpwstr>
  </property>
  <property fmtid="{D5CDD505-2E9C-101B-9397-08002B2CF9AE}" pid="4" name="KSOSaveFontToCloudKey">
    <vt:lpwstr>585741432_btnclosed</vt:lpwstr>
  </property>
</Properties>
</file>