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770"/>
        </w:tabs>
        <w:kinsoku/>
        <w:wordWrap/>
        <w:overflowPunct/>
        <w:topLinePunct w:val="0"/>
        <w:autoSpaceDE w:val="0"/>
        <w:autoSpaceDN w:val="0"/>
        <w:bidi w:val="0"/>
        <w:adjustRightInd/>
        <w:snapToGrid/>
        <w:spacing w:line="42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rPr>
        <w:t>《彭阳县2019年电子商务进农村综合示范“升级版”项目</w:t>
      </w:r>
      <w:r>
        <w:rPr>
          <w:rFonts w:hint="eastAsia" w:ascii="方正小标宋简体" w:hAnsi="方正小标宋简体" w:eastAsia="方正小标宋简体" w:cs="方正小标宋简体"/>
          <w:b w:val="0"/>
          <w:bCs w:val="0"/>
          <w:sz w:val="36"/>
          <w:szCs w:val="36"/>
          <w:lang w:eastAsia="zh-CN"/>
        </w:rPr>
        <w:t>一</w:t>
      </w:r>
      <w:r>
        <w:rPr>
          <w:rFonts w:hint="eastAsia" w:ascii="方正小标宋简体" w:hAnsi="方正小标宋简体" w:eastAsia="方正小标宋简体" w:cs="方正小标宋简体"/>
          <w:b w:val="0"/>
          <w:bCs w:val="0"/>
          <w:sz w:val="36"/>
          <w:szCs w:val="36"/>
        </w:rPr>
        <w:t>标段─</w:t>
      </w:r>
      <w:r>
        <w:rPr>
          <w:rFonts w:hint="eastAsia" w:ascii="方正小标宋简体" w:hAnsi="方正小标宋简体" w:eastAsia="方正小标宋简体" w:cs="方正小标宋简体"/>
          <w:b w:val="0"/>
          <w:bCs w:val="0"/>
          <w:sz w:val="36"/>
          <w:szCs w:val="36"/>
          <w:lang w:eastAsia="zh-CN"/>
        </w:rPr>
        <w:t>县域电商综合服务</w:t>
      </w:r>
      <w:r>
        <w:rPr>
          <w:rFonts w:hint="eastAsia" w:ascii="方正小标宋简体" w:hAnsi="方正小标宋简体" w:eastAsia="方正小标宋简体" w:cs="方正小标宋简体"/>
          <w:b w:val="0"/>
          <w:bCs w:val="0"/>
          <w:sz w:val="36"/>
          <w:szCs w:val="36"/>
        </w:rPr>
        <w:t>项目》</w:t>
      </w:r>
      <w:r>
        <w:rPr>
          <w:rFonts w:hint="eastAsia" w:ascii="方正小标宋简体" w:hAnsi="方正小标宋简体" w:eastAsia="方正小标宋简体" w:cs="方正小标宋简体"/>
          <w:b w:val="0"/>
          <w:bCs w:val="0"/>
          <w:sz w:val="36"/>
          <w:szCs w:val="36"/>
          <w:lang w:val="en-US" w:eastAsia="zh-CN"/>
        </w:rPr>
        <w:t>阶段性验收进度及资金支付汇总表</w:t>
      </w:r>
    </w:p>
    <w:p>
      <w:pPr>
        <w:pStyle w:val="2"/>
        <w:keepNext w:val="0"/>
        <w:keepLines w:val="0"/>
        <w:pageBreakBefore w:val="0"/>
        <w:widowControl w:val="0"/>
        <w:kinsoku/>
        <w:wordWrap/>
        <w:overflowPunct/>
        <w:topLinePunct w:val="0"/>
        <w:autoSpaceDE w:val="0"/>
        <w:autoSpaceDN w:val="0"/>
        <w:bidi w:val="0"/>
        <w:adjustRightInd/>
        <w:snapToGrid/>
        <w:spacing w:after="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24"/>
          <w:szCs w:val="24"/>
          <w:lang w:val="en-US" w:eastAsia="zh-CN"/>
        </w:rPr>
        <w:t>承办单位：宁夏解忧电子商务有限公司彭阳分公司                              、</w:t>
      </w:r>
    </w:p>
    <w:tbl>
      <w:tblPr>
        <w:tblStyle w:val="6"/>
        <w:tblpPr w:leftFromText="180" w:rightFromText="180" w:vertAnchor="text" w:horzAnchor="page" w:tblpX="554" w:tblpY="234"/>
        <w:tblOverlap w:val="never"/>
        <w:tblW w:w="16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830"/>
        <w:gridCol w:w="600"/>
        <w:gridCol w:w="727"/>
        <w:gridCol w:w="542"/>
        <w:gridCol w:w="3658"/>
        <w:gridCol w:w="726"/>
        <w:gridCol w:w="739"/>
        <w:gridCol w:w="911"/>
        <w:gridCol w:w="716"/>
        <w:gridCol w:w="669"/>
        <w:gridCol w:w="635"/>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675" w:type="dxa"/>
            <w:vMerge w:val="restart"/>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宋体" w:cs="Times New Roman"/>
                <w:b/>
                <w:bCs w:val="0"/>
                <w:kern w:val="0"/>
                <w:sz w:val="15"/>
                <w:szCs w:val="15"/>
              </w:rPr>
            </w:pPr>
            <w:r>
              <w:rPr>
                <w:rFonts w:hint="eastAsia" w:ascii="Times New Roman" w:hAnsi="Times New Roman" w:eastAsia="宋体" w:cs="Times New Roman"/>
                <w:b/>
                <w:bCs w:val="0"/>
                <w:kern w:val="0"/>
                <w:sz w:val="15"/>
                <w:szCs w:val="15"/>
                <w:lang w:eastAsia="zh-CN"/>
              </w:rPr>
              <w:t>项目名称</w:t>
            </w:r>
          </w:p>
        </w:tc>
        <w:tc>
          <w:tcPr>
            <w:tcW w:w="5430" w:type="dxa"/>
            <w:gridSpan w:val="2"/>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val="en-US" w:eastAsia="zh-CN" w:bidi="ar-SA"/>
              </w:rPr>
            </w:pPr>
            <w:r>
              <w:rPr>
                <w:rFonts w:hint="default" w:ascii="Times New Roman" w:hAnsi="Times New Roman" w:eastAsia="宋体" w:cs="Times New Roman"/>
                <w:b/>
                <w:bCs w:val="0"/>
                <w:kern w:val="0"/>
                <w:sz w:val="15"/>
                <w:szCs w:val="15"/>
                <w:lang w:eastAsia="zh-CN"/>
              </w:rPr>
              <w:t>招标</w:t>
            </w:r>
            <w:r>
              <w:rPr>
                <w:rFonts w:hint="default" w:ascii="Times New Roman" w:hAnsi="Times New Roman" w:eastAsia="宋体" w:cs="Times New Roman"/>
                <w:b/>
                <w:bCs w:val="0"/>
                <w:kern w:val="0"/>
                <w:sz w:val="15"/>
                <w:szCs w:val="15"/>
              </w:rPr>
              <w:t>服务内容及</w:t>
            </w:r>
            <w:r>
              <w:rPr>
                <w:rFonts w:hint="default" w:ascii="Times New Roman" w:hAnsi="Times New Roman" w:eastAsia="宋体" w:cs="Times New Roman"/>
                <w:b/>
                <w:bCs w:val="0"/>
                <w:kern w:val="0"/>
                <w:sz w:val="15"/>
                <w:szCs w:val="15"/>
                <w:lang w:eastAsia="zh-CN"/>
              </w:rPr>
              <w:t>中标价（万元）</w:t>
            </w:r>
          </w:p>
        </w:tc>
        <w:tc>
          <w:tcPr>
            <w:tcW w:w="1269" w:type="dxa"/>
            <w:gridSpan w:val="2"/>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bCs w:val="0"/>
                <w:kern w:val="0"/>
                <w:sz w:val="15"/>
                <w:szCs w:val="15"/>
                <w:lang w:eastAsia="zh-CN"/>
              </w:rPr>
            </w:pPr>
            <w:r>
              <w:rPr>
                <w:rFonts w:hint="eastAsia" w:ascii="Times New Roman" w:hAnsi="Times New Roman" w:eastAsia="宋体" w:cs="Times New Roman"/>
                <w:b/>
                <w:kern w:val="0"/>
                <w:sz w:val="15"/>
                <w:szCs w:val="15"/>
                <w:lang w:val="en-US" w:eastAsia="zh-CN"/>
              </w:rPr>
              <w:t>已验收支付金额</w:t>
            </w:r>
          </w:p>
        </w:tc>
        <w:tc>
          <w:tcPr>
            <w:tcW w:w="5123" w:type="dxa"/>
            <w:gridSpan w:val="3"/>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bCs w:val="0"/>
                <w:kern w:val="0"/>
                <w:sz w:val="15"/>
                <w:szCs w:val="15"/>
                <w:lang w:val="en-US" w:eastAsia="zh-CN"/>
              </w:rPr>
            </w:pPr>
            <w:r>
              <w:rPr>
                <w:rFonts w:hint="default" w:ascii="Times New Roman" w:hAnsi="Times New Roman" w:eastAsia="宋体" w:cs="Times New Roman"/>
                <w:b/>
                <w:bCs w:val="0"/>
                <w:kern w:val="0"/>
                <w:sz w:val="15"/>
                <w:szCs w:val="15"/>
                <w:lang w:eastAsia="zh-CN"/>
              </w:rPr>
              <w:t>本次阶段性验收</w:t>
            </w:r>
            <w:r>
              <w:rPr>
                <w:rFonts w:hint="eastAsia" w:ascii="Times New Roman" w:hAnsi="Times New Roman" w:eastAsia="宋体" w:cs="Times New Roman"/>
                <w:b/>
                <w:bCs w:val="0"/>
                <w:kern w:val="0"/>
                <w:sz w:val="15"/>
                <w:szCs w:val="15"/>
                <w:lang w:eastAsia="zh-CN"/>
              </w:rPr>
              <w:t>通过</w:t>
            </w:r>
            <w:r>
              <w:rPr>
                <w:rFonts w:hint="default" w:ascii="Times New Roman" w:hAnsi="Times New Roman" w:eastAsia="宋体" w:cs="Times New Roman"/>
                <w:b/>
                <w:bCs w:val="0"/>
                <w:kern w:val="0"/>
                <w:sz w:val="15"/>
                <w:szCs w:val="15"/>
                <w:lang w:eastAsia="zh-CN"/>
              </w:rPr>
              <w:t>内容及</w:t>
            </w:r>
            <w:r>
              <w:rPr>
                <w:rFonts w:hint="eastAsia" w:ascii="Times New Roman" w:hAnsi="Times New Roman" w:eastAsia="宋体" w:cs="Times New Roman"/>
                <w:b/>
                <w:bCs w:val="0"/>
                <w:kern w:val="0"/>
                <w:sz w:val="15"/>
                <w:szCs w:val="15"/>
                <w:lang w:eastAsia="zh-CN"/>
              </w:rPr>
              <w:t>申请验收</w:t>
            </w:r>
            <w:r>
              <w:rPr>
                <w:rFonts w:hint="default" w:ascii="Times New Roman" w:hAnsi="Times New Roman" w:eastAsia="宋体" w:cs="Times New Roman"/>
                <w:b/>
                <w:bCs w:val="0"/>
                <w:kern w:val="0"/>
                <w:sz w:val="15"/>
                <w:szCs w:val="15"/>
                <w:lang w:eastAsia="zh-CN"/>
              </w:rPr>
              <w:t>金额（万元）</w:t>
            </w:r>
          </w:p>
        </w:tc>
        <w:tc>
          <w:tcPr>
            <w:tcW w:w="2296" w:type="dxa"/>
            <w:gridSpan w:val="3"/>
            <w:vAlign w:val="center"/>
          </w:tcPr>
          <w:p>
            <w:pPr>
              <w:tabs>
                <w:tab w:val="left" w:pos="7770"/>
              </w:tabs>
              <w:spacing w:line="240" w:lineRule="auto"/>
              <w:jc w:val="center"/>
              <w:rPr>
                <w:rFonts w:hint="default" w:ascii="Times New Roman" w:hAnsi="Times New Roman" w:eastAsia="宋体" w:cs="Times New Roman"/>
                <w:b/>
                <w:bCs w:val="0"/>
                <w:kern w:val="0"/>
                <w:sz w:val="15"/>
                <w:szCs w:val="15"/>
                <w:lang w:val="en-US" w:eastAsia="zh-CN"/>
              </w:rPr>
            </w:pPr>
            <w:r>
              <w:rPr>
                <w:rFonts w:hint="default" w:ascii="Times New Roman" w:hAnsi="Times New Roman" w:eastAsia="宋体" w:cs="Times New Roman"/>
                <w:b/>
                <w:bCs w:val="0"/>
                <w:kern w:val="0"/>
                <w:sz w:val="15"/>
                <w:szCs w:val="15"/>
                <w:lang w:val="en-US" w:eastAsia="zh-CN"/>
              </w:rPr>
              <w:t>总验收进度</w:t>
            </w:r>
            <w:r>
              <w:rPr>
                <w:rFonts w:hint="default" w:ascii="Times New Roman" w:hAnsi="Times New Roman" w:eastAsia="宋体" w:cs="Times New Roman"/>
                <w:b/>
                <w:bCs w:val="0"/>
                <w:kern w:val="0"/>
                <w:sz w:val="15"/>
                <w:szCs w:val="15"/>
                <w:lang w:eastAsia="zh-CN"/>
              </w:rPr>
              <w:t>（万元）</w:t>
            </w:r>
          </w:p>
        </w:tc>
        <w:tc>
          <w:tcPr>
            <w:tcW w:w="635" w:type="dxa"/>
            <w:vMerge w:val="restart"/>
            <w:vAlign w:val="center"/>
          </w:tcPr>
          <w:p>
            <w:pPr>
              <w:spacing w:line="240" w:lineRule="auto"/>
              <w:jc w:val="both"/>
              <w:rPr>
                <w:rFonts w:hint="default" w:ascii="Times New Roman" w:hAnsi="Times New Roman" w:eastAsia="宋体" w:cs="Times New Roman"/>
                <w:b/>
                <w:bCs w:val="0"/>
                <w:kern w:val="0"/>
                <w:sz w:val="15"/>
                <w:szCs w:val="15"/>
                <w:lang w:val="en-US" w:eastAsia="zh-CN"/>
              </w:rPr>
            </w:pPr>
            <w:r>
              <w:rPr>
                <w:rFonts w:hint="eastAsia" w:ascii="Times New Roman" w:hAnsi="Times New Roman" w:cs="Times New Roman"/>
                <w:b/>
                <w:bCs w:val="0"/>
                <w:kern w:val="0"/>
                <w:sz w:val="15"/>
                <w:szCs w:val="15"/>
                <w:lang w:val="en-US" w:eastAsia="zh-CN"/>
              </w:rPr>
              <w:t>本次支付金额</w:t>
            </w:r>
          </w:p>
        </w:tc>
        <w:tc>
          <w:tcPr>
            <w:tcW w:w="634" w:type="dxa"/>
            <w:vMerge w:val="restart"/>
            <w:vAlign w:val="center"/>
          </w:tcPr>
          <w:p>
            <w:pPr>
              <w:tabs>
                <w:tab w:val="left" w:pos="7770"/>
              </w:tabs>
              <w:spacing w:line="240" w:lineRule="auto"/>
              <w:jc w:val="both"/>
              <w:rPr>
                <w:rFonts w:hint="default" w:ascii="Times New Roman" w:hAnsi="Times New Roman" w:eastAsia="宋体" w:cs="Times New Roman"/>
                <w:b/>
                <w:bCs w:val="0"/>
                <w:kern w:val="0"/>
                <w:sz w:val="15"/>
                <w:szCs w:val="15"/>
                <w:lang w:val="en-US" w:eastAsia="zh-CN"/>
              </w:rPr>
            </w:pPr>
            <w:r>
              <w:rPr>
                <w:rFonts w:hint="default" w:ascii="Times New Roman" w:hAnsi="Times New Roman" w:eastAsia="宋体" w:cs="Times New Roman"/>
                <w:b/>
                <w:bCs w:val="0"/>
                <w:kern w:val="0"/>
                <w:sz w:val="15"/>
                <w:szCs w:val="15"/>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675" w:type="dxa"/>
            <w:vMerge w:val="continue"/>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宋体" w:cs="Times New Roman"/>
                <w:b/>
                <w:kern w:val="0"/>
                <w:sz w:val="15"/>
                <w:szCs w:val="15"/>
                <w:lang w:eastAsia="zh-CN"/>
              </w:rPr>
            </w:pPr>
          </w:p>
        </w:tc>
        <w:tc>
          <w:tcPr>
            <w:tcW w:w="4830"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宋体" w:cs="Times New Roman"/>
                <w:b/>
                <w:kern w:val="0"/>
                <w:sz w:val="15"/>
                <w:szCs w:val="15"/>
              </w:rPr>
            </w:pPr>
            <w:r>
              <w:rPr>
                <w:rFonts w:hint="default" w:ascii="Times New Roman" w:hAnsi="Times New Roman" w:eastAsia="宋体" w:cs="Times New Roman"/>
                <w:b/>
                <w:bCs w:val="0"/>
                <w:kern w:val="0"/>
                <w:sz w:val="15"/>
                <w:szCs w:val="15"/>
              </w:rPr>
              <w:t>服务内容</w:t>
            </w:r>
          </w:p>
        </w:tc>
        <w:tc>
          <w:tcPr>
            <w:tcW w:w="600"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宋体" w:cs="Times New Roman"/>
                <w:b/>
                <w:kern w:val="0"/>
                <w:sz w:val="15"/>
                <w:szCs w:val="15"/>
                <w:lang w:val="en-US" w:eastAsia="zh-CN" w:bidi="ar-SA"/>
              </w:rPr>
            </w:pPr>
            <w:r>
              <w:rPr>
                <w:rFonts w:hint="eastAsia" w:ascii="Times New Roman" w:hAnsi="Times New Roman" w:eastAsia="宋体" w:cs="Times New Roman"/>
                <w:b/>
                <w:bCs w:val="0"/>
                <w:kern w:val="0"/>
                <w:sz w:val="15"/>
                <w:szCs w:val="15"/>
                <w:lang w:eastAsia="zh-CN"/>
              </w:rPr>
              <w:t>中标</w:t>
            </w:r>
            <w:r>
              <w:rPr>
                <w:rFonts w:hint="default" w:ascii="Times New Roman" w:hAnsi="Times New Roman" w:eastAsia="宋体" w:cs="Times New Roman"/>
                <w:b/>
                <w:bCs w:val="0"/>
                <w:kern w:val="0"/>
                <w:sz w:val="15"/>
                <w:szCs w:val="15"/>
                <w:lang w:eastAsia="zh-CN"/>
              </w:rPr>
              <w:t>金额</w:t>
            </w:r>
          </w:p>
        </w:tc>
        <w:tc>
          <w:tcPr>
            <w:tcW w:w="727"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eastAsia="zh-CN"/>
              </w:rPr>
            </w:pPr>
            <w:r>
              <w:rPr>
                <w:rFonts w:hint="eastAsia" w:ascii="Times New Roman" w:hAnsi="Times New Roman" w:eastAsia="宋体" w:cs="Times New Roman"/>
                <w:b/>
                <w:kern w:val="0"/>
                <w:sz w:val="15"/>
                <w:szCs w:val="15"/>
                <w:lang w:val="en-US" w:eastAsia="zh-CN"/>
              </w:rPr>
              <w:t>已验收金额</w:t>
            </w:r>
          </w:p>
        </w:tc>
        <w:tc>
          <w:tcPr>
            <w:tcW w:w="542"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eastAsia="zh-CN"/>
              </w:rPr>
            </w:pPr>
            <w:r>
              <w:rPr>
                <w:rFonts w:hint="default" w:ascii="Times New Roman" w:hAnsi="Times New Roman" w:eastAsia="宋体" w:cs="Times New Roman"/>
                <w:b/>
                <w:kern w:val="0"/>
                <w:sz w:val="15"/>
                <w:szCs w:val="15"/>
                <w:lang w:eastAsia="zh-CN"/>
              </w:rPr>
              <w:t>已拨</w:t>
            </w:r>
            <w:r>
              <w:rPr>
                <w:rFonts w:hint="eastAsia" w:ascii="Times New Roman" w:hAnsi="Times New Roman" w:eastAsia="宋体" w:cs="Times New Roman"/>
                <w:b/>
                <w:kern w:val="0"/>
                <w:sz w:val="15"/>
                <w:szCs w:val="15"/>
                <w:lang w:eastAsia="zh-CN"/>
              </w:rPr>
              <w:t>资金</w:t>
            </w:r>
          </w:p>
        </w:tc>
        <w:tc>
          <w:tcPr>
            <w:tcW w:w="3658"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eastAsia="zh-CN"/>
              </w:rPr>
            </w:pPr>
            <w:r>
              <w:rPr>
                <w:rFonts w:hint="default" w:ascii="Times New Roman" w:hAnsi="Times New Roman" w:eastAsia="宋体" w:cs="Times New Roman"/>
                <w:b/>
                <w:kern w:val="0"/>
                <w:sz w:val="15"/>
                <w:szCs w:val="15"/>
                <w:lang w:eastAsia="zh-CN"/>
              </w:rPr>
              <w:t>内容</w:t>
            </w:r>
          </w:p>
        </w:tc>
        <w:tc>
          <w:tcPr>
            <w:tcW w:w="726"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eastAsia="zh-CN"/>
              </w:rPr>
            </w:pPr>
            <w:r>
              <w:rPr>
                <w:rFonts w:hint="eastAsia" w:ascii="Times New Roman" w:hAnsi="Times New Roman" w:eastAsia="宋体" w:cs="Times New Roman"/>
                <w:b/>
                <w:kern w:val="0"/>
                <w:sz w:val="15"/>
                <w:szCs w:val="15"/>
                <w:lang w:eastAsia="zh-CN"/>
              </w:rPr>
              <w:t>本次申请金额</w:t>
            </w:r>
          </w:p>
        </w:tc>
        <w:tc>
          <w:tcPr>
            <w:tcW w:w="739"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eastAsia" w:ascii="Times New Roman" w:hAnsi="Times New Roman" w:eastAsia="宋体" w:cs="Times New Roman"/>
                <w:b/>
                <w:kern w:val="0"/>
                <w:sz w:val="15"/>
                <w:szCs w:val="15"/>
                <w:lang w:val="en-US" w:eastAsia="zh-CN"/>
              </w:rPr>
            </w:pPr>
            <w:r>
              <w:rPr>
                <w:rFonts w:hint="default" w:ascii="Times New Roman" w:hAnsi="Times New Roman" w:eastAsia="宋体" w:cs="Times New Roman"/>
                <w:b/>
                <w:kern w:val="0"/>
                <w:sz w:val="15"/>
                <w:szCs w:val="15"/>
                <w:lang w:eastAsia="zh-CN"/>
              </w:rPr>
              <w:t>验收通过金额</w:t>
            </w:r>
          </w:p>
        </w:tc>
        <w:tc>
          <w:tcPr>
            <w:tcW w:w="911"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eastAsia="zh-CN"/>
              </w:rPr>
            </w:pPr>
            <w:r>
              <w:rPr>
                <w:rFonts w:hint="default" w:ascii="Times New Roman" w:hAnsi="Times New Roman" w:eastAsia="宋体" w:cs="Times New Roman"/>
                <w:b/>
                <w:kern w:val="0"/>
                <w:sz w:val="15"/>
                <w:szCs w:val="15"/>
                <w:lang w:eastAsia="zh-CN"/>
              </w:rPr>
              <w:t>本次</w:t>
            </w:r>
            <w:r>
              <w:rPr>
                <w:rFonts w:hint="eastAsia" w:ascii="Times New Roman" w:hAnsi="Times New Roman" w:eastAsia="宋体" w:cs="Times New Roman"/>
                <w:b/>
                <w:kern w:val="0"/>
                <w:sz w:val="15"/>
                <w:szCs w:val="15"/>
                <w:lang w:eastAsia="zh-CN"/>
              </w:rPr>
              <w:t>验收后总金额</w:t>
            </w:r>
          </w:p>
        </w:tc>
        <w:tc>
          <w:tcPr>
            <w:tcW w:w="716"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eastAsia="zh-CN"/>
              </w:rPr>
            </w:pPr>
            <w:r>
              <w:rPr>
                <w:rFonts w:hint="eastAsia" w:ascii="Times New Roman" w:hAnsi="Times New Roman" w:eastAsia="宋体" w:cs="Times New Roman"/>
                <w:b/>
                <w:kern w:val="0"/>
                <w:sz w:val="15"/>
                <w:szCs w:val="15"/>
                <w:lang w:eastAsia="zh-CN"/>
              </w:rPr>
              <w:t>完成总</w:t>
            </w:r>
            <w:r>
              <w:rPr>
                <w:rFonts w:hint="default" w:ascii="Times New Roman" w:hAnsi="Times New Roman" w:eastAsia="宋体" w:cs="Times New Roman"/>
                <w:b/>
                <w:kern w:val="0"/>
                <w:sz w:val="15"/>
                <w:szCs w:val="15"/>
                <w:lang w:eastAsia="zh-CN"/>
              </w:rPr>
              <w:t>进度</w:t>
            </w:r>
          </w:p>
        </w:tc>
        <w:tc>
          <w:tcPr>
            <w:tcW w:w="669" w:type="dxa"/>
            <w:vAlign w:val="center"/>
          </w:tcPr>
          <w:p>
            <w:pPr>
              <w:tabs>
                <w:tab w:val="left" w:pos="7770"/>
              </w:tabs>
              <w:spacing w:line="240" w:lineRule="auto"/>
              <w:jc w:val="center"/>
              <w:rPr>
                <w:rFonts w:hint="default" w:ascii="Times New Roman" w:hAnsi="Times New Roman" w:eastAsia="宋体" w:cs="Times New Roman"/>
                <w:b/>
                <w:kern w:val="0"/>
                <w:sz w:val="15"/>
                <w:szCs w:val="15"/>
                <w:lang w:eastAsia="zh-CN"/>
              </w:rPr>
            </w:pPr>
            <w:r>
              <w:rPr>
                <w:rFonts w:hint="eastAsia" w:ascii="Times New Roman" w:hAnsi="Times New Roman" w:eastAsia="宋体" w:cs="Times New Roman"/>
                <w:b/>
                <w:kern w:val="0"/>
                <w:sz w:val="15"/>
                <w:szCs w:val="15"/>
                <w:lang w:eastAsia="zh-CN"/>
              </w:rPr>
              <w:t>未验收金额</w:t>
            </w:r>
          </w:p>
        </w:tc>
        <w:tc>
          <w:tcPr>
            <w:tcW w:w="635" w:type="dxa"/>
            <w:vMerge w:val="continue"/>
            <w:vAlign w:val="center"/>
          </w:tcPr>
          <w:p>
            <w:pPr>
              <w:tabs>
                <w:tab w:val="left" w:pos="7770"/>
              </w:tabs>
              <w:spacing w:line="240" w:lineRule="auto"/>
              <w:jc w:val="both"/>
              <w:rPr>
                <w:rFonts w:hint="default" w:ascii="Times New Roman" w:hAnsi="Times New Roman" w:eastAsia="宋体" w:cs="Times New Roman"/>
                <w:b/>
                <w:kern w:val="0"/>
                <w:sz w:val="15"/>
                <w:szCs w:val="15"/>
                <w:lang w:eastAsia="zh-CN"/>
              </w:rPr>
            </w:pPr>
          </w:p>
        </w:tc>
        <w:tc>
          <w:tcPr>
            <w:tcW w:w="634" w:type="dxa"/>
            <w:vMerge w:val="continue"/>
            <w:vAlign w:val="center"/>
          </w:tcPr>
          <w:p>
            <w:pPr>
              <w:tabs>
                <w:tab w:val="left" w:pos="7770"/>
              </w:tabs>
              <w:spacing w:line="240" w:lineRule="auto"/>
              <w:jc w:val="both"/>
              <w:rPr>
                <w:rFonts w:hint="default" w:ascii="Times New Roman" w:hAnsi="Times New Roman" w:eastAsia="宋体" w:cs="Times New Roman"/>
                <w:b/>
                <w:kern w:val="0"/>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kern w:val="0"/>
                <w:sz w:val="15"/>
                <w:szCs w:val="15"/>
                <w:lang w:eastAsia="zh-CN"/>
              </w:rPr>
            </w:pPr>
            <w:r>
              <w:rPr>
                <w:rFonts w:hint="default" w:ascii="Times New Roman" w:hAnsi="Times New Roman" w:eastAsia="仿宋" w:cs="Times New Roman"/>
                <w:color w:val="000000"/>
                <w:kern w:val="0"/>
                <w:sz w:val="15"/>
                <w:szCs w:val="15"/>
                <w:lang w:val="en-US" w:eastAsia="zh-CN"/>
              </w:rPr>
              <w:t>冷链物流建设</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bidi="zh-CN"/>
              </w:rPr>
            </w:pPr>
            <w:r>
              <w:rPr>
                <w:rFonts w:hint="default" w:ascii="Times New Roman" w:hAnsi="Times New Roman" w:eastAsia="仿宋" w:cs="Times New Roman"/>
                <w:color w:val="000000"/>
                <w:kern w:val="0"/>
                <w:sz w:val="15"/>
                <w:szCs w:val="15"/>
                <w:lang w:val="en-US" w:eastAsia="zh-CN"/>
              </w:rPr>
              <w:t>1.支持龙头企业、合作社、电商服务站等各类经营主体在蔬菜、瓜果、中药材、 小杂粮、草畜产业等建设鲜活农产品冷链设施和田头市场，借助电商手段转型 升级，完善产、供、销全链条服务。 根据地理位置、产业条件、电商基础等因素依托电商服务站等地选址建设 20 ㎡保鲜冷库 5 座。2.对现有产业化龙头企业进行改造升级，集中资源培育1家现代冷链物流配送 中心。新建预冷库500m³，对本地农特产品进行保鲜预冷。其中保鲜库 440 ㎡，制冷库60㎡。</w:t>
            </w:r>
            <w:r>
              <w:rPr>
                <w:rFonts w:hint="default" w:ascii="Times New Roman" w:hAnsi="Times New Roman" w:eastAsia="仿宋" w:cs="Times New Roman"/>
                <w:kern w:val="0"/>
                <w:sz w:val="15"/>
                <w:szCs w:val="15"/>
                <w:lang w:val="en-US" w:eastAsia="zh-CN" w:bidi="zh-CN"/>
              </w:rPr>
              <w:t>3、购置 5 吨冷藏车、10吨冷藏车各一台，保证农产品从产地新鲜直达县城和全国各地。 (本项目按裸车价 50%对服务商予以补贴)</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989000.00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000000"/>
                <w:kern w:val="0"/>
                <w:sz w:val="15"/>
                <w:szCs w:val="15"/>
                <w:lang w:val="en-US" w:eastAsia="zh-CN"/>
              </w:rPr>
            </w:pPr>
            <w:r>
              <w:rPr>
                <w:rFonts w:hint="default" w:ascii="Times New Roman" w:hAnsi="Times New Roman" w:eastAsia="仿宋" w:cs="Times New Roman"/>
                <w:b w:val="0"/>
                <w:bCs/>
                <w:kern w:val="0"/>
                <w:sz w:val="15"/>
                <w:szCs w:val="15"/>
                <w:lang w:val="en-US" w:eastAsia="zh-CN"/>
              </w:rPr>
              <w:t>701968.00</w:t>
            </w:r>
          </w:p>
        </w:tc>
        <w:tc>
          <w:tcPr>
            <w:tcW w:w="542" w:type="dxa"/>
            <w:vMerge w:val="restart"/>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b w:val="0"/>
                <w:bCs w:val="0"/>
                <w:color w:val="000000"/>
                <w:kern w:val="0"/>
                <w:sz w:val="15"/>
                <w:szCs w:val="15"/>
                <w:lang w:val="en-US" w:eastAsia="zh-CN"/>
              </w:rPr>
            </w:pPr>
            <w:r>
              <w:rPr>
                <w:rFonts w:hint="default" w:ascii="Times New Roman" w:hAnsi="Times New Roman" w:eastAsia="仿宋" w:cs="Times New Roman"/>
                <w:kern w:val="0"/>
                <w:sz w:val="15"/>
                <w:szCs w:val="15"/>
                <w:lang w:val="en-US" w:eastAsia="zh-CN"/>
              </w:rPr>
              <w:t>6480300.0</w:t>
            </w:r>
          </w:p>
        </w:tc>
        <w:tc>
          <w:tcPr>
            <w:tcW w:w="3658"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000000" w:themeColor="text1"/>
                <w:kern w:val="0"/>
                <w:sz w:val="15"/>
                <w:szCs w:val="15"/>
                <w:lang w:val="en-US" w:eastAsia="zh-CN"/>
                <w14:textFill>
                  <w14:solidFill>
                    <w14:schemeClr w14:val="tx1"/>
                  </w14:solidFill>
                </w14:textFill>
              </w:rPr>
              <w:t>支持宁夏东昂农业科技有限公司采购5吨冷藏车、10吨冷藏车各一辆。（车辆共计392000元，共补贴196000，已兑现补贴137200元，本次兑现58800元）支持宁夏东昂农业科技有限公司新建预冷库576m³（冷库投资501306元，项目补贴228232元）共计补贴287032元。</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sz w:val="15"/>
                <w:szCs w:val="15"/>
                <w:lang w:val="en-US" w:eastAsia="zh-CN"/>
              </w:rPr>
              <w:t>287032.00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sz w:val="15"/>
                <w:szCs w:val="15"/>
                <w:lang w:val="en-US" w:eastAsia="zh-CN"/>
              </w:rPr>
              <w:t>287032.00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cs="Times New Roman"/>
                <w:highlight w:val="none"/>
                <w:lang w:val="en-US" w:eastAsia="zh-CN"/>
              </w:rPr>
            </w:pPr>
            <w:r>
              <w:rPr>
                <w:rFonts w:hint="default" w:ascii="Times New Roman" w:hAnsi="Times New Roman" w:eastAsia="仿宋" w:cs="Times New Roman"/>
                <w:sz w:val="15"/>
                <w:szCs w:val="15"/>
                <w:highlight w:val="none"/>
                <w:lang w:val="en-US" w:eastAsia="zh-CN"/>
              </w:rPr>
              <w:t>989000.00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100%</w:t>
            </w:r>
          </w:p>
        </w:tc>
        <w:tc>
          <w:tcPr>
            <w:tcW w:w="669"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both"/>
              <w:textAlignment w:val="auto"/>
              <w:outlineLvl w:val="9"/>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0.00</w:t>
            </w:r>
          </w:p>
        </w:tc>
        <w:tc>
          <w:tcPr>
            <w:tcW w:w="63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outlineLvl w:val="9"/>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987758.30</w:t>
            </w:r>
          </w:p>
        </w:tc>
        <w:tc>
          <w:tcPr>
            <w:tcW w:w="634"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both"/>
              <w:textAlignment w:val="auto"/>
              <w:outlineLvl w:val="9"/>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县域网货共享车间建设</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bCs/>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1.共享车间：在县域内选取合适的场地（不少于 800 ㎡），建设彭阳县农产品网货共享中心（含农副产品、乡村旅游等特色产品及服务等）分级、包装、预冷等初加工和商品化预处理集散中心，分设网货研发中心、检测中心、分拣中心、预冷中心、包装中心等，配备冷库、流水线、分拣打包设备等。2.共享加工车间：室内、外提升改造、给排水系统、电路系统、通风系统、环保系统、室外大字、蔬菜分级分拣线 1 套、水果分级分拣线 1 条、菌类分级分拣线1条、打包机9台、封口机9台、真空包装机3台、电子秤9台、打码机3台。消毒更衣间装置1套、货架30组。冷库60 ㎡。县域农产品认证认可提升3项。3.网货设计中心：办公电脑3台、美工专用电脑2台、笔记本电脑1台、彩色墨仓式激光打印机1台、黑白激光一体机3台、办公桌椅6套、会议桌椅1套、摄影室1间、单反照相机1台、投影仪幕布1套、货架6组、立式冷柜2组、千兆路由器1台、千兆交换机1台、无线 AP 2台、网络综合布线点6个、机柜3台。</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2990000.00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sz w:val="15"/>
                <w:szCs w:val="15"/>
                <w:lang w:val="en-US" w:eastAsia="zh-CN"/>
              </w:rPr>
              <w:t>2922166.00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000000" w:themeColor="text1"/>
                <w:kern w:val="0"/>
                <w:sz w:val="15"/>
                <w:szCs w:val="15"/>
                <w:lang w:val="en-US" w:eastAsia="zh-CN"/>
                <w14:textFill>
                  <w14:solidFill>
                    <w14:schemeClr w14:val="tx1"/>
                  </w14:solidFill>
                </w14:textFill>
              </w:rPr>
              <w:t>2021年车间运营费用（交付房租72740元。暖气费8599.0元。）</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sz w:val="15"/>
                <w:szCs w:val="15"/>
                <w:lang w:val="en-US" w:eastAsia="zh-CN"/>
              </w:rPr>
              <w:t>67834.00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sz w:val="15"/>
                <w:szCs w:val="15"/>
                <w:lang w:val="en-US" w:eastAsia="zh-CN"/>
              </w:rPr>
              <w:t>67834.00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b w:val="0"/>
                <w:bCs w:val="0"/>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2990000.00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打造彭阳农产品线上线下电商节</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以“红梅杏、生态鸡、黄芪”等特色农产品为基础，通过开展宣传推广、提前预热、开园活动、基地采摘、网红直播、销售竞赛、组团展销等一系列活动，打造本地农产品电商节，拓宽农产品销售渠道，提高市场知名度。</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kern w:val="0"/>
                <w:sz w:val="15"/>
                <w:szCs w:val="15"/>
                <w:lang w:val="en-US" w:eastAsia="zh-CN"/>
              </w:rPr>
            </w:pPr>
            <w:r>
              <w:rPr>
                <w:rFonts w:hint="default" w:ascii="Times New Roman" w:hAnsi="Times New Roman" w:eastAsia="仿宋" w:cs="Times New Roman"/>
                <w:b w:val="0"/>
                <w:bCs w:val="0"/>
                <w:kern w:val="0"/>
                <w:sz w:val="15"/>
                <w:szCs w:val="15"/>
                <w:lang w:val="en-US" w:eastAsia="zh-CN"/>
              </w:rPr>
              <w:t>374600.00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sz w:val="15"/>
                <w:szCs w:val="15"/>
                <w:lang w:val="en-US" w:eastAsia="zh-CN"/>
              </w:rPr>
              <w:t>187300.00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highlight w:val="none"/>
                <w:lang w:val="en-US" w:eastAsia="zh-CN"/>
              </w:rPr>
              <w:t>举办“消费帮扶·乡味彭阳”彭阳县首届线上美食大赛活动，组织彭阳县各电商企业与本地餐馆结对，用本土农特产品制作彭阳味道特色美食。活动实施费用30000元。</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sz w:val="15"/>
                <w:szCs w:val="15"/>
                <w:lang w:val="en-US" w:eastAsia="zh-CN"/>
              </w:rPr>
              <w:t>30000.00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30000.00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217300.00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58%</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157300.0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8"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培育县域农村电商生态体系</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bCs/>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支持当地骨干农产品生产企业、产业化龙头企业、农民合作社等，围绕彭阳红梅杏、生态鸡、小杂粮、冷凉蔬菜、中药材、胡麻油、果脯、黄酒、食用菌等彭阳特色产品，以品牌打造、包装设计、网络营销为主题，开展各类电商创新创业大赛；发现、培育、壮大 10 家明星电商企业和 3个名优电商产品。积极引导大型企业参与我县农村电子商务，取长补短，合作共赢，完善全县农村电商生态体系。支持小微电商企业开展社群营销，大力推动农产品进城市、进社区。</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595000.00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000000"/>
                <w:kern w:val="0"/>
                <w:sz w:val="15"/>
                <w:szCs w:val="15"/>
                <w:lang w:val="en-US" w:eastAsia="zh-CN"/>
              </w:rPr>
              <w:t>400000.00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color w:val="auto"/>
                <w:kern w:val="0"/>
                <w:sz w:val="15"/>
                <w:szCs w:val="15"/>
                <w:highlight w:val="none"/>
                <w:lang w:val="en-US" w:eastAsia="zh-CN" w:bidi="ar"/>
              </w:rPr>
            </w:pPr>
            <w:r>
              <w:rPr>
                <w:rFonts w:hint="default" w:ascii="Times New Roman" w:hAnsi="Times New Roman" w:eastAsia="仿宋" w:cs="Times New Roman"/>
                <w:color w:val="000000"/>
                <w:kern w:val="0"/>
                <w:sz w:val="15"/>
                <w:szCs w:val="15"/>
                <w:highlight w:val="none"/>
                <w:lang w:val="en-US" w:eastAsia="zh-CN" w:bidi="ar"/>
              </w:rPr>
              <w:t>1.对宁夏顺盈商贸有限公司、宁夏宁硕实业科技有限责任公司潜在用户进行定位，继续为其做好后续服务，发掘品牌内涵，做好品牌定义，支持帮助宁夏顺盈商贸有限公司设计产品包装2款，标签1款；宁夏宁硕实业科技有限责任公司设计亚麻籽油标签2款、胡麻油标签1款。指导企业开通上架拼多多店鋪，为两家企业拍摄短视频各2条进行宣传。</w:t>
            </w:r>
            <w:r>
              <w:rPr>
                <w:rFonts w:hint="default" w:ascii="Times New Roman" w:hAnsi="Times New Roman" w:eastAsia="仿宋" w:cs="Times New Roman"/>
                <w:color w:val="auto"/>
                <w:kern w:val="0"/>
                <w:sz w:val="15"/>
                <w:szCs w:val="15"/>
                <w:highlight w:val="none"/>
                <w:lang w:val="en-US" w:eastAsia="zh-CN" w:bidi="ar"/>
              </w:rPr>
              <w:t>包装</w:t>
            </w:r>
            <w:bookmarkStart w:id="0" w:name="_GoBack"/>
            <w:bookmarkEnd w:id="0"/>
            <w:r>
              <w:rPr>
                <w:rFonts w:hint="default" w:ascii="Times New Roman" w:hAnsi="Times New Roman" w:eastAsia="仿宋" w:cs="Times New Roman"/>
                <w:color w:val="auto"/>
                <w:kern w:val="0"/>
                <w:sz w:val="15"/>
                <w:szCs w:val="15"/>
                <w:highlight w:val="none"/>
                <w:lang w:val="en-US" w:eastAsia="zh-CN" w:bidi="ar"/>
              </w:rPr>
              <w:t>、标签设计、店铺运营服务费等共计30000万元。</w:t>
            </w:r>
          </w:p>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000000"/>
                <w:kern w:val="0"/>
                <w:sz w:val="15"/>
                <w:szCs w:val="15"/>
                <w:highlight w:val="none"/>
                <w:lang w:val="en-US" w:eastAsia="zh-CN" w:bidi="ar"/>
              </w:rPr>
              <w:t>2.为宁夏顺盈商贸有限公司五孔窑食醋、宁夏宁硕实业科技有限公司茹河源胡麻油、彭阳县孟塬小石沟农业发展有限公司张杂谷申报中国名牌产品战略优质委员会和中国品牌调查中心的中国名优产品认证。认证费用共计70000元。</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kern w:val="0"/>
                <w:sz w:val="15"/>
                <w:szCs w:val="15"/>
                <w:lang w:val="en-US" w:eastAsia="zh-CN"/>
              </w:rPr>
              <w:t>100000.00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100000.00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500000.00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84%</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95000.00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b/>
                <w:bCs/>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打造县域公共品牌集群</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对全县开展的农产品电商促销活动可授权使用“云耕彭阳”公共品牌，并按照1/3（电商服务站 1/2）的比例配套包装盒。</w:t>
            </w:r>
          </w:p>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bCs/>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外包装数量：不少于 8 个单品，每个单品不少于 3000 个；内包装标签：不少于16 个单品，每个单品不少于 3000 个。</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282000.00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000000"/>
                <w:kern w:val="0"/>
                <w:sz w:val="15"/>
                <w:szCs w:val="15"/>
                <w:lang w:val="en-US" w:eastAsia="zh-CN"/>
              </w:rPr>
              <w:t>149107.70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制作印刷外包装：彭阳辣椒、黄应霞拖鞋、五孔窑食醋外包装箱、孟塬小石沟面粉袋共计四款，每款3000个，印刷费90900元。</w:t>
            </w:r>
          </w:p>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标签：山核桃按摩拖鞋1款、茹河源亚麻籽油1L、10L胡麻油、500ml亚麻籽油、彭轩堂党参250g、彭轩堂黄芪250g、彭轩堂苦荞茶250g、农家苦豆粉150g、农家苦豆粉250g、孟塬小石沟小米500g、孟塬小石沟小米真空包装11款，每款3000个，印刷费43680元。</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sz w:val="15"/>
                <w:szCs w:val="15"/>
                <w:lang w:val="en-US" w:eastAsia="zh-CN"/>
              </w:rPr>
              <w:t>132897.30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sz w:val="15"/>
                <w:szCs w:val="15"/>
                <w:lang w:val="en-US" w:eastAsia="zh-CN"/>
              </w:rPr>
              <w:t>132892.30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sz w:val="15"/>
                <w:szCs w:val="15"/>
                <w:lang w:val="en-US" w:eastAsia="zh-CN"/>
              </w:rPr>
              <w:t>282000.00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多计算5元，减去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b/>
                <w:bCs/>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积极打造特色产品</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加大县域公共品牌宣传推广力度，支持企业开展农产品地理标识和质量体系认证，打造“云耕彭阳”县域公共品牌，培育一批市场认可度高的企业品牌和农 产品品牌。积极打造 1-2 款在全国有影响力的特色产品。</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149800.00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000000"/>
                <w:kern w:val="0"/>
                <w:sz w:val="15"/>
                <w:szCs w:val="15"/>
                <w:lang w:val="en-US" w:eastAsia="zh-CN"/>
              </w:rPr>
              <w:t>50000.00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1.为彭阳县益斌园农畜综合开发有限公司、彭阳县小石沟农业发展有限公司申请质量管理体系认证证书。认证费共计38000元。</w:t>
            </w:r>
          </w:p>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2.为彭阳县本元农业科技发展有限公司食本元品牌、宁夏顺盈商贸有限公司五孔窑品牌申报中国名牌产品战略优质委员会和中国品牌调查中心的知名网货品牌认证。认证费32000元。</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sz w:val="15"/>
                <w:szCs w:val="15"/>
                <w:lang w:val="en-US" w:eastAsia="zh-CN"/>
              </w:rPr>
              <w:t>70000.00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sz w:val="15"/>
                <w:szCs w:val="15"/>
                <w:lang w:val="en-US" w:eastAsia="zh-CN"/>
              </w:rPr>
              <w:t>70000.00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sz w:val="15"/>
                <w:szCs w:val="15"/>
                <w:lang w:val="en-US" w:eastAsia="zh-CN"/>
              </w:rPr>
              <w:t>120000.00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80.1%</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29800.00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8"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b/>
                <w:bCs/>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积极进行产销对接</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积极对接区内外产销供需信息，精心组织企业和本地农特产品外出展销和洽谈合作，拓宽农产品销售渠道；对公共服务中心进行升级改造，完善功能分区，提升服务能力；根据本县企业和产品的现状和实际需求，统筹推进电商产品研制、质量检测、品牌推广、品质控制，包装制作，引进直播、网红进行产品营销，成熟一个推广一个；对入驻电商服务中心所有企业捆绑成一个大客户，对接金融、物流、培训、旅游、便民服务等增值化服务，探索市场化可持续运营机制，一站式解决县域电商发展中的服务需求。优先支持贫困村、贫困户发展电商，尤其在教育培训、物流下乡进村、农产品上行、产品包装等政策方面给予重点倾斜，发展“电商企业+基地+贫困户”的订单农业。做好产品标准化、品牌和质量保障，对接商务部电商扶贫频道等平台，加大对贫困地区农产品上行和产销对接的支持力度。深化闽宁协作，支持扶贫车间建设，围绕打造东西部扶贫协作示范基地，促进林果、生态鸡、小杂粮、中药材等优势产业通过电商发展壮大，帮助农民增收致富。农村电商扶贫销售工作被省级媒体宣传报道的总次数不少于 2 次；发展“电商企业+基地+贫困户”的订单不少于 3 个品类；每年组织彭阳县农产品参加商务部门主办的省内外展览会议不少于 2 次。</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884000.00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000000"/>
                <w:kern w:val="0"/>
                <w:sz w:val="15"/>
                <w:szCs w:val="15"/>
                <w:lang w:val="en-US" w:eastAsia="zh-CN"/>
              </w:rPr>
              <w:t>250000.00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themeColor="text1"/>
                <w:kern w:val="0"/>
                <w:sz w:val="15"/>
                <w:szCs w:val="15"/>
                <w:lang w:val="en-US" w:eastAsia="zh-CN"/>
                <w14:textFill>
                  <w14:solidFill>
                    <w14:schemeClr w14:val="tx1"/>
                  </w14:solidFill>
                </w14:textFill>
              </w:rPr>
            </w:pPr>
            <w:r>
              <w:rPr>
                <w:rFonts w:hint="default" w:ascii="Times New Roman" w:hAnsi="Times New Roman" w:eastAsia="仿宋" w:cs="Times New Roman"/>
                <w:color w:val="000000" w:themeColor="text1"/>
                <w:kern w:val="0"/>
                <w:sz w:val="15"/>
                <w:szCs w:val="15"/>
                <w:lang w:val="en-US" w:eastAsia="zh-CN"/>
                <w14:textFill>
                  <w14:solidFill>
                    <w14:schemeClr w14:val="tx1"/>
                  </w14:solidFill>
                </w14:textFill>
              </w:rPr>
              <w:t>1.7月9日组织携带彭阳展品参加全区电子商务进农村工作现场会，对接装展，展销产品。活动经费30000元。</w:t>
            </w:r>
          </w:p>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themeColor="text1"/>
                <w:kern w:val="0"/>
                <w:sz w:val="15"/>
                <w:szCs w:val="15"/>
                <w:lang w:val="en-US" w:eastAsia="zh-CN"/>
                <w14:textFill>
                  <w14:solidFill>
                    <w14:schemeClr w14:val="tx1"/>
                  </w14:solidFill>
                </w14:textFill>
              </w:rPr>
            </w:pPr>
            <w:r>
              <w:rPr>
                <w:rFonts w:hint="default" w:ascii="Times New Roman" w:hAnsi="Times New Roman" w:eastAsia="仿宋" w:cs="Times New Roman"/>
                <w:color w:val="000000" w:themeColor="text1"/>
                <w:kern w:val="0"/>
                <w:sz w:val="15"/>
                <w:szCs w:val="15"/>
                <w:lang w:val="en-US" w:eastAsia="zh-CN"/>
                <w14:textFill>
                  <w14:solidFill>
                    <w14:schemeClr w14:val="tx1"/>
                  </w14:solidFill>
                </w14:textFill>
              </w:rPr>
              <w:t>2.10月23日组织彭阳本地企业参加了2021年全国农商互联暨乡村振兴产销对接大会，为彭阳对接装展，带领彭阳企业参展，为其线下印刷宣传品、线上装修上架，为其磋商产销对接。共组织4家企业5人参加，活动经费60000元。</w:t>
            </w:r>
          </w:p>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000000" w:themeColor="text1"/>
                <w:kern w:val="0"/>
                <w:sz w:val="15"/>
                <w:szCs w:val="15"/>
                <w:lang w:val="en-US" w:eastAsia="zh-CN"/>
                <w14:textFill>
                  <w14:solidFill>
                    <w14:schemeClr w14:val="tx1"/>
                  </w14:solidFill>
                </w14:textFill>
              </w:rPr>
              <w:t>3.在全国农商互联大会暨乡村振兴产销对接大会西部地区专场产销对接活动上专题推介彭阳苹果、彭阳食用醋、彭阳胡麻油、彭阳月子鸡。活动经费60000元。</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kern w:val="0"/>
                <w:sz w:val="15"/>
                <w:szCs w:val="15"/>
                <w:lang w:val="en-US" w:eastAsia="zh-CN"/>
              </w:rPr>
              <w:t>150000.00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sz w:val="15"/>
                <w:szCs w:val="15"/>
                <w:lang w:val="en-US" w:eastAsia="zh-CN"/>
              </w:rPr>
              <w:t>120000.00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370000.0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41.86%</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b w:val="0"/>
                <w:bCs w:val="0"/>
                <w:color w:val="auto"/>
                <w:kern w:val="0"/>
                <w:sz w:val="15"/>
                <w:szCs w:val="15"/>
                <w:highlight w:val="none"/>
                <w:lang w:val="en-US" w:eastAsia="zh-CN"/>
              </w:rPr>
            </w:pPr>
            <w:r>
              <w:rPr>
                <w:rFonts w:hint="default" w:ascii="Times New Roman" w:hAnsi="Times New Roman" w:eastAsia="仿宋" w:cs="Times New Roman"/>
                <w:b w:val="0"/>
                <w:bCs w:val="0"/>
                <w:color w:val="auto"/>
                <w:kern w:val="0"/>
                <w:sz w:val="15"/>
                <w:szCs w:val="15"/>
                <w:highlight w:val="none"/>
                <w:lang w:val="en-US" w:eastAsia="zh-CN"/>
              </w:rPr>
              <w:t>514000.00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电商现场会资料不完善。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b/>
                <w:bCs/>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打造农村电商示范村站</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打造农村电商示范村站。结合地方产业发展条件，发掘、培育有独特资源、文化和品牌优势的网货产品，提升和打造有产业特色的电商示范村站。全县电商服务站年终考核合格率达70%以上，优秀率占合格率10%。</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99800.00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000000"/>
                <w:kern w:val="0"/>
                <w:sz w:val="15"/>
                <w:szCs w:val="15"/>
                <w:lang w:val="en-US" w:eastAsia="zh-CN"/>
              </w:rPr>
              <w:t>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highlight w:val="none"/>
                <w:lang w:val="en-US" w:eastAsia="zh-CN"/>
              </w:rPr>
              <w:t>走访服务村站96个，实地了解村站运营、基础设施等情况，了解代存代缴，代办网络开通、代收发快递等便民服务、仓储配送等物流服务、农资电商服务等相关内容并做好统计给出相关意见。</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sz w:val="15"/>
                <w:szCs w:val="15"/>
                <w:lang w:val="en-US" w:eastAsia="zh-CN"/>
              </w:rPr>
              <w:t>30000.00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30000.00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30000.00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30.1%</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69800.00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b/>
                <w:bCs/>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建设彭阳电商旅游小镇彭阳精品O2O展销中心</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围绕打造全域旅游、休闲旅游、文化旅游，推动旅游资源和电商协同发展，打造“吃住行、游乐购”服务一体化功能，建设彭阳电商旅游小镇彭阳精品 O2O展销中心，实现线上线下宣传推广。</w:t>
            </w:r>
          </w:p>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面积：不少于 120 ㎡；</w:t>
            </w:r>
          </w:p>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设计布展：现代简约风格或原木色系；产品不少于 50 种；</w:t>
            </w:r>
          </w:p>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旅游景点展示不少于 4 个；室外大字门牌。</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auto"/>
                <w:kern w:val="0"/>
                <w:sz w:val="15"/>
                <w:szCs w:val="15"/>
                <w:lang w:val="en-US" w:eastAsia="zh-CN"/>
              </w:rPr>
            </w:pPr>
            <w:r>
              <w:rPr>
                <w:rFonts w:hint="default" w:ascii="Times New Roman" w:hAnsi="Times New Roman" w:eastAsia="仿宋" w:cs="Times New Roman"/>
                <w:color w:val="auto"/>
                <w:kern w:val="0"/>
                <w:sz w:val="15"/>
                <w:szCs w:val="15"/>
                <w:lang w:val="en-US" w:eastAsia="zh-CN"/>
              </w:rPr>
              <w:t>897000.00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auto"/>
                <w:kern w:val="0"/>
                <w:sz w:val="15"/>
                <w:szCs w:val="15"/>
                <w:lang w:val="en-US" w:eastAsia="zh-CN"/>
              </w:rPr>
            </w:pPr>
            <w:r>
              <w:rPr>
                <w:rFonts w:hint="default" w:ascii="Times New Roman" w:hAnsi="Times New Roman" w:eastAsia="仿宋" w:cs="Times New Roman"/>
                <w:color w:val="auto"/>
                <w:kern w:val="0"/>
                <w:sz w:val="15"/>
                <w:szCs w:val="15"/>
                <w:lang w:val="en-US" w:eastAsia="zh-CN"/>
              </w:rPr>
              <w:t>784591.8</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auto"/>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auto"/>
                <w:kern w:val="0"/>
                <w:sz w:val="15"/>
                <w:szCs w:val="15"/>
                <w:lang w:val="en-US" w:eastAsia="zh-CN"/>
              </w:rPr>
            </w:pPr>
            <w:r>
              <w:rPr>
                <w:rFonts w:hint="default" w:ascii="Times New Roman" w:hAnsi="Times New Roman" w:eastAsia="仿宋" w:cs="Times New Roman"/>
                <w:color w:val="000000" w:themeColor="text1"/>
                <w:kern w:val="0"/>
                <w:sz w:val="15"/>
                <w:szCs w:val="15"/>
                <w:lang w:val="en-US" w:eastAsia="zh-CN"/>
                <w14:textFill>
                  <w14:solidFill>
                    <w14:schemeClr w14:val="tx1"/>
                  </w14:solidFill>
                </w14:textFill>
              </w:rPr>
              <w:t>2021年全年运营费用。55000元。</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auto"/>
                <w:sz w:val="15"/>
                <w:szCs w:val="15"/>
                <w:lang w:val="en-US" w:eastAsia="zh-CN"/>
              </w:rPr>
            </w:pPr>
            <w:r>
              <w:rPr>
                <w:rFonts w:hint="default" w:ascii="Times New Roman" w:hAnsi="Times New Roman" w:eastAsia="仿宋" w:cs="Times New Roman"/>
                <w:color w:val="auto"/>
                <w:sz w:val="15"/>
                <w:szCs w:val="15"/>
                <w:lang w:val="en-US" w:eastAsia="zh-CN"/>
              </w:rPr>
              <w:t>55000.00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auto"/>
                <w:kern w:val="0"/>
                <w:sz w:val="15"/>
                <w:szCs w:val="15"/>
                <w:lang w:val="en-US" w:eastAsia="zh-CN"/>
              </w:rPr>
            </w:pPr>
            <w:r>
              <w:rPr>
                <w:rFonts w:hint="default" w:ascii="Times New Roman" w:hAnsi="Times New Roman" w:eastAsia="仿宋" w:cs="Times New Roman"/>
                <w:color w:val="auto"/>
                <w:kern w:val="0"/>
                <w:sz w:val="15"/>
                <w:szCs w:val="15"/>
                <w:lang w:val="en-US" w:eastAsia="zh-CN"/>
              </w:rPr>
              <w:t>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auto"/>
                <w:kern w:val="0"/>
                <w:sz w:val="15"/>
                <w:szCs w:val="15"/>
                <w:highlight w:val="none"/>
                <w:lang w:val="en-US" w:eastAsia="zh-CN"/>
              </w:rPr>
            </w:pPr>
            <w:r>
              <w:rPr>
                <w:rFonts w:hint="default" w:ascii="Times New Roman" w:hAnsi="Times New Roman" w:eastAsia="仿宋" w:cs="Times New Roman"/>
                <w:color w:val="auto"/>
                <w:kern w:val="0"/>
                <w:sz w:val="15"/>
                <w:szCs w:val="15"/>
                <w:lang w:val="en-US" w:eastAsia="zh-CN"/>
              </w:rPr>
              <w:t>784591.8</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auto"/>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87.47%</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auto"/>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112408.20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auto"/>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FF"/>
                <w:kern w:val="0"/>
                <w:sz w:val="15"/>
                <w:szCs w:val="15"/>
                <w:lang w:val="en-US" w:eastAsia="zh-CN"/>
              </w:rPr>
            </w:pPr>
            <w:r>
              <w:rPr>
                <w:rFonts w:hint="default" w:ascii="Times New Roman" w:hAnsi="Times New Roman" w:eastAsia="仿宋" w:cs="Times New Roman"/>
                <w:color w:val="auto"/>
                <w:kern w:val="0"/>
                <w:sz w:val="15"/>
                <w:szCs w:val="15"/>
                <w:lang w:val="en-US" w:eastAsia="zh-CN"/>
              </w:rPr>
              <w:t>无具体支撑资料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675" w:type="dxa"/>
            <w:vMerge w:val="restart"/>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积极开展电商培训工作</w:t>
            </w:r>
          </w:p>
        </w:tc>
        <w:tc>
          <w:tcPr>
            <w:tcW w:w="483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bidi="zh-CN"/>
              </w:rPr>
            </w:pPr>
            <w:r>
              <w:rPr>
                <w:rFonts w:hint="default" w:ascii="Times New Roman" w:hAnsi="Times New Roman" w:eastAsia="仿宋" w:cs="Times New Roman"/>
                <w:kern w:val="0"/>
                <w:sz w:val="15"/>
                <w:szCs w:val="15"/>
                <w:lang w:val="en-US" w:eastAsia="zh-CN"/>
              </w:rPr>
              <w:t xml:space="preserve">遴选本地农村电商带头人、优秀企业家、电商专业技术人员等会经营、懂管理、技术精的电商人才，建设一支“不走的县域农村电商筑梦导师团队”，筑梦导师团队应有导师10人以上，组织管理机构健全，有一定比例具备电子商务中级、高级资质的电商人才，入驻县级电商运营中心，通过培训、策划、指导、组织对接会、举办创业大赛和电商节庆活动等方式，创建农村电商实训基地，指导培育 30 家电商企业和60个电商服务站运营。导师团协助公共服务中心开展产品研发、品牌推广、数据采集，实现“一个网、一个屏、一张图、一张表”实时在线整体展现我县电商成效。 </w:t>
            </w:r>
          </w:p>
        </w:tc>
        <w:tc>
          <w:tcPr>
            <w:tcW w:w="60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bidi="ar"/>
              </w:rPr>
            </w:pPr>
            <w:r>
              <w:rPr>
                <w:rFonts w:hint="default" w:ascii="Times New Roman" w:hAnsi="Times New Roman" w:eastAsia="仿宋" w:cs="Times New Roman"/>
                <w:b w:val="0"/>
                <w:bCs w:val="0"/>
                <w:color w:val="auto"/>
                <w:kern w:val="0"/>
                <w:sz w:val="15"/>
                <w:szCs w:val="15"/>
                <w:lang w:val="en-US" w:eastAsia="zh-CN" w:bidi="ar"/>
              </w:rPr>
              <w:t>749800.00</w:t>
            </w:r>
          </w:p>
        </w:tc>
        <w:tc>
          <w:tcPr>
            <w:tcW w:w="7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bidi="zh-CN"/>
              </w:rPr>
            </w:pPr>
            <w:r>
              <w:rPr>
                <w:rFonts w:hint="default" w:ascii="Times New Roman" w:hAnsi="Times New Roman" w:eastAsia="仿宋" w:cs="Times New Roman"/>
                <w:sz w:val="15"/>
                <w:szCs w:val="15"/>
                <w:lang w:val="en-US" w:eastAsia="zh-CN"/>
              </w:rPr>
              <w:t>150000.0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color w:val="000000" w:themeColor="text1"/>
                <w:kern w:val="0"/>
                <w:sz w:val="15"/>
                <w:szCs w:val="15"/>
                <w:lang w:val="en-US" w:eastAsia="zh-CN"/>
                <w14:textFill>
                  <w14:solidFill>
                    <w14:schemeClr w14:val="tx1"/>
                  </w14:solidFill>
                </w14:textFill>
              </w:rPr>
            </w:pPr>
            <w:r>
              <w:rPr>
                <w:rFonts w:hint="default" w:ascii="Times New Roman" w:hAnsi="Times New Roman" w:eastAsia="仿宋" w:cs="Times New Roman"/>
                <w:color w:val="000000" w:themeColor="text1"/>
                <w:kern w:val="0"/>
                <w:sz w:val="15"/>
                <w:szCs w:val="15"/>
                <w:lang w:val="en-US" w:eastAsia="zh-CN"/>
                <w14:textFill>
                  <w14:solidFill>
                    <w14:schemeClr w14:val="tx1"/>
                  </w14:solidFill>
                </w14:textFill>
              </w:rPr>
              <w:t>遴选本地三人参加筑梦导师培训并取得国家电子商务师T1证书,聘请本地电商带头人、电商从业者3人为筑梦导师团队成员；培训费用100000元；组织开展筑梦导师线下沙龙会、线下指导服务，活动组织费用50000万元。</w:t>
            </w:r>
          </w:p>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sz w:val="15"/>
                <w:szCs w:val="15"/>
                <w:lang w:val="en-US" w:eastAsia="zh-CN"/>
              </w:rPr>
              <w:t>150000.00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sz w:val="15"/>
                <w:szCs w:val="15"/>
                <w:lang w:val="en-US" w:eastAsia="zh-CN"/>
              </w:rPr>
              <w:t>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lang w:val="en-US" w:eastAsia="zh-CN"/>
              </w:rPr>
              <w:t>150000.00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40%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599800.00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无导师团队服务资料。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67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b w:val="0"/>
                <w:bCs w:val="0"/>
                <w:color w:val="auto"/>
                <w:kern w:val="0"/>
                <w:sz w:val="15"/>
                <w:szCs w:val="15"/>
                <w:lang w:val="en-US" w:eastAsia="zh-CN"/>
              </w:rPr>
            </w:pPr>
          </w:p>
        </w:tc>
        <w:tc>
          <w:tcPr>
            <w:tcW w:w="4830" w:type="dxa"/>
            <w:vAlign w:val="center"/>
          </w:tcPr>
          <w:p>
            <w:pPr>
              <w:keepNext w:val="0"/>
              <w:keepLines w:val="0"/>
              <w:widowControl/>
              <w:suppressLineNumbers w:val="0"/>
              <w:spacing w:line="240" w:lineRule="auto"/>
              <w:ind w:left="0" w:leftChars="0" w:right="0" w:rightChars="0"/>
              <w:jc w:val="both"/>
              <w:rPr>
                <w:rFonts w:hint="default" w:ascii="Times New Roman" w:hAnsi="Times New Roman" w:eastAsia="仿宋" w:cs="Times New Roman"/>
                <w:b w:val="0"/>
                <w:bCs w:val="0"/>
                <w:color w:val="auto"/>
                <w:kern w:val="0"/>
                <w:sz w:val="15"/>
                <w:szCs w:val="15"/>
                <w:lang w:val="en-US" w:eastAsia="zh-CN" w:bidi="ar"/>
              </w:rPr>
            </w:pPr>
            <w:r>
              <w:rPr>
                <w:rFonts w:hint="default" w:ascii="Times New Roman" w:hAnsi="Times New Roman" w:eastAsia="仿宋" w:cs="Times New Roman"/>
                <w:b w:val="0"/>
                <w:bCs w:val="0"/>
                <w:color w:val="auto"/>
                <w:kern w:val="0"/>
                <w:sz w:val="15"/>
                <w:szCs w:val="15"/>
                <w:lang w:val="en-US" w:eastAsia="zh-CN" w:bidi="ar"/>
              </w:rPr>
              <w:t>探索“培训机构+运营中心+实体企业”的电商人才合作孵化模式，县属企业推荐有电商经验的人员入驻电商公共服务中心开展为期3个月的委托培养，签订合同，以销售本企业产品作为实战课程，边学习边就业，学成后在本企业稳定就业 2 年以上，计划培训人数 30人。</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bidi="zh-CN"/>
              </w:rPr>
            </w:pPr>
            <w:r>
              <w:rPr>
                <w:rFonts w:hint="default" w:ascii="Times New Roman" w:hAnsi="Times New Roman" w:eastAsia="仿宋" w:cs="Times New Roman"/>
                <w:kern w:val="0"/>
                <w:sz w:val="15"/>
                <w:szCs w:val="15"/>
                <w:lang w:val="en-US" w:eastAsia="zh-CN"/>
              </w:rPr>
              <w:t>749800.00</w:t>
            </w:r>
          </w:p>
        </w:tc>
        <w:tc>
          <w:tcPr>
            <w:tcW w:w="7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auto"/>
                <w:sz w:val="15"/>
                <w:szCs w:val="15"/>
                <w:lang w:val="en-US" w:eastAsia="zh-CN" w:bidi="zh-CN"/>
              </w:rPr>
            </w:pPr>
            <w:r>
              <w:rPr>
                <w:rFonts w:hint="default" w:ascii="Times New Roman" w:hAnsi="Times New Roman" w:eastAsia="仿宋" w:cs="Times New Roman"/>
                <w:color w:val="auto"/>
                <w:sz w:val="15"/>
                <w:szCs w:val="15"/>
                <w:lang w:val="en-US" w:eastAsia="zh-CN"/>
              </w:rPr>
              <w:t>589200.0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bCs w:val="0"/>
                <w:color w:val="auto"/>
                <w:spacing w:val="0"/>
                <w:kern w:val="0"/>
                <w:sz w:val="15"/>
                <w:szCs w:val="15"/>
                <w:lang w:val="en-US" w:eastAsia="zh-CN" w:bidi="zh-CN"/>
              </w:rPr>
              <w:t>按照“培训机构+运营中心+实体企业”的电商人才合作孵化模式，与有电商经验的30人次签订委托培养，后续跟踪服务继续进行。服务费160600</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sz w:val="15"/>
                <w:szCs w:val="15"/>
                <w:lang w:val="en-US" w:eastAsia="zh-CN"/>
              </w:rPr>
              <w:t>160600.00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sz w:val="15"/>
                <w:szCs w:val="15"/>
                <w:lang w:val="en-US" w:eastAsia="zh-CN"/>
              </w:rPr>
              <w:t>589200.0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78.6%</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160600.00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培养成效无资料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67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b w:val="0"/>
                <w:bCs w:val="0"/>
                <w:color w:val="auto"/>
                <w:kern w:val="0"/>
                <w:sz w:val="15"/>
                <w:szCs w:val="15"/>
                <w:lang w:val="en-US" w:eastAsia="zh-CN"/>
              </w:rPr>
            </w:pPr>
          </w:p>
        </w:tc>
        <w:tc>
          <w:tcPr>
            <w:tcW w:w="4830" w:type="dxa"/>
            <w:vAlign w:val="center"/>
          </w:tcPr>
          <w:p>
            <w:pPr>
              <w:keepNext w:val="0"/>
              <w:keepLines w:val="0"/>
              <w:widowControl/>
              <w:suppressLineNumbers w:val="0"/>
              <w:spacing w:line="240" w:lineRule="auto"/>
              <w:ind w:left="0" w:leftChars="0" w:right="0" w:rightChars="0"/>
              <w:jc w:val="both"/>
              <w:rPr>
                <w:rFonts w:hint="default" w:ascii="Times New Roman" w:hAnsi="Times New Roman" w:eastAsia="仿宋" w:cs="Times New Roman"/>
                <w:b w:val="0"/>
                <w:bCs w:val="0"/>
                <w:color w:val="auto"/>
                <w:kern w:val="0"/>
                <w:sz w:val="15"/>
                <w:szCs w:val="15"/>
                <w:lang w:val="en-US" w:eastAsia="zh-CN" w:bidi="ar"/>
              </w:rPr>
            </w:pPr>
            <w:r>
              <w:rPr>
                <w:rFonts w:hint="default" w:ascii="Times New Roman" w:hAnsi="Times New Roman" w:eastAsia="仿宋" w:cs="Times New Roman"/>
                <w:b w:val="0"/>
                <w:bCs w:val="0"/>
                <w:color w:val="auto"/>
                <w:kern w:val="0"/>
                <w:sz w:val="15"/>
                <w:szCs w:val="15"/>
                <w:lang w:val="en-US" w:eastAsia="zh-CN" w:bidi="ar"/>
              </w:rPr>
              <w:t>针对农产品生产销售企业、电商企业、专业合作社、电商服务站、创业青年、基层党政干部等群体采取集中理论学习和外出培训等方式，重点围绕店铺装修、产品设计、详情页制作、农产品上行、直播技巧等开展实战能力提升培训，培训人数100人。</w:t>
            </w:r>
          </w:p>
        </w:tc>
        <w:tc>
          <w:tcPr>
            <w:tcW w:w="600" w:type="dxa"/>
            <w:vAlign w:val="center"/>
          </w:tcPr>
          <w:p>
            <w:pPr>
              <w:keepNext w:val="0"/>
              <w:keepLines w:val="0"/>
              <w:widowControl/>
              <w:suppressLineNumbers w:val="0"/>
              <w:spacing w:line="240" w:lineRule="auto"/>
              <w:ind w:left="0" w:leftChars="0" w:right="0" w:rightChars="0"/>
              <w:jc w:val="both"/>
              <w:rPr>
                <w:rFonts w:hint="default" w:ascii="Times New Roman" w:hAnsi="Times New Roman" w:eastAsia="仿宋" w:cs="Times New Roman"/>
                <w:b w:val="0"/>
                <w:bCs w:val="0"/>
                <w:color w:val="auto"/>
                <w:kern w:val="0"/>
                <w:sz w:val="15"/>
                <w:szCs w:val="15"/>
                <w:lang w:val="en-US" w:eastAsia="zh-CN" w:bidi="ar"/>
              </w:rPr>
            </w:pPr>
            <w:r>
              <w:rPr>
                <w:rFonts w:hint="default" w:ascii="Times New Roman" w:hAnsi="Times New Roman" w:eastAsia="仿宋" w:cs="Times New Roman"/>
                <w:b w:val="0"/>
                <w:bCs w:val="0"/>
                <w:color w:val="auto"/>
                <w:kern w:val="0"/>
                <w:sz w:val="15"/>
                <w:szCs w:val="15"/>
                <w:lang w:val="en-US" w:eastAsia="zh-CN" w:bidi="ar"/>
              </w:rPr>
              <w:t>596000.00</w:t>
            </w:r>
          </w:p>
        </w:tc>
        <w:tc>
          <w:tcPr>
            <w:tcW w:w="7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bidi="zh-CN"/>
              </w:rPr>
            </w:pPr>
            <w:r>
              <w:rPr>
                <w:rFonts w:hint="default" w:ascii="Times New Roman" w:hAnsi="Times New Roman" w:eastAsia="仿宋" w:cs="Times New Roman"/>
                <w:sz w:val="15"/>
                <w:szCs w:val="15"/>
                <w:lang w:val="en-US" w:eastAsia="zh-CN"/>
              </w:rPr>
              <w:t>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无</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sz w:val="15"/>
                <w:szCs w:val="15"/>
                <w:lang w:val="en-US" w:eastAsia="zh-CN"/>
              </w:rPr>
              <w:t>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596000.00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67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b w:val="0"/>
                <w:bCs w:val="0"/>
                <w:color w:val="auto"/>
                <w:kern w:val="0"/>
                <w:sz w:val="15"/>
                <w:szCs w:val="15"/>
                <w:lang w:val="en-US" w:eastAsia="zh-CN"/>
              </w:rPr>
            </w:pPr>
          </w:p>
        </w:tc>
        <w:tc>
          <w:tcPr>
            <w:tcW w:w="4830" w:type="dxa"/>
            <w:vAlign w:val="center"/>
          </w:tcPr>
          <w:p>
            <w:pPr>
              <w:keepNext w:val="0"/>
              <w:keepLines w:val="0"/>
              <w:widowControl/>
              <w:suppressLineNumbers w:val="0"/>
              <w:spacing w:line="240" w:lineRule="auto"/>
              <w:ind w:left="0" w:leftChars="0" w:right="0" w:rightChars="0"/>
              <w:jc w:val="both"/>
              <w:rPr>
                <w:rFonts w:hint="default" w:ascii="Times New Roman" w:hAnsi="Times New Roman" w:eastAsia="仿宋" w:cs="Times New Roman"/>
                <w:b w:val="0"/>
                <w:bCs w:val="0"/>
                <w:color w:val="auto"/>
                <w:kern w:val="0"/>
                <w:sz w:val="15"/>
                <w:szCs w:val="15"/>
                <w:lang w:val="en-US" w:eastAsia="zh-CN" w:bidi="ar"/>
              </w:rPr>
            </w:pPr>
            <w:r>
              <w:rPr>
                <w:rFonts w:hint="default" w:ascii="Times New Roman" w:hAnsi="Times New Roman" w:eastAsia="仿宋" w:cs="Times New Roman"/>
                <w:b w:val="0"/>
                <w:bCs w:val="0"/>
                <w:color w:val="auto"/>
                <w:kern w:val="0"/>
                <w:sz w:val="15"/>
                <w:szCs w:val="15"/>
                <w:lang w:val="en-US" w:eastAsia="zh-CN" w:bidi="ar"/>
              </w:rPr>
              <w:t>除在各大网络平台开设店铺销售农产品外，重视抖音、快手、微商等自媒体流量销售优势，提高各电商经营主体网上销售能力，拓宽农产品销售渠道。对贫困户、劳务移民、个体工商户、基层党政干部计划完成中级培训 370 人。培训标准参照《彭阳县党政机关培训费管理办法》（彭财规发〔2018〕372 号）执行。</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spacing w:val="0"/>
                <w:kern w:val="0"/>
                <w:sz w:val="15"/>
                <w:szCs w:val="15"/>
                <w:lang w:val="en-US" w:eastAsia="zh-CN" w:bidi="ar"/>
              </w:rPr>
            </w:pPr>
            <w:r>
              <w:rPr>
                <w:rFonts w:hint="default" w:ascii="Times New Roman" w:hAnsi="Times New Roman" w:eastAsia="仿宋" w:cs="Times New Roman"/>
                <w:b w:val="0"/>
                <w:bCs w:val="0"/>
                <w:color w:val="auto"/>
                <w:spacing w:val="0"/>
                <w:kern w:val="0"/>
                <w:sz w:val="15"/>
                <w:szCs w:val="15"/>
                <w:lang w:val="en-US" w:eastAsia="zh-CN" w:bidi="ar"/>
              </w:rPr>
              <w:t>298000.00</w:t>
            </w:r>
          </w:p>
        </w:tc>
        <w:tc>
          <w:tcPr>
            <w:tcW w:w="7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bidi="zh-CN"/>
              </w:rPr>
            </w:pPr>
            <w:r>
              <w:rPr>
                <w:rFonts w:hint="default" w:ascii="Times New Roman" w:hAnsi="Times New Roman" w:eastAsia="仿宋" w:cs="Times New Roman"/>
                <w:sz w:val="15"/>
                <w:szCs w:val="15"/>
                <w:lang w:val="en-US" w:eastAsia="zh-CN"/>
              </w:rPr>
              <w:t>198000.0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b w:val="0"/>
                <w:bCs w:val="0"/>
                <w:color w:val="auto"/>
                <w:kern w:val="0"/>
                <w:sz w:val="15"/>
                <w:szCs w:val="15"/>
                <w:highlight w:val="none"/>
                <w:lang w:val="en-US" w:eastAsia="zh-CN" w:bidi="ar"/>
              </w:rPr>
              <w:t>除在各大网络平台开设店铺销售农产品外，重视抖音、快手、微商等自媒体流量销售优势，提高</w:t>
            </w:r>
            <w:r>
              <w:rPr>
                <w:rFonts w:hint="default" w:ascii="Times New Roman" w:hAnsi="Times New Roman" w:eastAsia="仿宋" w:cs="Times New Roman"/>
                <w:b w:val="0"/>
                <w:bCs w:val="0"/>
                <w:color w:val="auto"/>
                <w:kern w:val="0"/>
                <w:sz w:val="15"/>
                <w:szCs w:val="15"/>
                <w:lang w:val="en-US" w:eastAsia="zh-CN" w:bidi="ar"/>
              </w:rPr>
              <w:t>各电商经营主体网上销售能力，拓宽农产品销售渠道。对贫困户、劳务移民、个体工商户、基层党政干部计划完成中级培训424人。超额完成54人次培训。对完成培训学员跟踪服务指导，开展线上课程继续深化培训，一对一服务指导后续跟踪指导服务费100000元。</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sz w:val="15"/>
                <w:szCs w:val="15"/>
                <w:lang w:val="en-US" w:eastAsia="zh-CN"/>
              </w:rPr>
              <w:t>100000.00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sz w:val="15"/>
                <w:szCs w:val="15"/>
                <w:lang w:val="en-US" w:eastAsia="zh-CN"/>
              </w:rPr>
              <w:t>100000.00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lang w:val="en-US" w:eastAsia="zh-CN"/>
              </w:rPr>
              <w:t>298000.00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67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b w:val="0"/>
                <w:bCs w:val="0"/>
                <w:color w:val="auto"/>
                <w:kern w:val="0"/>
                <w:sz w:val="15"/>
                <w:szCs w:val="15"/>
                <w:lang w:val="en-US" w:eastAsia="zh-CN"/>
              </w:rPr>
            </w:pPr>
          </w:p>
        </w:tc>
        <w:tc>
          <w:tcPr>
            <w:tcW w:w="4830" w:type="dxa"/>
            <w:vAlign w:val="center"/>
          </w:tcPr>
          <w:p>
            <w:pPr>
              <w:keepNext w:val="0"/>
              <w:keepLines w:val="0"/>
              <w:widowControl/>
              <w:suppressLineNumbers w:val="0"/>
              <w:spacing w:line="240" w:lineRule="auto"/>
              <w:ind w:left="0" w:leftChars="0" w:right="0" w:rightChars="0"/>
              <w:jc w:val="both"/>
              <w:rPr>
                <w:rFonts w:hint="default" w:ascii="Times New Roman" w:hAnsi="Times New Roman" w:eastAsia="仿宋" w:cs="Times New Roman"/>
                <w:b w:val="0"/>
                <w:bCs w:val="0"/>
                <w:color w:val="auto"/>
                <w:kern w:val="0"/>
                <w:sz w:val="15"/>
                <w:szCs w:val="15"/>
                <w:lang w:val="en-US" w:eastAsia="zh-CN" w:bidi="ar"/>
              </w:rPr>
            </w:pPr>
            <w:r>
              <w:rPr>
                <w:rFonts w:hint="default" w:ascii="Times New Roman" w:hAnsi="Times New Roman" w:eastAsia="仿宋" w:cs="Times New Roman"/>
                <w:b w:val="0"/>
                <w:bCs w:val="0"/>
                <w:color w:val="auto"/>
                <w:kern w:val="0"/>
                <w:sz w:val="15"/>
                <w:szCs w:val="15"/>
                <w:lang w:val="en-US" w:eastAsia="zh-CN" w:bidi="ar"/>
              </w:rPr>
              <w:t>在县级政务平台上开设网络公开培训课程，实现普及型公益性培训。</w:t>
            </w:r>
          </w:p>
          <w:p>
            <w:pPr>
              <w:keepNext w:val="0"/>
              <w:keepLines w:val="0"/>
              <w:widowControl/>
              <w:suppressLineNumbers w:val="0"/>
              <w:spacing w:line="240" w:lineRule="auto"/>
              <w:ind w:left="0" w:leftChars="0" w:right="0" w:rightChars="0"/>
              <w:jc w:val="both"/>
              <w:rPr>
                <w:rFonts w:hint="default" w:ascii="Times New Roman" w:hAnsi="Times New Roman" w:eastAsia="仿宋" w:cs="Times New Roman"/>
                <w:b w:val="0"/>
                <w:bCs w:val="0"/>
                <w:color w:val="auto"/>
                <w:kern w:val="0"/>
                <w:sz w:val="15"/>
                <w:szCs w:val="15"/>
                <w:lang w:val="en-US" w:eastAsia="zh-CN" w:bidi="ar"/>
              </w:rPr>
            </w:pP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bidi="zh-CN"/>
              </w:rPr>
            </w:pPr>
            <w:r>
              <w:rPr>
                <w:rFonts w:hint="default" w:ascii="Times New Roman" w:hAnsi="Times New Roman" w:eastAsia="仿宋" w:cs="Times New Roman"/>
                <w:kern w:val="0"/>
                <w:sz w:val="15"/>
                <w:szCs w:val="15"/>
                <w:lang w:val="en-US" w:eastAsia="zh-CN"/>
              </w:rPr>
              <w:t>148000.00</w:t>
            </w:r>
          </w:p>
        </w:tc>
        <w:tc>
          <w:tcPr>
            <w:tcW w:w="7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bidi="zh-CN"/>
              </w:rPr>
            </w:pPr>
            <w:r>
              <w:rPr>
                <w:rFonts w:hint="default" w:ascii="Times New Roman" w:hAnsi="Times New Roman" w:eastAsia="仿宋" w:cs="Times New Roman"/>
                <w:kern w:val="0"/>
                <w:sz w:val="15"/>
                <w:szCs w:val="15"/>
                <w:lang w:val="en-US" w:eastAsia="zh-CN"/>
              </w:rPr>
              <w:t>98000.0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000000" w:themeColor="text1"/>
                <w:kern w:val="0"/>
                <w:sz w:val="15"/>
                <w:szCs w:val="15"/>
                <w:lang w:val="en-US" w:eastAsia="zh-CN"/>
                <w14:textFill>
                  <w14:solidFill>
                    <w14:schemeClr w14:val="tx1"/>
                  </w14:solidFill>
                </w14:textFill>
              </w:rPr>
              <w:t>线上课程在彭阳县电商公共服务中心平台上传电商线上课程16期，每期课程32分钟，累计512分钟；后续完善多平台课程结构体系，加大推广宣传力度，课程已上传到云耕彭阳公众号、小程序商城、彭阳县电商公共服务中心3个电商平台，累计宣传推广48次，累计实现浏览量24000余次；制作、宣传及服务费50000元。</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sz w:val="15"/>
                <w:szCs w:val="15"/>
                <w:lang w:val="en-US" w:eastAsia="zh-CN"/>
              </w:rPr>
              <w:t>50000.00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50000.00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lang w:val="en-US" w:eastAsia="zh-CN"/>
              </w:rPr>
              <w:t>148000.00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仿宋" w:cs="Times New Roman"/>
                <w:b/>
                <w:bCs/>
                <w:kern w:val="0"/>
                <w:sz w:val="15"/>
                <w:szCs w:val="15"/>
                <w:lang w:val="en-US" w:eastAsia="zh-CN"/>
              </w:rPr>
            </w:pPr>
            <w:r>
              <w:rPr>
                <w:rFonts w:hint="default" w:ascii="Times New Roman" w:hAnsi="Times New Roman" w:eastAsia="仿宋" w:cs="Times New Roman"/>
                <w:b/>
                <w:bCs/>
                <w:kern w:val="0"/>
                <w:sz w:val="15"/>
                <w:szCs w:val="15"/>
                <w:lang w:val="en-US" w:eastAsia="zh-CN"/>
              </w:rPr>
              <w:t>总计</w:t>
            </w:r>
          </w:p>
        </w:tc>
        <w:tc>
          <w:tcPr>
            <w:tcW w:w="4830" w:type="dxa"/>
            <w:vAlign w:val="center"/>
          </w:tcPr>
          <w:p>
            <w:pPr>
              <w:keepNext w:val="0"/>
              <w:keepLines w:val="0"/>
              <w:widowControl/>
              <w:suppressLineNumbers w:val="0"/>
              <w:spacing w:line="240" w:lineRule="auto"/>
              <w:ind w:left="0" w:leftChars="0" w:right="0" w:rightChars="0"/>
              <w:jc w:val="both"/>
              <w:rPr>
                <w:rFonts w:hint="default" w:ascii="Times New Roman" w:hAnsi="Times New Roman" w:eastAsia="仿宋" w:cs="Times New Roman"/>
                <w:b w:val="0"/>
                <w:bCs w:val="0"/>
                <w:color w:val="auto"/>
                <w:kern w:val="0"/>
                <w:sz w:val="15"/>
                <w:szCs w:val="15"/>
                <w:lang w:val="en-US" w:eastAsia="zh-CN"/>
              </w:rPr>
            </w:pP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9802800.00</w:t>
            </w:r>
          </w:p>
        </w:tc>
        <w:tc>
          <w:tcPr>
            <w:tcW w:w="7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6480333.5</w:t>
            </w:r>
          </w:p>
        </w:tc>
        <w:tc>
          <w:tcPr>
            <w:tcW w:w="54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kern w:val="0"/>
                <w:sz w:val="15"/>
                <w:szCs w:val="15"/>
                <w:lang w:val="en-US" w:eastAsia="zh-CN"/>
              </w:rPr>
              <w:t>6480300.0</w:t>
            </w: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kern w:val="0"/>
                <w:sz w:val="15"/>
                <w:szCs w:val="15"/>
                <w:lang w:val="en-US" w:eastAsia="zh-CN"/>
              </w:rPr>
            </w:pP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sz w:val="15"/>
                <w:szCs w:val="15"/>
                <w:lang w:val="en-US" w:eastAsia="zh-CN"/>
              </w:rPr>
              <w:t>1383363.3</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987758.3</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highlight w:val="none"/>
                <w:lang w:val="en-US" w:eastAsia="zh-CN" w:bidi="zh-CN"/>
              </w:rPr>
            </w:pPr>
            <w:r>
              <w:rPr>
                <w:rFonts w:hint="default" w:ascii="Times New Roman" w:hAnsi="Times New Roman" w:eastAsia="仿宋" w:cs="Times New Roman"/>
                <w:sz w:val="15"/>
                <w:szCs w:val="15"/>
                <w:highlight w:val="none"/>
                <w:lang w:val="en-US" w:eastAsia="zh-CN" w:bidi="zh-CN"/>
              </w:rPr>
              <w:t>7468091.8</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76.18%</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000000"/>
                <w:kern w:val="0"/>
                <w:sz w:val="15"/>
                <w:szCs w:val="15"/>
                <w:highlight w:val="none"/>
                <w:lang w:val="en-US" w:eastAsia="zh-CN"/>
              </w:rPr>
              <w:t>2334708.2</w:t>
            </w:r>
          </w:p>
        </w:tc>
        <w:tc>
          <w:tcPr>
            <w:tcW w:w="63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987758.30</w:t>
            </w: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bl>
    <w:p>
      <w:pPr>
        <w:keepNext w:val="0"/>
        <w:keepLines w:val="0"/>
        <w:pageBreakBefore w:val="0"/>
        <w:kinsoku/>
        <w:wordWrap/>
        <w:overflowPunct/>
        <w:topLinePunct w:val="0"/>
        <w:autoSpaceDE w:val="0"/>
        <w:autoSpaceDN w:val="0"/>
        <w:bidi w:val="0"/>
        <w:adjustRightInd/>
        <w:snapToGrid/>
        <w:spacing w:line="240" w:lineRule="exact"/>
        <w:textAlignment w:val="auto"/>
        <w:rPr>
          <w:rFonts w:hint="eastAsia" w:ascii="仿宋" w:hAnsi="仿宋" w:eastAsia="仿宋" w:cs="仿宋"/>
          <w:sz w:val="15"/>
          <w:szCs w:val="15"/>
        </w:rPr>
      </w:pPr>
    </w:p>
    <w:p>
      <w:pPr>
        <w:pStyle w:val="2"/>
        <w:rPr>
          <w:rFonts w:hint="eastAsia" w:ascii="仿宋" w:hAnsi="仿宋" w:eastAsia="仿宋" w:cs="仿宋"/>
          <w:sz w:val="15"/>
          <w:szCs w:val="15"/>
        </w:rPr>
      </w:pPr>
    </w:p>
    <w:sectPr>
      <w:footerReference r:id="rId3" w:type="default"/>
      <w:pgSz w:w="16838" w:h="11906" w:orient="landscape"/>
      <w:pgMar w:top="1213" w:right="1803" w:bottom="986" w:left="1803"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B7C34"/>
    <w:rsid w:val="04E32A0A"/>
    <w:rsid w:val="0B6C5343"/>
    <w:rsid w:val="129C45AB"/>
    <w:rsid w:val="1341542D"/>
    <w:rsid w:val="1E5C2E94"/>
    <w:rsid w:val="1E9C622E"/>
    <w:rsid w:val="21425C55"/>
    <w:rsid w:val="26AD19B4"/>
    <w:rsid w:val="292F0982"/>
    <w:rsid w:val="2A700A49"/>
    <w:rsid w:val="2C363018"/>
    <w:rsid w:val="2CC25BAE"/>
    <w:rsid w:val="2EB51D28"/>
    <w:rsid w:val="39F71049"/>
    <w:rsid w:val="3FFA1ACC"/>
    <w:rsid w:val="45BF10FB"/>
    <w:rsid w:val="47776F7A"/>
    <w:rsid w:val="4DC67775"/>
    <w:rsid w:val="4E724CEA"/>
    <w:rsid w:val="4F2A67B6"/>
    <w:rsid w:val="5274706E"/>
    <w:rsid w:val="562F6F66"/>
    <w:rsid w:val="566E223B"/>
    <w:rsid w:val="59742E07"/>
    <w:rsid w:val="613022D8"/>
    <w:rsid w:val="61D82C77"/>
    <w:rsid w:val="6CBE56FD"/>
    <w:rsid w:val="6EC7275F"/>
    <w:rsid w:val="6FCE2AFF"/>
    <w:rsid w:val="74E32A7D"/>
    <w:rsid w:val="765D6962"/>
    <w:rsid w:val="78FC2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782"/>
      <w:outlineLvl w:val="1"/>
    </w:pPr>
    <w:rPr>
      <w:rFonts w:ascii="宋体" w:hAnsi="宋体" w:eastAsia="宋体" w:cs="宋体"/>
      <w:b/>
      <w:bCs/>
      <w:sz w:val="24"/>
      <w:szCs w:val="24"/>
      <w:lang w:val="zh-CN" w:eastAsia="zh-CN" w:bidi="zh-CN"/>
    </w:rPr>
  </w:style>
  <w:style w:type="character" w:default="1" w:styleId="5">
    <w:name w:val="Default Paragraph Font"/>
    <w:qFormat/>
    <w:uiPriority w:val="0"/>
  </w:style>
  <w:style w:type="table" w:default="1" w:styleId="6">
    <w:name w:val="Normal Table"/>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TOC 标题1"/>
    <w:basedOn w:val="3"/>
    <w:next w:val="1"/>
    <w:qFormat/>
    <w:uiPriority w:val="39"/>
    <w:pPr>
      <w:spacing w:before="480" w:after="0" w:line="276" w:lineRule="auto"/>
      <w:outlineLvl w:val="9"/>
    </w:pPr>
    <w:rPr>
      <w:rFonts w:ascii="仿宋" w:hAnsi="仿宋" w:eastAsia="仿宋"/>
      <w:color w:val="000000"/>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3780</Words>
  <Characters>4405</Characters>
  <Paragraphs>176</Paragraphs>
  <TotalTime>0</TotalTime>
  <ScaleCrop>false</ScaleCrop>
  <LinksUpToDate>false</LinksUpToDate>
  <CharactersWithSpaces>4473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2021-06-01T00:06:00Z</dcterms:created>
  <dc:creator>七月七日晴</dc:creator>
  <cp:lastModifiedBy>彭阳县发展和改革局</cp:lastModifiedBy>
  <cp:lastPrinted>2021-12-13T07:27:00Z</cp:lastPrinted>
  <dcterms:modified xsi:type="dcterms:W3CDTF">2021-12-16T08:09:13Z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AD69E3CA29D7452C9D9997FD17888D75</vt:lpwstr>
  </property>
  <property fmtid="{D5CDD505-2E9C-101B-9397-08002B2CF9AE}" pid="4" name="KSOSaveFontToCloudKey">
    <vt:lpwstr>585741432_btnclosed</vt:lpwstr>
  </property>
</Properties>
</file>