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540" w:leftChars="-257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3 </w:t>
      </w:r>
    </w:p>
    <w:p>
      <w:pPr>
        <w:widowControl/>
        <w:jc w:val="center"/>
        <w:rPr>
          <w:rFonts w:hint="default"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lang w:eastAsia="zh-CN"/>
        </w:rPr>
        <w:t>彭阳县</w:t>
      </w: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</w:rPr>
        <w:t>突发</w:t>
      </w: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lang w:eastAsia="zh-CN"/>
        </w:rPr>
        <w:t>公共卫生事件</w:t>
      </w: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</w:rPr>
        <w:t>风险隐患排查和整改情况登记表</w:t>
      </w:r>
      <w:bookmarkEnd w:id="0"/>
    </w:p>
    <w:p>
      <w:pPr>
        <w:widowControl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填报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单位（盖章）：                                                      报告时间：  年  月  日</w:t>
      </w:r>
    </w:p>
    <w:tbl>
      <w:tblPr>
        <w:tblStyle w:val="4"/>
        <w:tblW w:w="14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175"/>
        <w:gridCol w:w="1594"/>
        <w:gridCol w:w="1851"/>
        <w:gridCol w:w="924"/>
        <w:gridCol w:w="1091"/>
        <w:gridCol w:w="3156"/>
        <w:gridCol w:w="1736"/>
        <w:gridCol w:w="14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公共卫生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风险隐患源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可能生成的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影响和引发突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发事件的级别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应急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预案（有/无）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可控程度（可控/较难控制）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已采取的工作措施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整改措施制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订和落实情况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领导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签字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应急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系人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89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</w:t>
            </w:r>
          </w:p>
        </w:tc>
      </w:tr>
    </w:tbl>
    <w:p>
      <w:pPr>
        <w:widowControl/>
        <w:jc w:val="both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0"/>
          <w:cols w:space="720" w:num="1"/>
          <w:rtlGutter w:val="0"/>
          <w:docGrid w:type="lines" w:linePitch="315" w:charSpace="0"/>
        </w:sectPr>
      </w:pPr>
      <w:r>
        <w:rPr>
          <w:rFonts w:hint="default" w:ascii="Times New Roman" w:hAnsi="Times New Roman" w:eastAsia="仿宋_GB2312" w:cs="Times New Roman"/>
          <w:color w:val="333333"/>
          <w:sz w:val="24"/>
          <w:szCs w:val="24"/>
          <w:shd w:val="clear" w:color="auto" w:fill="FFFFFF"/>
        </w:rPr>
        <w:t>备注：1、风险等级原则上分为一般、较大、重大、特别重大四个等级； 2、可控程度原则上分为可控、基本可控、较难控制、可能失控四个等级； 3、主管责任部门负责建立风险隐患档案。</w:t>
      </w:r>
      <w:r>
        <w:rPr>
          <w:rFonts w:hint="eastAsia" w:ascii="Times New Roman" w:hAnsi="Times New Roman" w:eastAsia="仿宋_GB2312" w:cs="Times New Roman"/>
          <w:color w:val="333333"/>
          <w:sz w:val="24"/>
          <w:szCs w:val="24"/>
          <w:shd w:val="clear" w:color="auto" w:fill="FFFFFF"/>
          <w:lang w:val="en-US" w:eastAsia="zh-CN"/>
        </w:rPr>
        <w:t>+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81D0D"/>
    <w:rsid w:val="5268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2019-09-24T08:20:00Z</dcterms:created>
  <dc:creator>春风永巷闲娉婷</dc:creator>
  <cp:lastModifiedBy>春风永巷闲娉婷</cp:lastModifiedBy>
  <dcterms:modified xsi:type="dcterms:W3CDTF">2019-09-24T08:20:26Z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