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rPr>
          <w:rFonts w:hint="eastAsia" w:eastAsia="仿宋_GB2312"/>
          <w:b w:val="0"/>
          <w:bCs/>
          <w:lang w:eastAsia="zh-CN"/>
        </w:rPr>
      </w:pPr>
      <w:r>
        <w:rPr>
          <w:rFonts w:hint="eastAsia" w:ascii="仿宋_GB2312" w:eastAsia="仿宋_GB2312" w:cs="宋体"/>
          <w:b w:val="0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eastAsia="仿宋_GB2312" w:cs="宋体"/>
          <w:b w:val="0"/>
          <w:bCs/>
          <w:color w:val="000000"/>
          <w:kern w:val="0"/>
          <w:sz w:val="32"/>
          <w:szCs w:val="32"/>
          <w:lang w:val="en-US" w:eastAsia="zh-CN"/>
        </w:rPr>
        <w:t>1：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彭阳县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贫困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健康促进三年攻坚行动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具体工作目标</w:t>
      </w:r>
    </w:p>
    <w:bookmarkEnd w:id="0"/>
    <w:tbl>
      <w:tblPr>
        <w:tblStyle w:val="5"/>
        <w:tblpPr w:leftFromText="180" w:rightFromText="180" w:vertAnchor="text" w:horzAnchor="margin" w:tblpXSpec="center" w:tblpY="162"/>
        <w:tblW w:w="14545" w:type="dxa"/>
        <w:tblInd w:w="-45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5"/>
        <w:gridCol w:w="1668"/>
        <w:gridCol w:w="3207"/>
        <w:gridCol w:w="3000"/>
        <w:gridCol w:w="3187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领域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指标</w:t>
            </w:r>
          </w:p>
        </w:tc>
        <w:tc>
          <w:tcPr>
            <w:tcW w:w="3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2018年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2019年</w:t>
            </w:r>
          </w:p>
        </w:tc>
        <w:tc>
          <w:tcPr>
            <w:tcW w:w="3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2020年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指标性质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健康教育进乡村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举办健康讲座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每村每</w:t>
            </w:r>
            <w:r>
              <w:rPr>
                <w:rFonts w:hint="eastAsia" w:ascii="仿宋_GB2312" w:hAnsi="等线" w:eastAsia="仿宋_GB2312"/>
                <w:sz w:val="24"/>
                <w:szCs w:val="24"/>
                <w:lang w:val="en-US" w:eastAsia="zh-CN"/>
              </w:rPr>
              <w:t>2月</w:t>
            </w:r>
            <w:r>
              <w:rPr>
                <w:rFonts w:hint="eastAsia" w:ascii="仿宋_GB2312" w:hAnsi="等线" w:eastAsia="仿宋_GB2312"/>
                <w:sz w:val="24"/>
                <w:szCs w:val="24"/>
              </w:rPr>
              <w:t>不少于1次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每村每</w:t>
            </w:r>
            <w:r>
              <w:rPr>
                <w:rFonts w:hint="eastAsia" w:ascii="仿宋_GB2312" w:hAnsi="等线" w:eastAsia="仿宋_GB2312"/>
                <w:sz w:val="24"/>
                <w:szCs w:val="24"/>
                <w:lang w:val="en-US" w:eastAsia="zh-CN"/>
              </w:rPr>
              <w:t>2月</w:t>
            </w:r>
            <w:r>
              <w:rPr>
                <w:rFonts w:hint="eastAsia" w:ascii="仿宋_GB2312" w:hAnsi="等线" w:eastAsia="仿宋_GB2312"/>
                <w:sz w:val="24"/>
                <w:szCs w:val="24"/>
              </w:rPr>
              <w:t>不少于1次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每村每</w:t>
            </w:r>
            <w:r>
              <w:rPr>
                <w:rFonts w:hint="eastAsia" w:ascii="仿宋_GB2312" w:hAnsi="等线" w:eastAsia="仿宋_GB2312"/>
                <w:sz w:val="24"/>
                <w:szCs w:val="24"/>
                <w:lang w:val="en-US" w:eastAsia="zh-CN"/>
              </w:rPr>
              <w:t>2月</w:t>
            </w:r>
            <w:r>
              <w:rPr>
                <w:rFonts w:hint="eastAsia" w:ascii="仿宋_GB2312" w:hAnsi="等线" w:eastAsia="仿宋_GB2312"/>
                <w:sz w:val="24"/>
                <w:szCs w:val="24"/>
              </w:rPr>
              <w:t>不少于1次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约束性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健康教育进家庭</w:t>
            </w:r>
          </w:p>
        </w:tc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一家一张“明白纸”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覆盖</w:t>
            </w:r>
            <w:r>
              <w:rPr>
                <w:rFonts w:hint="eastAsia" w:ascii="仿宋_GB2312" w:hAnsi="等线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等线" w:eastAsia="仿宋_GB2312"/>
                <w:sz w:val="24"/>
                <w:szCs w:val="24"/>
              </w:rPr>
              <w:t>0%</w:t>
            </w:r>
            <w:r>
              <w:rPr>
                <w:rFonts w:hint="eastAsia" w:ascii="仿宋_GB2312" w:hAnsi="等线" w:eastAsia="仿宋_GB2312"/>
                <w:sz w:val="24"/>
                <w:szCs w:val="24"/>
                <w:lang w:eastAsia="zh-CN"/>
              </w:rPr>
              <w:t>贫困患者家庭</w:t>
            </w:r>
            <w:r>
              <w:rPr>
                <w:rFonts w:hint="eastAsia" w:ascii="仿宋_GB2312" w:hAnsi="等线" w:eastAsia="仿宋_GB2312"/>
                <w:sz w:val="24"/>
                <w:szCs w:val="24"/>
              </w:rPr>
              <w:t>，每年度每个患病贫困户不少于1份。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覆盖全部</w:t>
            </w:r>
            <w:r>
              <w:rPr>
                <w:rFonts w:hint="eastAsia" w:ascii="仿宋_GB2312" w:hAnsi="等线" w:eastAsia="仿宋_GB2312"/>
                <w:sz w:val="24"/>
                <w:szCs w:val="24"/>
                <w:lang w:eastAsia="zh-CN"/>
              </w:rPr>
              <w:t>贫困患者家庭</w:t>
            </w:r>
            <w:r>
              <w:rPr>
                <w:rFonts w:hint="eastAsia" w:ascii="仿宋_GB2312" w:hAnsi="等线" w:eastAsia="仿宋_GB2312"/>
                <w:sz w:val="24"/>
                <w:szCs w:val="24"/>
              </w:rPr>
              <w:t>，每年度每个</w:t>
            </w:r>
            <w:r>
              <w:rPr>
                <w:rFonts w:hint="eastAsia" w:ascii="仿宋_GB2312" w:hAnsi="等线" w:eastAsia="仿宋_GB2312"/>
                <w:sz w:val="24"/>
                <w:szCs w:val="24"/>
                <w:lang w:eastAsia="zh-CN"/>
              </w:rPr>
              <w:t>贫困患者家庭</w:t>
            </w:r>
            <w:r>
              <w:rPr>
                <w:rFonts w:hint="eastAsia" w:ascii="仿宋_GB2312" w:hAnsi="等线" w:eastAsia="仿宋_GB2312"/>
                <w:sz w:val="24"/>
                <w:szCs w:val="24"/>
              </w:rPr>
              <w:t>不少于1份。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覆盖全部</w:t>
            </w:r>
            <w:r>
              <w:rPr>
                <w:rFonts w:hint="eastAsia" w:ascii="仿宋_GB2312" w:hAnsi="等线" w:eastAsia="仿宋_GB2312"/>
                <w:sz w:val="24"/>
                <w:szCs w:val="24"/>
                <w:lang w:eastAsia="zh-CN"/>
              </w:rPr>
              <w:t>贫困患者家庭</w:t>
            </w:r>
            <w:r>
              <w:rPr>
                <w:rFonts w:hint="eastAsia" w:ascii="仿宋_GB2312" w:hAnsi="等线" w:eastAsia="仿宋_GB2312"/>
                <w:sz w:val="24"/>
                <w:szCs w:val="24"/>
              </w:rPr>
              <w:t>，每年度每个</w:t>
            </w:r>
            <w:r>
              <w:rPr>
                <w:rFonts w:hint="eastAsia" w:ascii="仿宋_GB2312" w:hAnsi="等线" w:eastAsia="仿宋_GB2312"/>
                <w:sz w:val="24"/>
                <w:szCs w:val="24"/>
                <w:lang w:eastAsia="zh-CN"/>
              </w:rPr>
              <w:t>贫困患者家庭</w:t>
            </w:r>
            <w:r>
              <w:rPr>
                <w:rFonts w:hint="eastAsia" w:ascii="仿宋_GB2312" w:hAnsi="等线" w:eastAsia="仿宋_GB2312"/>
                <w:sz w:val="24"/>
                <w:szCs w:val="24"/>
              </w:rPr>
              <w:t>不少于1份。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约束性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一家一个“明白人”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覆盖</w:t>
            </w:r>
            <w:r>
              <w:rPr>
                <w:rFonts w:hint="eastAsia" w:ascii="仿宋_GB2312" w:hAnsi="等线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等线" w:eastAsia="仿宋_GB2312"/>
                <w:sz w:val="24"/>
                <w:szCs w:val="24"/>
              </w:rPr>
              <w:t>0%</w:t>
            </w:r>
            <w:r>
              <w:rPr>
                <w:rFonts w:hint="eastAsia" w:ascii="仿宋_GB2312" w:hAnsi="等线" w:eastAsia="仿宋_GB2312"/>
                <w:sz w:val="24"/>
                <w:szCs w:val="24"/>
                <w:lang w:eastAsia="zh-CN"/>
              </w:rPr>
              <w:t>贫困患者家庭</w:t>
            </w:r>
            <w:r>
              <w:rPr>
                <w:rFonts w:hint="eastAsia" w:ascii="仿宋_GB2312" w:hAnsi="等线" w:eastAsia="仿宋_GB2312"/>
                <w:sz w:val="24"/>
                <w:szCs w:val="24"/>
              </w:rPr>
              <w:t>，</w:t>
            </w:r>
            <w:r>
              <w:rPr>
                <w:rFonts w:hint="eastAsia" w:ascii="仿宋_GB2312" w:hAnsi="等线" w:eastAsia="仿宋_GB2312"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="仿宋_GB2312" w:hAnsi="等线" w:eastAsia="仿宋_GB2312"/>
                <w:sz w:val="24"/>
                <w:szCs w:val="24"/>
              </w:rPr>
              <w:t>每个</w:t>
            </w:r>
            <w:r>
              <w:rPr>
                <w:rFonts w:hint="eastAsia" w:ascii="仿宋_GB2312" w:hAnsi="等线" w:eastAsia="仿宋_GB2312"/>
                <w:sz w:val="24"/>
                <w:szCs w:val="24"/>
                <w:lang w:eastAsia="zh-CN"/>
              </w:rPr>
              <w:t>贫困患者家庭</w:t>
            </w:r>
            <w:r>
              <w:rPr>
                <w:rFonts w:hint="eastAsia" w:ascii="仿宋_GB2312" w:hAnsi="等线" w:eastAsia="仿宋_GB2312"/>
                <w:sz w:val="24"/>
                <w:szCs w:val="24"/>
              </w:rPr>
              <w:t>中至少培训1名家庭成员。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覆盖</w:t>
            </w:r>
            <w:r>
              <w:rPr>
                <w:rFonts w:hint="eastAsia" w:ascii="仿宋_GB2312" w:hAnsi="等线" w:eastAsia="仿宋_GB2312"/>
                <w:sz w:val="24"/>
                <w:szCs w:val="24"/>
                <w:lang w:val="en-US" w:eastAsia="zh-CN"/>
              </w:rPr>
              <w:t>全部</w:t>
            </w:r>
            <w:r>
              <w:rPr>
                <w:rFonts w:hint="eastAsia" w:ascii="仿宋_GB2312" w:hAnsi="等线" w:eastAsia="仿宋_GB2312"/>
                <w:sz w:val="24"/>
                <w:szCs w:val="24"/>
                <w:lang w:eastAsia="zh-CN"/>
              </w:rPr>
              <w:t>贫困患者家庭</w:t>
            </w:r>
            <w:r>
              <w:rPr>
                <w:rFonts w:hint="eastAsia" w:ascii="仿宋_GB2312" w:hAnsi="等线" w:eastAsia="仿宋_GB2312"/>
                <w:sz w:val="24"/>
                <w:szCs w:val="24"/>
              </w:rPr>
              <w:t>，</w:t>
            </w:r>
            <w:r>
              <w:rPr>
                <w:rFonts w:hint="eastAsia" w:ascii="仿宋_GB2312" w:hAnsi="等线" w:eastAsia="仿宋_GB2312"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="仿宋_GB2312" w:hAnsi="等线" w:eastAsia="仿宋_GB2312"/>
                <w:sz w:val="24"/>
                <w:szCs w:val="24"/>
              </w:rPr>
              <w:t>每个</w:t>
            </w:r>
            <w:r>
              <w:rPr>
                <w:rFonts w:hint="eastAsia" w:ascii="仿宋_GB2312" w:hAnsi="等线" w:eastAsia="仿宋_GB2312"/>
                <w:sz w:val="24"/>
                <w:szCs w:val="24"/>
                <w:lang w:eastAsia="zh-CN"/>
              </w:rPr>
              <w:t>贫困患者家庭</w:t>
            </w:r>
            <w:r>
              <w:rPr>
                <w:rFonts w:hint="eastAsia" w:ascii="仿宋_GB2312" w:hAnsi="等线" w:eastAsia="仿宋_GB2312"/>
                <w:sz w:val="24"/>
                <w:szCs w:val="24"/>
              </w:rPr>
              <w:t>中至少培训1名家庭成员。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覆盖</w:t>
            </w:r>
            <w:r>
              <w:rPr>
                <w:rFonts w:hint="eastAsia" w:ascii="仿宋_GB2312" w:hAnsi="等线" w:eastAsia="仿宋_GB2312"/>
                <w:sz w:val="24"/>
                <w:szCs w:val="24"/>
                <w:lang w:val="en-US" w:eastAsia="zh-CN"/>
              </w:rPr>
              <w:t>全部</w:t>
            </w:r>
            <w:r>
              <w:rPr>
                <w:rFonts w:hint="eastAsia" w:ascii="仿宋_GB2312" w:hAnsi="等线" w:eastAsia="仿宋_GB2312"/>
                <w:sz w:val="24"/>
                <w:szCs w:val="24"/>
                <w:lang w:eastAsia="zh-CN"/>
              </w:rPr>
              <w:t>贫困患者家庭</w:t>
            </w:r>
            <w:r>
              <w:rPr>
                <w:rFonts w:hint="eastAsia" w:ascii="仿宋_GB2312" w:hAnsi="等线" w:eastAsia="仿宋_GB2312"/>
                <w:sz w:val="24"/>
                <w:szCs w:val="24"/>
              </w:rPr>
              <w:t>，</w:t>
            </w:r>
            <w:r>
              <w:rPr>
                <w:rFonts w:hint="eastAsia" w:ascii="仿宋_GB2312" w:hAnsi="等线" w:eastAsia="仿宋_GB2312"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="仿宋_GB2312" w:hAnsi="等线" w:eastAsia="仿宋_GB2312"/>
                <w:sz w:val="24"/>
                <w:szCs w:val="24"/>
              </w:rPr>
              <w:t>每个</w:t>
            </w:r>
            <w:r>
              <w:rPr>
                <w:rFonts w:hint="eastAsia" w:ascii="仿宋_GB2312" w:hAnsi="等线" w:eastAsia="仿宋_GB2312"/>
                <w:sz w:val="24"/>
                <w:szCs w:val="24"/>
                <w:lang w:eastAsia="zh-CN"/>
              </w:rPr>
              <w:t>贫困患者家庭</w:t>
            </w:r>
            <w:r>
              <w:rPr>
                <w:rFonts w:hint="eastAsia" w:ascii="仿宋_GB2312" w:hAnsi="等线" w:eastAsia="仿宋_GB2312"/>
                <w:sz w:val="24"/>
                <w:szCs w:val="24"/>
              </w:rPr>
              <w:t>中至少培训1名家庭成员。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约束性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一家一份实用工具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覆盖</w:t>
            </w:r>
            <w:r>
              <w:rPr>
                <w:rFonts w:hint="eastAsia" w:ascii="仿宋_GB2312" w:hAnsi="等线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等线" w:eastAsia="仿宋_GB2312"/>
                <w:sz w:val="24"/>
                <w:szCs w:val="24"/>
              </w:rPr>
              <w:t>0%</w:t>
            </w:r>
            <w:r>
              <w:rPr>
                <w:rFonts w:hint="eastAsia" w:ascii="仿宋_GB2312" w:hAnsi="等线" w:eastAsia="仿宋_GB2312"/>
                <w:sz w:val="24"/>
                <w:szCs w:val="24"/>
                <w:lang w:eastAsia="zh-CN"/>
              </w:rPr>
              <w:t>贫困患者家庭</w:t>
            </w:r>
            <w:r>
              <w:rPr>
                <w:rFonts w:hint="eastAsia" w:ascii="仿宋_GB2312" w:hAnsi="等线" w:eastAsia="仿宋_GB2312"/>
                <w:sz w:val="24"/>
                <w:szCs w:val="24"/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每户不少于1份。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覆盖</w:t>
            </w:r>
            <w:r>
              <w:rPr>
                <w:rFonts w:hint="eastAsia" w:ascii="仿宋_GB2312" w:hAnsi="等线" w:eastAsia="仿宋_GB2312"/>
                <w:sz w:val="24"/>
                <w:szCs w:val="24"/>
                <w:lang w:val="en-US" w:eastAsia="zh-CN"/>
              </w:rPr>
              <w:t>全部</w:t>
            </w:r>
            <w:r>
              <w:rPr>
                <w:rFonts w:hint="eastAsia" w:ascii="仿宋_GB2312" w:hAnsi="等线" w:eastAsia="仿宋_GB2312"/>
                <w:sz w:val="24"/>
                <w:szCs w:val="24"/>
                <w:lang w:eastAsia="zh-CN"/>
              </w:rPr>
              <w:t>贫困患者家庭</w:t>
            </w:r>
            <w:r>
              <w:rPr>
                <w:rFonts w:hint="eastAsia" w:ascii="仿宋_GB2312" w:hAnsi="等线" w:eastAsia="仿宋_GB2312"/>
                <w:sz w:val="24"/>
                <w:szCs w:val="24"/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每户不少于1份。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覆盖</w:t>
            </w:r>
            <w:r>
              <w:rPr>
                <w:rFonts w:hint="eastAsia" w:ascii="仿宋_GB2312" w:hAnsi="等线" w:eastAsia="仿宋_GB2312"/>
                <w:sz w:val="24"/>
                <w:szCs w:val="24"/>
                <w:lang w:val="en-US" w:eastAsia="zh-CN"/>
              </w:rPr>
              <w:t>全部</w:t>
            </w:r>
            <w:r>
              <w:rPr>
                <w:rFonts w:hint="eastAsia" w:ascii="仿宋_GB2312" w:hAnsi="等线" w:eastAsia="仿宋_GB2312"/>
                <w:sz w:val="24"/>
                <w:szCs w:val="24"/>
                <w:lang w:eastAsia="zh-CN"/>
              </w:rPr>
              <w:t>贫困患者家庭</w:t>
            </w:r>
            <w:r>
              <w:rPr>
                <w:rFonts w:hint="eastAsia" w:ascii="仿宋_GB2312" w:hAnsi="等线" w:eastAsia="仿宋_GB2312"/>
                <w:sz w:val="24"/>
                <w:szCs w:val="24"/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每户不少于1份。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约束性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建设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健康学校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行动</w:t>
            </w:r>
          </w:p>
        </w:tc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建设健康促进学校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  <w:lang w:eastAsia="zh-CN"/>
              </w:rPr>
              <w:t>启动工作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  <w:lang w:val="en-US" w:eastAsia="zh-CN"/>
              </w:rPr>
              <w:t>20%</w:t>
            </w:r>
            <w:r>
              <w:rPr>
                <w:rFonts w:hint="eastAsia" w:ascii="仿宋_GB2312" w:hAnsi="等线" w:eastAsia="仿宋_GB2312"/>
                <w:sz w:val="24"/>
                <w:szCs w:val="24"/>
              </w:rPr>
              <w:t>中小学</w:t>
            </w:r>
            <w:r>
              <w:rPr>
                <w:rFonts w:hint="eastAsia" w:ascii="仿宋_GB2312" w:hAnsi="等线" w:eastAsia="仿宋_GB2312"/>
                <w:sz w:val="24"/>
                <w:szCs w:val="24"/>
                <w:lang w:eastAsia="zh-CN"/>
              </w:rPr>
              <w:t>校达到健康促进学校标准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  <w:lang w:val="en-US" w:eastAsia="zh-CN"/>
              </w:rPr>
              <w:t>50%</w:t>
            </w:r>
            <w:r>
              <w:rPr>
                <w:rFonts w:hint="eastAsia" w:ascii="仿宋_GB2312" w:hAnsi="等线" w:eastAsia="仿宋_GB2312"/>
                <w:sz w:val="24"/>
                <w:szCs w:val="24"/>
              </w:rPr>
              <w:t>中小学</w:t>
            </w:r>
            <w:r>
              <w:rPr>
                <w:rFonts w:hint="eastAsia" w:ascii="仿宋_GB2312" w:hAnsi="等线" w:eastAsia="仿宋_GB2312"/>
                <w:sz w:val="24"/>
                <w:szCs w:val="24"/>
                <w:lang w:eastAsia="zh-CN"/>
              </w:rPr>
              <w:t>校达到健康促进学校标准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约束性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健康教育进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医疗机构</w:t>
            </w:r>
          </w:p>
        </w:tc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建设健康促进医院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等线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auto"/>
                <w:sz w:val="24"/>
                <w:szCs w:val="24"/>
                <w:lang w:val="en-US" w:eastAsia="zh-CN"/>
              </w:rPr>
              <w:t>10%</w:t>
            </w:r>
            <w:r>
              <w:rPr>
                <w:rFonts w:hint="eastAsia" w:ascii="仿宋_GB2312" w:hAnsi="等线" w:eastAsia="仿宋_GB2312"/>
                <w:color w:val="auto"/>
                <w:sz w:val="24"/>
                <w:szCs w:val="24"/>
                <w:lang w:eastAsia="zh-CN"/>
              </w:rPr>
              <w:t>医疗机构达到健康促进医院标准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等线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auto"/>
                <w:sz w:val="24"/>
                <w:szCs w:val="24"/>
                <w:lang w:val="en-US" w:eastAsia="zh-CN"/>
              </w:rPr>
              <w:t>20%</w:t>
            </w:r>
            <w:r>
              <w:rPr>
                <w:rFonts w:hint="eastAsia" w:ascii="仿宋_GB2312" w:hAnsi="等线" w:eastAsia="仿宋_GB2312"/>
                <w:color w:val="auto"/>
                <w:sz w:val="24"/>
                <w:szCs w:val="24"/>
                <w:lang w:eastAsia="zh-CN"/>
              </w:rPr>
              <w:t>医疗机构达到健康促进医院标准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等线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auto"/>
                <w:sz w:val="24"/>
                <w:szCs w:val="24"/>
                <w:lang w:val="en-US" w:eastAsia="zh-CN"/>
              </w:rPr>
              <w:t>40%</w:t>
            </w:r>
            <w:r>
              <w:rPr>
                <w:rFonts w:hint="eastAsia" w:ascii="仿宋_GB2312" w:hAnsi="等线" w:eastAsia="仿宋_GB2312"/>
                <w:color w:val="auto"/>
                <w:sz w:val="24"/>
                <w:szCs w:val="24"/>
                <w:lang w:eastAsia="zh-CN"/>
              </w:rPr>
              <w:t>医疗机构达到健康促进医院标准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约束性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2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健康教育阵地建设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设置健康教育宣传栏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贫困地区所有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乡镇卫生院和社区卫生服务中心设置健康教育宣传栏不少于2个，卫生室和社区卫生服务站宣传栏不少于1个。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50%的村（居），每村不少于1块，面积不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低于2平方米，每2个月更新一次内容。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贫困地区所有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乡镇卫生院和社区卫生服务中心设置健康教育宣传栏不少于2个，卫生室和社区卫生服务站宣传栏不少于1个。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每村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（居）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不少于1块，面积不低于2平方米，每2个月更新一次内容。</w:t>
            </w:r>
          </w:p>
        </w:tc>
        <w:tc>
          <w:tcPr>
            <w:tcW w:w="3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贫困地区所有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乡镇卫生院和社区卫生服务中心设置健康教育宣传栏不少于2个，卫生室和社区卫生服务站宣传栏不少于1个。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每村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（居）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不少于1块，面积不低于2平方米，每2个月更新一次内容。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约束性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2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  <w:lang w:eastAsia="zh-CN"/>
              </w:rPr>
              <w:t>开办健康教育栏目</w:t>
            </w:r>
          </w:p>
        </w:tc>
        <w:tc>
          <w:tcPr>
            <w:tcW w:w="3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县每周刊播不少于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条（次），播出健康主题公益广告累计每月不少于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县每周刊播不少于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条（次），播出健康主题公益广告累计每月不少于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县每周刊播不少于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条（次），播出健康主题公益广告累计每月不少于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约束性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基层健康教育骨干培养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村级健康教育骨干培训覆盖率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覆盖50%村级健康教育骨干。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覆盖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85%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村级健康教育骨干。</w:t>
            </w:r>
          </w:p>
        </w:tc>
        <w:tc>
          <w:tcPr>
            <w:tcW w:w="3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覆盖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全部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村级健康教育骨干。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约束性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居民健康素养水平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居民健康素养水平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完成基线调查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2018年提高60%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预期性</w:t>
            </w:r>
          </w:p>
        </w:tc>
      </w:tr>
    </w:tbl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24"/>
          <w:szCs w:val="24"/>
        </w:rPr>
        <w:t>注：数据来源自全国健康扶贫动态管理系统</w:t>
      </w:r>
    </w:p>
    <w:p>
      <w:pPr>
        <w:tabs>
          <w:tab w:val="left" w:pos="538"/>
        </w:tabs>
        <w:jc w:val="left"/>
        <w:rPr>
          <w:rFonts w:hint="eastAsia" w:eastAsia="宋体"/>
          <w:lang w:eastAsia="zh-CN"/>
        </w:rPr>
        <w:sectPr>
          <w:pgSz w:w="16838" w:h="11906" w:orient="landscape"/>
          <w:pgMar w:top="1803" w:right="1440" w:bottom="1803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81F2E7"/>
    <w:multiLevelType w:val="multilevel"/>
    <w:tmpl w:val="C981F2E7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431" w:hanging="431"/>
      </w:pPr>
      <w:rPr>
        <w:rFonts w:hint="eastAsia" w:ascii="宋体" w:hAnsi="宋体" w:eastAsia="黑体" w:cs="宋体"/>
        <w:b w:val="0"/>
        <w:i w:val="0"/>
        <w:strike w:val="0"/>
        <w:dstrike w:val="0"/>
        <w:sz w:val="44"/>
        <w:szCs w:val="44"/>
        <w:vertAlign w:val="baseline"/>
      </w:rPr>
    </w:lvl>
    <w:lvl w:ilvl="1" w:tentative="0">
      <w:start w:val="1"/>
      <w:numFmt w:val="chineseCountingThousand"/>
      <w:suff w:val="nothing"/>
      <w:lvlText w:val="(%2)"/>
      <w:lvlJc w:val="left"/>
      <w:pPr>
        <w:ind w:left="431" w:hanging="431"/>
      </w:pPr>
      <w:rPr>
        <w:rFonts w:hint="eastAsia" w:ascii="宋体" w:hAnsi="宋体" w:eastAsia="宋体" w:cs="Times New Roman"/>
      </w:rPr>
    </w:lvl>
    <w:lvl w:ilvl="2" w:tentative="0">
      <w:start w:val="1"/>
      <w:numFmt w:val="decimal"/>
      <w:pStyle w:val="2"/>
      <w:suff w:val="nothing"/>
      <w:lvlText w:val="%3."/>
      <w:lvlJc w:val="left"/>
      <w:pPr>
        <w:ind w:left="573" w:hanging="431"/>
      </w:pPr>
      <w:rPr>
        <w:rFonts w:hint="eastAsia" w:cs="Times New Roman"/>
      </w:rPr>
    </w:lvl>
    <w:lvl w:ilvl="3" w:tentative="0">
      <w:start w:val="1"/>
      <w:numFmt w:val="decimal"/>
      <w:suff w:val="nothing"/>
      <w:lvlText w:val="(%4)"/>
      <w:lvlJc w:val="left"/>
      <w:pPr>
        <w:ind w:left="573" w:hanging="431"/>
      </w:pPr>
      <w:rPr>
        <w:rFonts w:hint="eastAsia" w:cs="Times New Roman"/>
      </w:rPr>
    </w:lvl>
    <w:lvl w:ilvl="4" w:tentative="0">
      <w:start w:val="1"/>
      <w:numFmt w:val="decimal"/>
      <w:suff w:val="nothing"/>
      <w:lvlText w:val="%5)"/>
      <w:lvlJc w:val="left"/>
      <w:pPr>
        <w:ind w:left="431" w:hanging="431"/>
      </w:pPr>
      <w:rPr>
        <w:rFonts w:hint="eastAsia" w:cs="Times New Roman"/>
      </w:rPr>
    </w:lvl>
    <w:lvl w:ilvl="5" w:tentative="0">
      <w:start w:val="1"/>
      <w:numFmt w:val="decimal"/>
      <w:suff w:val="nothing"/>
      <w:lvlText w:val="%1.%2.%3.%4.%5.%6"/>
      <w:lvlJc w:val="left"/>
      <w:pPr>
        <w:ind w:left="431" w:hanging="431"/>
      </w:pPr>
      <w:rPr>
        <w:rFonts w:hint="eastAsia" w:cs="Times New Roman"/>
      </w:rPr>
    </w:lvl>
    <w:lvl w:ilvl="6" w:tentative="0">
      <w:start w:val="1"/>
      <w:numFmt w:val="decimal"/>
      <w:lvlText w:val="%7. "/>
      <w:lvlJc w:val="left"/>
      <w:pPr>
        <w:tabs>
          <w:tab w:val="left" w:pos="0"/>
        </w:tabs>
        <w:ind w:left="431" w:hanging="431"/>
      </w:pPr>
      <w:rPr>
        <w:rFonts w:hint="eastAsia" w:cs="Times New Roman"/>
      </w:rPr>
    </w:lvl>
    <w:lvl w:ilvl="7" w:tentative="0">
      <w:start w:val="1"/>
      <w:numFmt w:val="bullet"/>
      <w:lvlText w:val=""/>
      <w:lvlJc w:val="left"/>
      <w:pPr>
        <w:tabs>
          <w:tab w:val="left" w:pos="0"/>
        </w:tabs>
        <w:ind w:left="431" w:hanging="431"/>
      </w:pPr>
      <w:rPr>
        <w:rFonts w:hint="eastAsia" w:ascii="Symbol" w:hAnsi="Symbol"/>
        <w:color w:val="auto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431" w:hanging="431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D5D1F"/>
    <w:rsid w:val="3DCD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numPr>
        <w:ilvl w:val="2"/>
        <w:numId w:val="1"/>
      </w:numPr>
      <w:snapToGrid w:val="0"/>
      <w:spacing w:beforeLines="20" w:afterLines="20"/>
      <w:outlineLvl w:val="2"/>
    </w:pPr>
    <w:rPr>
      <w:rFonts w:ascii="仿宋" w:hAnsi="仿宋" w:eastAsia="仿宋"/>
      <w:b/>
      <w:color w:val="000000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2019-01-07T02:16:00Z</dcterms:created>
  <dc:creator>Administrator</dc:creator>
  <cp:lastModifiedBy>Administrator</cp:lastModifiedBy>
  <dcterms:modified xsi:type="dcterms:W3CDTF">2019-01-07T02:16:35Z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